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ind w:left="560" w:hanging="539"/>
        <w:spacing w:after="0" w:line="184" w:lineRule="auto"/>
        <w:tabs>
          <w:tab w:leader="none" w:pos="560" w:val="left"/>
        </w:tabs>
        <w:numPr>
          <w:ilvl w:val="0"/>
          <w:numId w:val="1"/>
        </w:numPr>
        <w:rPr>
          <w:rFonts w:ascii="MS PGothic" w:cs="MS PGothic" w:eastAsia="MS PGothic" w:hAnsi="MS PGothic"/>
          <w:sz w:val="30"/>
          <w:szCs w:val="30"/>
          <w:color w:val="auto"/>
          <w:highlight w:val="black"/>
          <w:vertAlign w:val="subscript"/>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2024</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ind w:left="560" w:hanging="539"/>
        <w:spacing w:after="0" w:line="183" w:lineRule="auto"/>
        <w:tabs>
          <w:tab w:leader="none" w:pos="560" w:val="left"/>
        </w:tabs>
        <w:numPr>
          <w:ilvl w:val="0"/>
          <w:numId w:val="2"/>
        </w:numPr>
        <w:rPr>
          <w:rFonts w:ascii="MS PGothic" w:cs="MS PGothic" w:eastAsia="MS PGothic" w:hAnsi="MS PGothic"/>
          <w:sz w:val="39"/>
          <w:szCs w:val="39"/>
          <w:color w:val="auto"/>
          <w:highlight w:val="black"/>
          <w:vertAlign w:val="subscript"/>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52" w:lineRule="exact"/>
        <w:rPr>
          <w:sz w:val="24"/>
          <w:szCs w:val="24"/>
          <w:color w:val="auto"/>
        </w:rPr>
      </w:pPr>
    </w:p>
    <w:p>
      <w:pPr>
        <w:ind w:left="384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8"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6"/>
          <w:szCs w:val="16"/>
          <w:b w:val="1"/>
          <w:bCs w:val="1"/>
          <w:color w:val="auto"/>
        </w:rPr>
        <w:t>Commission File Number 001-37587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67310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CytomX Therapeutics, Inc.</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3960" w:type="dxa"/>
            <w:vAlign w:val="bottom"/>
            <w:gridSpan w:val="3"/>
          </w:tcPr>
          <w:p>
            <w:pPr>
              <w:jc w:val="center"/>
              <w:ind w:left="1464"/>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700" w:type="dxa"/>
            <w:vAlign w:val="bottom"/>
            <w:gridSpan w:val="3"/>
          </w:tcPr>
          <w:p>
            <w:pPr>
              <w:jc w:val="right"/>
              <w:ind w:right="2265"/>
              <w:spacing w:after="0"/>
              <w:rPr>
                <w:sz w:val="20"/>
                <w:szCs w:val="20"/>
                <w:color w:val="auto"/>
              </w:rPr>
            </w:pPr>
            <w:r>
              <w:rPr>
                <w:rFonts w:ascii="Times New Roman" w:cs="Times New Roman" w:eastAsia="Times New Roman" w:hAnsi="Times New Roman"/>
                <w:sz w:val="16"/>
                <w:szCs w:val="16"/>
                <w:b w:val="1"/>
                <w:bCs w:val="1"/>
                <w:color w:val="auto"/>
              </w:rPr>
              <w:t>27-3521219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60" w:type="dxa"/>
            <w:vAlign w:val="bottom"/>
            <w:gridSpan w:val="3"/>
          </w:tcPr>
          <w:p>
            <w:pPr>
              <w:jc w:val="center"/>
              <w:ind w:left="144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360" w:type="dxa"/>
            <w:vAlign w:val="bottom"/>
            <w:gridSpan w:val="2"/>
          </w:tcPr>
          <w:p>
            <w:pPr>
              <w:jc w:val="center"/>
              <w:ind w:right="200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960" w:type="dxa"/>
            <w:vAlign w:val="bottom"/>
            <w:gridSpan w:val="3"/>
          </w:tcPr>
          <w:p>
            <w:pPr>
              <w:jc w:val="center"/>
              <w:ind w:left="144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360" w:type="dxa"/>
            <w:vAlign w:val="bottom"/>
            <w:gridSpan w:val="2"/>
          </w:tcPr>
          <w:p>
            <w:pPr>
              <w:jc w:val="center"/>
              <w:ind w:right="2025"/>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880" w:type="dxa"/>
            <w:vAlign w:val="bottom"/>
            <w:gridSpan w:val="8"/>
          </w:tcPr>
          <w:p>
            <w:pPr>
              <w:jc w:val="center"/>
              <w:ind w:right="1400"/>
              <w:spacing w:after="0"/>
              <w:rPr>
                <w:sz w:val="20"/>
                <w:szCs w:val="20"/>
                <w:color w:val="auto"/>
              </w:rPr>
            </w:pPr>
            <w:r>
              <w:rPr>
                <w:rFonts w:ascii="Times New Roman" w:cs="Times New Roman" w:eastAsia="Times New Roman" w:hAnsi="Times New Roman"/>
                <w:sz w:val="16"/>
                <w:szCs w:val="16"/>
                <w:b w:val="1"/>
                <w:bCs w:val="1"/>
                <w:color w:val="auto"/>
              </w:rPr>
              <w:t>151 Oyster Point Boulevard, Suite 400</w:t>
            </w: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60" w:type="dxa"/>
            <w:vAlign w:val="bottom"/>
            <w:gridSpan w:val="3"/>
          </w:tcPr>
          <w:p>
            <w:pPr>
              <w:jc w:val="center"/>
              <w:ind w:left="1444"/>
              <w:spacing w:after="0"/>
              <w:rPr>
                <w:sz w:val="20"/>
                <w:szCs w:val="20"/>
                <w:color w:val="auto"/>
              </w:rPr>
            </w:pPr>
            <w:r>
              <w:rPr>
                <w:rFonts w:ascii="Times New Roman" w:cs="Times New Roman" w:eastAsia="Times New Roman" w:hAnsi="Times New Roman"/>
                <w:sz w:val="16"/>
                <w:szCs w:val="16"/>
                <w:b w:val="1"/>
                <w:bCs w:val="1"/>
                <w:color w:val="auto"/>
              </w:rPr>
              <w:t>South San Francisco, California</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700" w:type="dxa"/>
            <w:vAlign w:val="bottom"/>
            <w:gridSpan w:val="3"/>
          </w:tcPr>
          <w:p>
            <w:pPr>
              <w:jc w:val="right"/>
              <w:ind w:right="2445"/>
              <w:spacing w:after="0"/>
              <w:rPr>
                <w:sz w:val="20"/>
                <w:szCs w:val="20"/>
                <w:color w:val="auto"/>
              </w:rPr>
            </w:pPr>
            <w:r>
              <w:rPr>
                <w:rFonts w:ascii="Times New Roman" w:cs="Times New Roman" w:eastAsia="Times New Roman" w:hAnsi="Times New Roman"/>
                <w:sz w:val="16"/>
                <w:szCs w:val="16"/>
                <w:b w:val="1"/>
                <w:bCs w:val="1"/>
                <w:color w:val="auto"/>
              </w:rPr>
              <w:t>94080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960" w:type="dxa"/>
            <w:vAlign w:val="bottom"/>
            <w:gridSpan w:val="3"/>
          </w:tcPr>
          <w:p>
            <w:pPr>
              <w:jc w:val="center"/>
              <w:ind w:left="14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80" w:type="dxa"/>
            <w:vAlign w:val="bottom"/>
          </w:tcPr>
          <w:p>
            <w:pPr>
              <w:jc w:val="center"/>
              <w:ind w:right="2305"/>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3"/>
          </w:tcPr>
          <w:p>
            <w:pPr>
              <w:jc w:val="center"/>
              <w:ind w:left="684"/>
              <w:spacing w:after="0"/>
              <w:rPr>
                <w:sz w:val="20"/>
                <w:szCs w:val="20"/>
                <w:color w:val="auto"/>
              </w:rPr>
            </w:pPr>
            <w:r>
              <w:rPr>
                <w:rFonts w:ascii="Times New Roman" w:cs="Times New Roman" w:eastAsia="Times New Roman" w:hAnsi="Times New Roman"/>
                <w:sz w:val="16"/>
                <w:szCs w:val="16"/>
                <w:b w:val="1"/>
                <w:bCs w:val="1"/>
                <w:color w:val="auto"/>
              </w:rPr>
              <w:t>(650) 515-3185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540" w:type="dxa"/>
            <w:vAlign w:val="bottom"/>
            <w:gridSpan w:val="6"/>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gridSpan w:val="2"/>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7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80" w:type="dxa"/>
            <w:vAlign w:val="bottom"/>
            <w:gridSpan w:val="2"/>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3960" w:type="dxa"/>
            <w:vAlign w:val="bottom"/>
            <w:gridSpan w:val="3"/>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Common Stock, </w:t>
            </w:r>
            <w:r>
              <w:rPr>
                <w:rFonts w:ascii="Times New Roman" w:cs="Times New Roman" w:eastAsia="Times New Roman" w:hAnsi="Times New Roman"/>
                <w:sz w:val="17"/>
                <w:szCs w:val="17"/>
                <w:b w:val="1"/>
                <w:bCs w:val="1"/>
                <w:color w:val="auto"/>
              </w:rPr>
              <w:t>$0.00001</w:t>
            </w:r>
            <w:r>
              <w:rPr>
                <w:rFonts w:ascii="Times New Roman" w:cs="Times New Roman" w:eastAsia="Times New Roman" w:hAnsi="Times New Roman"/>
                <w:sz w:val="16"/>
                <w:szCs w:val="16"/>
                <w:b w:val="1"/>
                <w:bCs w:val="1"/>
                <w:color w:val="auto"/>
              </w:rPr>
              <w:t xml:space="preserve"> par value</w:t>
            </w:r>
          </w:p>
        </w:tc>
        <w:tc>
          <w:tcPr>
            <w:tcW w:w="3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160" w:type="dxa"/>
            <w:vAlign w:val="bottom"/>
            <w:tcBorders>
              <w:top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CTMX</w:t>
            </w:r>
          </w:p>
        </w:tc>
        <w:tc>
          <w:tcPr>
            <w:tcW w:w="6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Global Select Market</w:t>
            </w: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7860" w:type="dxa"/>
            <w:vAlign w:val="bottom"/>
            <w:gridSpan w:val="11"/>
          </w:tcPr>
          <w:p>
            <w:pPr>
              <w:jc w:val="center"/>
              <w:ind w:right="3265"/>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None</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4740" w:type="dxa"/>
            <w:vAlign w:val="bottom"/>
            <w:gridSpan w:val="6"/>
          </w:tcPr>
          <w:p>
            <w:pPr>
              <w:spacing w:after="0"/>
              <w:rPr>
                <w:sz w:val="6"/>
                <w:szCs w:val="6"/>
                <w:color w:val="auto"/>
              </w:rPr>
            </w:pPr>
          </w:p>
        </w:tc>
        <w:tc>
          <w:tcPr>
            <w:tcW w:w="1780" w:type="dxa"/>
            <w:vAlign w:val="bottom"/>
            <w:tcBorders>
              <w:bottom w:val="single" w:sz="8" w:color="auto"/>
            </w:tcBorders>
          </w:tcPr>
          <w:p>
            <w:pPr>
              <w:spacing w:after="0"/>
              <w:rPr>
                <w:sz w:val="6"/>
                <w:szCs w:val="6"/>
                <w:color w:val="auto"/>
              </w:rPr>
            </w:pPr>
          </w:p>
        </w:tc>
        <w:tc>
          <w:tcPr>
            <w:tcW w:w="380" w:type="dxa"/>
            <w:vAlign w:val="bottom"/>
            <w:gridSpan w:val="2"/>
          </w:tcPr>
          <w:p>
            <w:pPr>
              <w:spacing w:after="0"/>
              <w:rPr>
                <w:sz w:val="6"/>
                <w:szCs w:val="6"/>
                <w:color w:val="auto"/>
              </w:rPr>
            </w:pPr>
          </w:p>
        </w:tc>
        <w:tc>
          <w:tcPr>
            <w:tcW w:w="620" w:type="dxa"/>
            <w:vAlign w:val="bottom"/>
            <w:vMerge w:val="restart"/>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700" w:type="dxa"/>
            <w:vAlign w:val="bottom"/>
            <w:gridSpan w:val="3"/>
            <w:vMerge w:val="restart"/>
          </w:tcPr>
          <w:p>
            <w:pPr>
              <w:ind w:left="4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75"/>
        </w:trPr>
        <w:tc>
          <w:tcPr>
            <w:tcW w:w="690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620" w:type="dxa"/>
            <w:vAlign w:val="bottom"/>
            <w:vMerge w:val="continue"/>
          </w:tcPr>
          <w:p>
            <w:pPr>
              <w:spacing w:after="0"/>
              <w:rPr>
                <w:sz w:val="23"/>
                <w:szCs w:val="23"/>
                <w:color w:val="auto"/>
              </w:rPr>
            </w:pPr>
          </w:p>
        </w:tc>
        <w:tc>
          <w:tcPr>
            <w:tcW w:w="370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90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62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700" w:type="dxa"/>
            <w:vAlign w:val="bottom"/>
            <w:gridSpan w:val="3"/>
          </w:tcPr>
          <w:p>
            <w:pPr>
              <w:ind w:left="16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issuer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ind w:right="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44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40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680"/>
              <w:spacing w:after="0"/>
              <w:rPr>
                <w:sz w:val="20"/>
                <w:szCs w:val="20"/>
                <w:color w:val="auto"/>
              </w:rPr>
            </w:pPr>
            <w:r>
              <w:rPr>
                <w:rFonts w:ascii="Times New Roman" w:cs="Times New Roman" w:eastAsia="Times New Roman" w:hAnsi="Times New Roman"/>
                <w:sz w:val="14"/>
                <w:szCs w:val="14"/>
                <w:color w:val="auto"/>
              </w:rPr>
              <w:t>Accelerated filer</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40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6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90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4960" w:type="dxa"/>
            <w:vAlign w:val="bottom"/>
          </w:tcPr>
          <w:p>
            <w:pPr>
              <w:ind w:left="2680"/>
              <w:spacing w:after="0"/>
              <w:rPr>
                <w:sz w:val="20"/>
                <w:szCs w:val="20"/>
                <w:color w:val="auto"/>
              </w:rPr>
            </w:pPr>
            <w:r>
              <w:rPr>
                <w:rFonts w:ascii="Times New Roman" w:cs="Times New Roman" w:eastAsia="Times New Roman" w:hAnsi="Times New Roman"/>
                <w:sz w:val="14"/>
                <w:szCs w:val="14"/>
                <w:color w:val="auto"/>
              </w:rPr>
              <w:t>Emerging growth company</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9" w:lineRule="exact"/>
        <w:rPr>
          <w:sz w:val="24"/>
          <w:szCs w:val="24"/>
          <w:color w:val="auto"/>
        </w:rPr>
      </w:pPr>
    </w:p>
    <w:p>
      <w:pPr>
        <w:ind w:right="56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7" w:lineRule="exact"/>
        <w:rPr>
          <w:sz w:val="24"/>
          <w:szCs w:val="24"/>
          <w:color w:val="auto"/>
        </w:rPr>
      </w:pPr>
    </w:p>
    <w:p>
      <w:pPr>
        <w:ind w:right="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4"/>
          <w:szCs w:val="24"/>
          <w:color w:val="auto"/>
        </w:rPr>
      </w:pPr>
    </w:p>
    <w:p>
      <w:pPr>
        <w:ind w:right="2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6" w:lineRule="exact"/>
        <w:rPr>
          <w:sz w:val="24"/>
          <w:szCs w:val="24"/>
          <w:color w:val="auto"/>
        </w:rPr>
      </w:pPr>
    </w:p>
    <w:p>
      <w:pPr>
        <w:spacing w:after="0" w:line="161" w:lineRule="exact"/>
        <w:tabs>
          <w:tab w:leader="none" w:pos="6660" w:val="left"/>
          <w:tab w:leader="none" w:pos="72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00" w:lineRule="exact"/>
        <w:rPr>
          <w:sz w:val="24"/>
          <w:szCs w:val="24"/>
          <w:color w:val="auto"/>
        </w:rPr>
      </w:pPr>
    </w:p>
    <w:p>
      <w:pPr>
        <w:spacing w:after="0" w:line="236" w:lineRule="auto"/>
        <w:rPr>
          <w:sz w:val="20"/>
          <w:szCs w:val="20"/>
          <w:color w:val="auto"/>
        </w:rPr>
      </w:pPr>
      <w:r>
        <w:rPr>
          <w:rFonts w:ascii="Times New Roman" w:cs="Times New Roman" w:eastAsia="Times New Roman" w:hAnsi="Times New Roman"/>
          <w:sz w:val="14"/>
          <w:szCs w:val="14"/>
          <w:color w:val="auto"/>
        </w:rPr>
        <w:t>As of June 28, 2024, the last business day of the registrant’s most recently completed second fiscal quarter, the aggregate market value of the registrant’s common stock held by non-affiliates of the registrant was approximately $94.4 million, based on the closing price of the registrant’s common stock on the Nasdaq Global Select Market on June 28, 2024 of $1.22 per share. Shares of the registrant’s common stock held by each officer and director and each person known to the registrant to own 10% or more of the outstanding common stock of the registrant have been excluded in that such persons may be deemed affiliates. This determination of affiliate status is not a determination for other purposes.</w:t>
      </w:r>
    </w:p>
    <w:p>
      <w:pPr>
        <w:spacing w:after="0" w:line="28" w:lineRule="exact"/>
        <w:rPr>
          <w:sz w:val="24"/>
          <w:szCs w:val="24"/>
          <w:color w:val="auto"/>
        </w:rPr>
      </w:pPr>
    </w:p>
    <w:p>
      <w:pPr>
        <w:ind w:right="80"/>
        <w:spacing w:after="0" w:line="241" w:lineRule="auto"/>
        <w:rPr>
          <w:sz w:val="20"/>
          <w:szCs w:val="20"/>
          <w:color w:val="auto"/>
        </w:rPr>
      </w:pPr>
      <w:r>
        <w:rPr>
          <w:rFonts w:ascii="Times New Roman" w:cs="Times New Roman" w:eastAsia="Times New Roman" w:hAnsi="Times New Roman"/>
          <w:sz w:val="14"/>
          <w:szCs w:val="14"/>
          <w:color w:val="auto"/>
        </w:rPr>
        <w:t>As of February 28, 2025, 80,099,889 shares of the registrant’s common stock, $0.00001 par value per share, were outstanding. This number does not include 6,923,077 shares of common stock issuable upon the exercise of pre-funded warrants outstanding as of February 28, 2025 (which are immediately exercisable at an exercise price of $0.00001 per share of common stock, subject to beneficial ownership limitations) sold in the registrant’s private placement in July 2023. See Note 12— Common Stock to the registrant’s audited financial statements.</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57" w:lineRule="exact"/>
        <w:rPr>
          <w:sz w:val="24"/>
          <w:szCs w:val="24"/>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Portions of the registrant’s definitive proxy statement to be filed for its 2025 Annual Meeting of Stockholders are incorporated by reference into Part III hereof. Such proxy statement will be filed with the Securities and Exchange Commission within 120 days of the end of the fiscal year covered by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580" w:type="dxa"/>
            <w:vAlign w:val="bottom"/>
            <w:gridSpan w:val="11"/>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rPr>
              <w:t>CYTOMX THERAPEUTICS, INC.</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580" w:type="dxa"/>
            <w:vAlign w:val="bottom"/>
            <w:gridSpan w:val="11"/>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100" w:type="dxa"/>
            <w:vAlign w:val="bottom"/>
            <w:gridSpan w:val="9"/>
          </w:tcPr>
          <w:p>
            <w:pPr>
              <w:jc w:val="center"/>
              <w:ind w:right="38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1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tcBorders>
              <w:lef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Business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6"/>
            <w:vMerge w:val="continue"/>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7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6"/>
            <w:vMerge w:val="continue"/>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1C.</w:t>
            </w:r>
          </w:p>
        </w:tc>
        <w:tc>
          <w:tcPr>
            <w:tcW w:w="7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6"/>
            <w:vMerge w:val="continue"/>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7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6"/>
            <w:vMerge w:val="continue"/>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74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6"/>
            <w:vMerge w:val="continue"/>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6"/>
            <w:vMerge w:val="continue"/>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460" w:type="dxa"/>
            <w:vAlign w:val="bottom"/>
            <w:gridSpan w:val="4"/>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1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6"/>
            <w:vMerge w:val="continue"/>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[Reserved]</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78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6"/>
            <w:vMerge w:val="continue"/>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7A.</w:t>
            </w:r>
          </w:p>
        </w:tc>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6"/>
            <w:vMerge w:val="continue"/>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6"/>
            <w:vMerge w:val="continue"/>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60" w:type="dxa"/>
            <w:vAlign w:val="bottom"/>
            <w:gridSpan w:val="6"/>
            <w:vMerge w:val="continue"/>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9A.</w:t>
            </w:r>
          </w:p>
        </w:tc>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6"/>
            <w:vMerge w:val="continue"/>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9B.</w:t>
            </w:r>
          </w:p>
        </w:tc>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6"/>
            <w:vMerge w:val="continue"/>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9C.</w:t>
            </w:r>
          </w:p>
        </w:tc>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EE"/>
            </w:tcBorders>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6"/>
            <w:vMerge w:val="continue"/>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8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20" w:type="dxa"/>
            <w:vAlign w:val="bottom"/>
            <w:tcBorders>
              <w:bottom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11.</w:t>
            </w:r>
          </w:p>
        </w:tc>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6"/>
            <w:vMerge w:val="continue"/>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12.</w:t>
            </w:r>
          </w:p>
        </w:tc>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6"/>
            <w:vMerge w:val="continue"/>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13.</w:t>
            </w:r>
          </w:p>
        </w:tc>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6"/>
            <w:vMerge w:val="continue"/>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14.</w:t>
            </w:r>
          </w:p>
        </w:tc>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6"/>
            <w:vMerge w:val="continue"/>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6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20" w:type="dxa"/>
            <w:vAlign w:val="bottom"/>
            <w:tcBorders>
              <w:bottom w:val="single" w:sz="8" w:color="0000EE"/>
            </w:tcBorders>
          </w:tcPr>
          <w:p>
            <w:pPr>
              <w:spacing w:after="0"/>
              <w:rPr>
                <w:sz w:val="24"/>
                <w:szCs w:val="24"/>
                <w:color w:val="auto"/>
              </w:rPr>
            </w:pPr>
          </w:p>
        </w:tc>
        <w:tc>
          <w:tcPr>
            <w:tcW w:w="380" w:type="dxa"/>
            <w:vAlign w:val="bottom"/>
            <w:gridSpan w:val="2"/>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6280" w:type="dxa"/>
            <w:vAlign w:val="bottom"/>
            <w:gridSpan w:val="1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6"/>
            <w:vMerge w:val="continue"/>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900" w:type="dxa"/>
            <w:vAlign w:val="bottom"/>
            <w:gridSpan w:val="1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3"/>
        </w:trPr>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certain forward-looking statements that involve risks and uncertainties.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“projection,”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number of important factors could cause our actual results to differ materially from those indicated in these forward-looking statements, including those factors identified in “Risk Factors” or “Management’s Discussion and Analysis of Financial Condition and Results of Operations” or the following:</w:t>
      </w:r>
    </w:p>
    <w:p>
      <w:pPr>
        <w:spacing w:after="0" w:line="175" w:lineRule="exact"/>
        <w:rPr>
          <w:sz w:val="20"/>
          <w:szCs w:val="20"/>
          <w:color w:val="auto"/>
        </w:rPr>
      </w:pPr>
    </w:p>
    <w:p>
      <w:pPr>
        <w:ind w:left="1020" w:right="400" w:hanging="503"/>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benefits, activity, effectiveness and safety of our product candidates and therapeutics developed utilizing our PROBODY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conditionally activated platform technology;</w:t>
      </w:r>
    </w:p>
    <w:p>
      <w:pPr>
        <w:spacing w:after="0" w:line="1"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ongoing clinical trials, research and development programs, preclinical studies, and Investigational New Drug Application (“IND”), Clinical Trial Application, New Drug Application (“NDA”), Biologics License Application (“BLA”); and other regulatory submissions;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completion of our ongoing clinical trials and the timing and availability of clinical data from such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develop additional product candidates;</w:t>
      </w:r>
    </w:p>
    <w:p>
      <w:pPr>
        <w:spacing w:after="0" w:line="117" w:lineRule="exact"/>
        <w:rPr>
          <w:rFonts w:ascii="Times New Roman" w:cs="Times New Roman" w:eastAsia="Times New Roman" w:hAnsi="Times New Roman"/>
          <w:sz w:val="18"/>
          <w:szCs w:val="18"/>
          <w:color w:val="auto"/>
        </w:rPr>
      </w:pPr>
    </w:p>
    <w:p>
      <w:pPr>
        <w:ind w:left="1020" w:right="8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collaborators for developing, obtaining regulatory approval for and commercializing product candidates in the collaboration;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a collaborator’s ability to obtain and maintain regulatory approval of any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and timing of any milestone payments or royalties under any research collaboration and license agreements or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beliefs regarding the evolution of the market for cancer therapies and development of the oncology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any approved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any approved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and retain commercial rights for our product candidates in such collaborations;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technologies and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future revenue and capital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funds for our operations;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any collaborator’s ability to obtain and maintain intellectual property protection for our technologies and product candidates and our ability to operate our business without infringing the intellectual property rights of others;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our preclinical studies or any future clinical trials;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supply and manufacturing partners to supply the materials and components for, and manufacture, our research and development, preclinical and clinical trial product supplies;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key management and technical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and maintain licenses of intellectual property to protect our technologies and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 w:name="page4"/>
    <w:bookmarkEnd w:id="3"/>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our industry, international conflict or uncertainties;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any future pandemic and related governmental regulations and restrictions may impact our business, including our research, clinical trials, which include ongoing site initiation and patient enrollment, manufacturing and financial condition;</w:t>
      </w:r>
    </w:p>
    <w:p>
      <w:pPr>
        <w:spacing w:after="0" w:line="162"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Any forward-looking statements in this Annual Report on Form 10-K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 Item 1A. Risk Factors and discussed elsewhere in this Annual Report on Form 10-K.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9"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This Annual Report on Form 10-K also contains estimates, projections and other information concerning our industry, our business and the markets for certain drugs and therapeutic biologics,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In some cases, we do not expressly refer to the sources from which these data are derived.</w:t>
      </w:r>
    </w:p>
    <w:p>
      <w:pPr>
        <w:spacing w:after="0" w:line="17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Except where the context otherwise requires, in this Annual Report on Form 10-K, “we,” “us,” “our” and the “Company” refer to CytomX Therapeutics, Inc.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Annual Report on Form 10-K includes trademarks, service marks and trade names owned by us or other companies. All trademarks, service marks and trade names included in this Annual Report on Form 10-K are the property of their respective owners.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We are providing the following summary of risk factors contained in this Annual Report on Form 10-K to enhance the readability and accessibility of our risk factor disclosures in accordance with SEC rules. Please carefully review the full risk factors pertaining to this summary and to additional general risk factors contained in this Annual Report on Form 10-K in their entirety for additional information regarding the material factors that make an investment in our securities speculative or risky. These risks and uncertainties include, but are not limited to, the following:</w:t>
      </w:r>
    </w:p>
    <w:p>
      <w:pPr>
        <w:spacing w:after="0" w:line="72"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biopharmaceutical company with a limited operating history and have not generated any revenue from product sales.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we will need to raise substantial additional funds to advance development of our product candidates and we cannot guarantee that this additional funding will be available on acceptable terms or at all.</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involves a lengthy and expensive process with an uncertain outcome, and results of earlier studies and trials may not be predictive of future trial results.</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are in early stages of development and may fail or suffer delays that materially and adversely affect their commercial viability.</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initial and preliminary data from our clinical trials, including the ongoing Phase 1 clinical trials of CX-2051, CX-904 and CX-801, that we announce or publish from time to time may change as more patient data become available and are subject to audit and verification procedures that could result in material changes in the final data.</w:t>
      </w:r>
    </w:p>
    <w:p>
      <w:pPr>
        <w:spacing w:after="0" w:line="67" w:lineRule="exact"/>
        <w:rPr>
          <w:rFonts w:ascii="Times New Roman" w:cs="Times New Roman" w:eastAsia="Times New Roman" w:hAnsi="Times New Roman"/>
          <w:sz w:val="18"/>
          <w:szCs w:val="18"/>
          <w:color w:val="auto"/>
        </w:rPr>
      </w:pPr>
    </w:p>
    <w:p>
      <w:pPr>
        <w:ind w:left="1020" w:right="34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spacing w:after="0" w:line="6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of patients in clinical trials, our receipt of necessary regulatory approvals could be delayed or prevented.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ind w:left="503" w:right="28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conduct clinical trials and contract with third-party manufacturers in foreign countries, including China, which could expose us to risks that could have a material adverse effect on the success of our business.</w:t>
      </w:r>
    </w:p>
    <w:p>
      <w:pPr>
        <w:spacing w:after="0" w:line="53" w:lineRule="exact"/>
        <w:rPr>
          <w:rFonts w:ascii="Times New Roman" w:cs="Times New Roman" w:eastAsia="Times New Roman" w:hAnsi="Times New Roman"/>
          <w:sz w:val="18"/>
          <w:szCs w:val="18"/>
          <w:color w:val="auto"/>
        </w:rPr>
      </w:pPr>
    </w:p>
    <w:p>
      <w:pPr>
        <w:ind w:left="503" w:right="4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spacing w:after="0" w:line="67" w:lineRule="exact"/>
        <w:rPr>
          <w:rFonts w:ascii="Times New Roman" w:cs="Times New Roman" w:eastAsia="Times New Roman" w:hAnsi="Times New Roman"/>
          <w:sz w:val="18"/>
          <w:szCs w:val="18"/>
          <w:color w:val="auto"/>
        </w:rPr>
      </w:pPr>
    </w:p>
    <w:p>
      <w:pPr>
        <w:ind w:left="503" w:right="1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53" w:lineRule="exact"/>
        <w:rPr>
          <w:rFonts w:ascii="Times New Roman" w:cs="Times New Roman" w:eastAsia="Times New Roman" w:hAnsi="Times New Roman"/>
          <w:sz w:val="18"/>
          <w:szCs w:val="18"/>
          <w:color w:val="auto"/>
        </w:rPr>
      </w:pPr>
    </w:p>
    <w:p>
      <w:pPr>
        <w:ind w:left="503" w:right="160" w:hanging="503"/>
        <w:spacing w:after="0" w:line="261"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71"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the discovery and development of our therapeutic treatments is based on novel technologies that are unproven and may not result in marketable products.</w:t>
      </w:r>
    </w:p>
    <w:p>
      <w:pPr>
        <w:spacing w:after="0" w:line="53" w:lineRule="exact"/>
        <w:rPr>
          <w:rFonts w:ascii="Times New Roman" w:cs="Times New Roman" w:eastAsia="Times New Roman" w:hAnsi="Times New Roman"/>
          <w:sz w:val="18"/>
          <w:szCs w:val="18"/>
          <w:color w:val="auto"/>
        </w:rPr>
      </w:pPr>
    </w:p>
    <w:p>
      <w:pPr>
        <w:ind w:left="503" w:right="4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may not be receptive to our product candidates based on a novel therapeutic modality, and we may not generate any future revenue from the sale or licensing of product candidates.</w:t>
      </w:r>
    </w:p>
    <w:p>
      <w:pPr>
        <w:spacing w:after="0" w:line="53" w:lineRule="exact"/>
        <w:rPr>
          <w:rFonts w:ascii="Times New Roman" w:cs="Times New Roman" w:eastAsia="Times New Roman" w:hAnsi="Times New Roman"/>
          <w:sz w:val="18"/>
          <w:szCs w:val="18"/>
          <w:color w:val="auto"/>
        </w:rPr>
      </w:pPr>
    </w:p>
    <w:p>
      <w:pPr>
        <w:ind w:left="503"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spacing w:after="0" w:line="67" w:lineRule="exact"/>
        <w:rPr>
          <w:rFonts w:ascii="Times New Roman" w:cs="Times New Roman" w:eastAsia="Times New Roman" w:hAnsi="Times New Roman"/>
          <w:sz w:val="18"/>
          <w:szCs w:val="18"/>
          <w:color w:val="auto"/>
        </w:rPr>
      </w:pPr>
    </w:p>
    <w:p>
      <w:pPr>
        <w:ind w:left="503" w:right="52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collaborators cease development efforts under our collaboration agreements, or if any of those agreements are terminated, these collaborations may fail to lead to commercial products and we may never receive milestone payments or future royalties under these agreements.</w:t>
      </w:r>
    </w:p>
    <w:p>
      <w:pPr>
        <w:spacing w:after="0" w:line="67" w:lineRule="exact"/>
        <w:rPr>
          <w:rFonts w:ascii="Times New Roman" w:cs="Times New Roman" w:eastAsia="Times New Roman" w:hAnsi="Times New Roman"/>
          <w:sz w:val="18"/>
          <w:szCs w:val="18"/>
          <w:color w:val="auto"/>
        </w:rPr>
      </w:pPr>
    </w:p>
    <w:p>
      <w:pPr>
        <w:ind w:left="503" w:right="12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achieve our projected development and commercialization goals in the timeframes we announce and expect the commercialization of any of our product candidates may be delayed, or never attained, and our business will be harmed.</w:t>
      </w:r>
    </w:p>
    <w:p>
      <w:pPr>
        <w:spacing w:after="0" w:line="53" w:lineRule="exact"/>
        <w:rPr>
          <w:rFonts w:ascii="Times New Roman" w:cs="Times New Roman" w:eastAsia="Times New Roman" w:hAnsi="Times New Roman"/>
          <w:sz w:val="18"/>
          <w:szCs w:val="18"/>
          <w:color w:val="auto"/>
        </w:rPr>
      </w:pPr>
    </w:p>
    <w:p>
      <w:pPr>
        <w:jc w:val="both"/>
        <w:ind w:left="503" w:right="8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p>
    <w:p>
      <w:pPr>
        <w:spacing w:after="0" w:line="67"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develop companion diagnostic tests for certain of our product candidates, or experience significant delays in doing so, we may not realize the full commercial potential of our product candidates.</w:t>
      </w:r>
    </w:p>
    <w:p>
      <w:pPr>
        <w:spacing w:after="0" w:line="53" w:lineRule="exact"/>
        <w:rPr>
          <w:rFonts w:ascii="Times New Roman" w:cs="Times New Roman" w:eastAsia="Times New Roman" w:hAnsi="Times New Roman"/>
          <w:sz w:val="18"/>
          <w:szCs w:val="18"/>
          <w:color w:val="auto"/>
        </w:rPr>
      </w:pPr>
    </w:p>
    <w:p>
      <w:pPr>
        <w:ind w:left="503"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67" w:lineRule="exact"/>
        <w:rPr>
          <w:rFonts w:ascii="Times New Roman" w:cs="Times New Roman" w:eastAsia="Times New Roman" w:hAnsi="Times New Roman"/>
          <w:sz w:val="18"/>
          <w:szCs w:val="18"/>
          <w:color w:val="auto"/>
        </w:rPr>
      </w:pPr>
    </w:p>
    <w:p>
      <w:pPr>
        <w:ind w:left="503" w:right="220" w:hanging="503"/>
        <w:spacing w:after="0" w:line="312" w:lineRule="auto"/>
        <w:tabs>
          <w:tab w:leader="none" w:pos="503"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not able to comply with the requirements of Section 404 of the Sarbanes-Oxley Act of 2002 in a timely manner or with adequate compliance, we may be subject to a loss of stockholder confidence and sanctions or investigations by regulatory authorities or litigation.</w:t>
      </w:r>
    </w:p>
    <w:p>
      <w:pPr>
        <w:spacing w:after="0" w:line="31" w:lineRule="exact"/>
        <w:rPr>
          <w:rFonts w:ascii="Times New Roman" w:cs="Times New Roman" w:eastAsia="Times New Roman" w:hAnsi="Times New Roman"/>
          <w:sz w:val="17"/>
          <w:szCs w:val="17"/>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may be volatile and purchasers of our common stock could incur substantial losses.</w:t>
      </w:r>
    </w:p>
    <w:p>
      <w:pPr>
        <w:spacing w:after="0" w:line="117" w:lineRule="exact"/>
        <w:rPr>
          <w:rFonts w:ascii="Times New Roman" w:cs="Times New Roman" w:eastAsia="Times New Roman" w:hAnsi="Times New Roman"/>
          <w:sz w:val="18"/>
          <w:szCs w:val="18"/>
          <w:color w:val="auto"/>
        </w:rPr>
      </w:pPr>
    </w:p>
    <w:p>
      <w:pPr>
        <w:ind w:left="503" w:right="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pandemic could adversely impact our business, including our research, development, including clinical trials, manufacturing and financial condition.</w:t>
      </w:r>
    </w:p>
    <w:p>
      <w:pPr>
        <w:spacing w:after="0" w:line="337" w:lineRule="exact"/>
        <w:rPr>
          <w:sz w:val="20"/>
          <w:szCs w:val="20"/>
          <w:color w:val="auto"/>
        </w:rPr>
      </w:pPr>
    </w:p>
    <w:p>
      <w:pPr>
        <w:jc w:val="center"/>
        <w:ind w:right="437"/>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3"/>
          </w:cols>
          <w:pgMar w:left="837" w:top="1093" w:right="39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We are a clinical-stage, oncology-focused biopharmaceutical company developing novel, masked, conditionally activated biologics designed to be localized to the tumor microenvironment. We aim to build a commercial enterprise to maximize our impact on the treatment of cancer. By pioneering a novel class of localized biologic drug candidates, powered by our PROBODY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therapeutic technology platform, we lead the field of masked, conditionally activated oncology therapeutics and have established biologics localization as a strategic area of research and development. Our vision is to transform lives with safer, more effective therapies with the goal of addressing major unmet needs in oncology.</w:t>
      </w:r>
    </w:p>
    <w:p>
      <w:pPr>
        <w:spacing w:after="0" w:line="19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proprietary, versatile, multi-modality PROBODY technology platform is designed to enable conditional activation of biologic therapeutic candidates within the tumor microenvironment while minimizing drug activity in healthy tissues and circulation. Our platform is built on a strong foundation of tumor biology expertise including deep knowledge of tumor-associated enzymes known as proteases. Proteases are tightly controlled in normal tissues but often dysregulated and active in the tumor microenvironments where they play important roles in cancer cell migration, invasion and metastasis. Leveraging our deep scientific knowledge, we conceived of and constructed our PROBODY therapeutic platform which allows us to genetically engineer biologic therapeutic candidates to contain protease-cleavable masks. Our masking strategy is designed to reduce binding of biologic drugs to their targets until the mask is removed by proteases in the tumor microenvironment, providing more selective targeting of the tumor.</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are employing our PROBODY therapeutic platform technology to address some of the biggest challenges in oncology biologics research and development. These include the validation of potential new targets for antibody-drug conjugates (“ADCs”), opening therapeutic window for novel T-cell engagers (“TCEs”) targeting solid tumors, and increasing the therapeutic index for immune modulators such as cytokines.</w:t>
      </w:r>
    </w:p>
    <w:p>
      <w:pPr>
        <w:spacing w:after="0" w:line="176"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We have utilized our PROBODY therapeutic platform to build a promising clinical-stage pipeline of potential first-in-class and best-in-class clinical-stage molecules. CX-2051 is an investigational, conditionally activated ADC targeting epithelial cell adhesion molecule (“EpCAM”) and is CytomX’s lead program currently in Phase 1 focused in advanced metastatic colorectal cancer (CRC). CX-801 is an investigational, masked version of interferon alpha-2b (“IFNα2b”) in Phase 1 initially focused in advanced melanoma. CX-904, a conditionally activated, PROBODY</w:t>
      </w:r>
      <w:r>
        <w:rPr>
          <w:rFonts w:ascii="Arial" w:cs="Arial" w:eastAsia="Arial" w:hAnsi="Arial"/>
          <w:sz w:val="24"/>
          <w:szCs w:val="24"/>
          <w:color w:val="auto"/>
          <w:vertAlign w:val="superscript"/>
        </w:rPr>
        <w:t>®</w:t>
      </w:r>
      <w:r>
        <w:rPr>
          <w:rFonts w:ascii="Times New Roman" w:cs="Times New Roman" w:eastAsia="Times New Roman" w:hAnsi="Times New Roman"/>
          <w:sz w:val="18"/>
          <w:szCs w:val="18"/>
          <w:color w:val="auto"/>
        </w:rPr>
        <w:t xml:space="preserve"> TCE, targeting the epidermal growth factor receptor (“EGFR”) on tumor cells and the CD3 receptor on T cells, was being developed by CytomX in Phase 1 dose escalation as part of a global co-development alliance with Amgen.</w:t>
      </w:r>
    </w:p>
    <w:p>
      <w:pPr>
        <w:spacing w:after="0" w:line="197"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Our current clinical-stage molecules address targets or mechanisms that have been previously validated as having anti-cancer activity but that have been limited in their utilization due to systemic toxicities. We have incorporated our broad masking and conditional activation expertise, and ongoing clinical trial learnings, to optimize predicted therapeutic index and the clinical potential of these promising agents through tumor localization.</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also have a pre-clinical pipeline, including multiple collaboration programs. CytomX has established and has ongoing research collaborations with partners Amgen, Astellas, Bristol Myers Squibb, Moderna, and Regeneron with the majority of these programs currently focused on TCEs.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Strategy</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are utilizing our proprietary, versatile, multi-modality PROBODY platform to create a pipeline of biologic therapeutics to improve the lives of people with cancer and to build a long-term, multi-product, commercial biopharmaceutical company. We aim to achieve this goal by:</w:t>
      </w:r>
    </w:p>
    <w:p>
      <w:pPr>
        <w:spacing w:after="0" w:line="54" w:lineRule="exact"/>
        <w:rPr>
          <w:sz w:val="20"/>
          <w:szCs w:val="20"/>
          <w:color w:val="auto"/>
        </w:rPr>
      </w:pPr>
    </w:p>
    <w:p>
      <w:pPr>
        <w:ind w:left="1020" w:hanging="503"/>
        <w:spacing w:after="0" w:line="254"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Advancing potentially first-in-class therapies against validated, high potential anti-cancer targets that have not yet been broadly developed as systemic therapies because of target expression in healthy tissue. CX-2051, targeting EpCAM, is a novel ADC program in this category. CX-2051 is designed to optimize the therapeutic index for EpCAM-expressing epithelial cancers, including colorectal cancer (CRC). CX-2051 is armed with a cytotoxic payload (CAMP59), a camptothecin-based topoisomerase-1 inhibitor, a drug class with long history in the treatment of many cancers. The investigational new drug application (“IND”) for CX-2051 was allowed to proceed by the FDA in January of 2024 and a Phase 1 study was initiated in the second quarter of 2024. CX-2051 is currently in Phase 1 dose escalation. In Phase 1 dose escalation to date, CX-2051 has demonstrated a favorable tolerability profile. Doses predicted to be therapeutically active have been attained. The CX-2051 Phase 1 study is ongoing and has reached the seventh dose level. Initial CX-2051 data in advanced metastatic CRC is expected in the first half of 2025.</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6" w:name="page7"/>
    <w:bookmarkEnd w:id="6"/>
    <w:p>
      <w:pPr>
        <w:ind w:left="1020" w:hanging="503"/>
        <w:spacing w:after="0" w:line="248"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Unlocking high potential immunotherapeutics that have been previously limited in their systemic use due to toxicities. To this end, we have advanced CX-801, a masked version of interferon alpha-2b, towards the clinic. Interferon alpha-2b is a validated, previously approved immunotherapeutic that has demonstrated clinical activity in multiple cancer types, including in combination with checkpoint inhibitors. Despite this previous validation, IFNα2b-based systemic therapies have been limited in their utilization due to systemic toxicities. CX-801 is an investigational, dually masked, conditionally activated version of IFNα2b that is designed to be preferentially active in the tumor microenvironment. The IND for CX-801 was allowed to proceed by the FDA in January of 2024 and commenced Phase 1 clinical testing in the third quarter of 2024. The Phase 1 study is focused in advanced melanoma and will investigate CX-801 as monotherapy and in combination with PD-1 inhibitor, KEYTRUDA</w:t>
      </w:r>
      <w:r>
        <w:rPr>
          <w:rFonts w:ascii="Arial" w:cs="Arial" w:eastAsia="Arial" w:hAnsi="Arial"/>
          <w:sz w:val="24"/>
          <w:szCs w:val="24"/>
          <w:color w:val="auto"/>
          <w:vertAlign w:val="superscript"/>
        </w:rPr>
        <w:t>®</w:t>
      </w:r>
      <w:r>
        <w:rPr>
          <w:rFonts w:ascii="Times New Roman" w:cs="Times New Roman" w:eastAsia="Times New Roman" w:hAnsi="Times New Roman"/>
          <w:sz w:val="18"/>
          <w:szCs w:val="18"/>
          <w:color w:val="auto"/>
        </w:rPr>
        <w:t>. The Phase 1 study is currently in the fourth monotherapy dose escalation cohort where the dose of CX-801 exceeds the approved dose of the unmasked peginterferon alfa-2b (SYLATRON™). Initial Phase 1a translational data in advanced melanoma is expected in the second half of 2025.</w:t>
      </w:r>
    </w:p>
    <w:p>
      <w:pPr>
        <w:spacing w:after="0" w:line="83" w:lineRule="exact"/>
        <w:rPr>
          <w:rFonts w:ascii="Times New Roman" w:cs="Times New Roman" w:eastAsia="Times New Roman" w:hAnsi="Times New Roman"/>
          <w:sz w:val="18"/>
          <w:szCs w:val="18"/>
          <w:color w:val="auto"/>
        </w:rPr>
      </w:pPr>
    </w:p>
    <w:p>
      <w:pPr>
        <w:ind w:left="1020" w:right="20" w:hanging="503"/>
        <w:spacing w:after="0" w:line="258"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the multi-modality capabilities of our platform to advance novel, high potential therapeutic formats into the clinic such as TCEs. The field of TCEs for solid tumors has gained momentum as a strategic area of research and development but continues to be challenging for many targets due to limited therapeutic window. We believe our PROBODY platform is well-suited to address this challenge by localizing the potent anti-tumor activity of TCEs and potentially limiting systemic toxicities. We have a broad effort in the field of TCEs including active programs with our partners, Astellas, Regeneron, Bristol Myers Squibb and Amgen.</w:t>
      </w:r>
    </w:p>
    <w:p>
      <w:pPr>
        <w:spacing w:after="0" w:line="75"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Partnering with leading global biopharmaceutical companies to access capital, additional resources and expertise, as well as increase the number of PROBODY therapeutic candidates being advanced into clinical studies. We currently have several strategic alliances with major multinational drug companies, including Amgen, Inc. (“Amgen”), Bristol Myers Squibb, Astellas Pharma Inc. (“Astellas”), Regeneron Pharmaceuticals Inc. (“Regeneron”), and ModernaTX, Inc., a wholly owned subsidiary of Moderna, Inc (“Moderna”).</w:t>
      </w:r>
    </w:p>
    <w:p>
      <w:pPr>
        <w:spacing w:after="0" w:line="71"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Fostering a unique, patient-focused culture centered around our Company vision of transforming lives with safer, more effective therapies and executing with focus towards our mission to urgently advance our pipeline of PROBODY therapeutics.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 of Masked, Conditionally Activated Product Candidates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leveraging our PROBODY platform across multiple modalities to build a robust pipeline of potential therapies that are designed to address high unmet needs. CytomX’s pipeline spans pre-clinical and clinical programs and includes a range of therapeutic formats including antibody drug conjugates, T-cell engagers, immunotherapies, and mRNA. The table below depicts the current status of our clinical-stage, conditionally activated product candidates, including potential milestones in 2025. Our current lead clinical programs focus on validated targets, for which substantial potential remains if they can be improved by widening the therapeutic index. By employing tailored masking strategies and choosing an optimal effector function (e.g. ADC, cytokine, TCE), each program has been designed to optimize therapeutic window in order to address large unmet needs in oncology markets.</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CytomX Pipeline of Clinical Stage PROBODY Therapeutics and 2025 Potential Milestones</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as of March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74295</wp:posOffset>
            </wp:positionV>
            <wp:extent cx="6035040" cy="1800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504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CX-2051 was licensed from ImmunoGen (acquired by AbbVie in 2024)</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CX-2051, A PROBODY Topoisomerase-1 ADC Targeting EpCAM</w:t>
      </w:r>
    </w:p>
    <w:p>
      <w:pPr>
        <w:spacing w:after="0" w:line="121"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field of ADCs has made tremendous progress in recent years in hematologic and increasingly, in solid tumors. ADCs are making a difference for patients across a wide range of tumors and continue to move earlier in the treatment paradigm across certain malignancies. The success of the field has driven increased interest in this modality including the need to identify novel ADC targets as well as optimized linker payloads.</w:t>
      </w:r>
    </w:p>
    <w:p>
      <w:pPr>
        <w:spacing w:after="0" w:line="6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EpCAM is a strategic pan-tumor target with high potential across many tumor types. EpCAM has been clinically validated with locally administered, approved cancer therapies. However, efforts to generate systemic anti-EpCAM therapeutics have, to date, not been successful due to toxicities in epithelial tissues. CX-2051, a conditionally activated ADC, is designed to optimize the therapeutic index for EpCAM-expressing epithelial cancers, including colorectal cancer. CX-2051 is armed with a cytotoxic payload (CAMP59), a camptothecin-based topoisomerase-1 inhibitor, a drug class with long history in the treatment of many cancers. The payload-PROBODY linker in CX-2051 is optimized for bystander effect, that is, the killing of neighboring cancer cells.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Preclinically, CX-2051 has demonstrated a wide predicted therapeutic index, as well as strong activity and tolerability in multiple preclinical models, including in colorectal cancer. In preclinical safety studies in cynomolgus monkeys, CX-2051 was tolerated at doses at least six times higher than an unmasked EpCAM ADC. Based on the wide predicted therapeutic index, we believe CX-2051 has the potential to address a broad range of EpCAM expressing solid tumors and make a significant difference for patients. The preclinical results for CX-2051 were presented at the World ADC Conference in 2023.</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IND for CX-2051 was allowed to proceed by the FDA in January 2024 and the Phase 1 study of CX-2051 started in the second quarter of 2024 with an initial focus in CRC. CX-2051 is currently in Phase 1 dose escalation. In Phase 1 dose escalation to date, CX-2051 has demonstrated a favorable tolerability profile and doses predicted to be therapeutically active have been attained. The CX-2051 Phase 1 study has reached the seventh dose level with initial data in advanced metastatic CRC expected in the first half of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CX-801, A PROBODY Cytokine, Interferon alpha-2b (IFNα2b)</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With the emergence and impact of checkpoint inhibitors, many cancer patients have benefited from immunotherapy treatment yet significant unmet need remains in patients who either do not respond to immunotherapies or who need additional treatments upon recurrence of their disease. We believe our PROBODY IFNα2b provides a potentially unique approach to locally activating anti-tumor immune responses. CX-801 is designed to leverage the dual mechanism of action of IFNα2b that can directly kill cancer cells while also increasing antigen presentation.</w:t>
      </w:r>
    </w:p>
    <w:p>
      <w:pPr>
        <w:spacing w:after="0" w:line="180"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Interferon alpha-2b is also a validated, previously approved immunotherapeutic that has demonstrated clinical activity in multiple cancer types, including in combination with checkpoint inhibitors. Additionally, Adstiladrin</w:t>
      </w:r>
      <w:r>
        <w:rPr>
          <w:rFonts w:ascii="Arial" w:cs="Arial" w:eastAsia="Arial" w:hAnsi="Arial"/>
          <w:sz w:val="25"/>
          <w:szCs w:val="25"/>
          <w:color w:val="auto"/>
          <w:vertAlign w:val="superscript"/>
        </w:rPr>
        <w:t>®</w:t>
      </w:r>
      <w:r>
        <w:rPr>
          <w:rFonts w:ascii="Times New Roman" w:cs="Times New Roman" w:eastAsia="Times New Roman" w:hAnsi="Times New Roman"/>
          <w:sz w:val="18"/>
          <w:szCs w:val="18"/>
          <w:color w:val="auto"/>
        </w:rPr>
        <w:t xml:space="preserve"> , a gene therapy encoding interferon alpha-2b and used for local treatment of BCG-unresponsive non-muscle invasive bladder cancer ("NMIBC"), was approved for use in 2022.</w:t>
      </w:r>
    </w:p>
    <w:p>
      <w:pPr>
        <w:spacing w:after="0" w:line="198"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Despite this previous validation, IFNα2b-based systemic therapies have been limited in their utilization due to systemic toxicities and poor tolerability, leading to high discontinuation rates. CX-801 is an investigational, dually masked, conditionally activated version of IFNα2b that is designed to be preferentially active in the tumor microenvironment. We believe we have optimized the predicted therapeutic index of CX-801 by masking the molecule using both a peptide mask to block binding to the receptor in the periphery and an Fc steric mask, both of which are unmasked by protease activity in the tumor tissue. In preclinical studies, CX-801 was tolerated at doses more than 100-fold higher than unmasked IFNα2b. PROBODY IFNα2b also showed synergistic effects with checkpoint inhibitors in preclinical models and the ability to inflame the tumor microenvironment. The preclinical profile of CX-801 was presented at SITC 2023.</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IND for CX-801 was allowed to proceed by the FDA in January 2024 and Phase 1 dose escalation started in the third quarter of 2024 with an initial focus in advanced melanoma. The Phase 1 study is currently in the fourth monotherapy dose escalation cohort where the dose of CX-801 exceeds the approved dose of the unmasked peginterferon alfa-2b (SYLATRON™). The Phase 1 dose escalation study will evaluate safety and signs of clinical activity for CX-801 monotherapy and in combination with KEYTRUDA. Initial Phase 1a dose escalation data focused on translational biomarkers are expected in the second half of 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CX-904, A PROBODY TCE Targeting EGFR and CD3</w:t>
      </w:r>
    </w:p>
    <w:p>
      <w:pPr>
        <w:spacing w:after="0" w:line="121"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We have extended our PROBODY platform to the promising modality of TCEs. Conventional TCEs are a highly potent therapeutic modality designed to direct the tumor cell killing activity of cytotoxic T cells to tumors. TCEs such as the BiTE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molecule, Blincyto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 CD19-directed TCE commercialized by Amgen, have shown clinical activity in hematologic malignancies, but broad development of TCEs for solid tumor indications has been challenging. Due to their high potency, TCEs can target normal tissues with low antigen expression, which may result in significant toxicity. We believe these toxicity challenges could be addressed using our PROBODY</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platform by localizing the activity of TCEs to the tumor microenvironment thereby increasing the therapeutic index for TCEs in solid tumors.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most advanced program in this modality was CX-904, a conditionally activated epidermal growth factor receptor-CD3 (“EGFRxCD3”) TCE, which we partnered with Amgen. The strategy for CX-904 is to utilize EGFR expression as an "address" to localize T-cells to solid tumors. EGFR is a broadly expressed, highly validated antibody target with multiple approved therapies on the market. CX-904 is a bispecific antibody targeting EGFR and CD3 that is masked on both binding domains to potentially mitigate both EGFR and CD3 related toxicities. CX-904 has been optimized in preclinical studies and we believe may result in a novel approach to address EGFR positive solid tumors.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preclinical studies, our PROBODY EGFRxCD3 TCE therapeutics demonstrated anti-tumor activity and better tolerability when compared to EGFRxCD3 TCEs without PROBODY masking. In May 2022, the first patient was dosed in a Phase 1 study in patients with advanced solid tumors. In May 2024, we disclosed initial data based on an April 16, 2024 data cutoff from the Phase 1 clinical study that demonstrated that CX-904 had been generally well tolerated and showed initial signs of antitumor activity. As of the data cutoff, the CX-904-101 study had enrolled 35 patients with advanced metastatic solid tumor types that are generally known to express EGFR, including pancreatic, colorectal (CRC), non-small cell lung cancer (NSCLC), head and neck squamous cell carcinoma (HNSCC), gastric, and esophageal cancers. Patients enrolled in the study were heavily pre-treated and had a median of 4 prior lines of therapy. As of the cutoff date, CX-904 was generally well tolerated. There were no observed cases of cytokine release syndrome (CRS) of any grade in step-dosing cohorts as of the cutoff date. In non-step dosing cohorts, only Grade 1 CRS was observed in patients treated at the highest dose of 6 mg. Overall, the most common treatment-related adverse events (TRAEs) were rash, arthralgia, arthritis, pruritis, and vomiting, the majority of which were low grade, being observed in 14 (40%), 13 (37%), 5 (14%), 5 (14%) and 5 (14%) of patients, respectively. Grade 3 adverse events were tenosynovitis (n=1), arthralgia (n=2), arthritis (n=1), rash (n=1).</w:t>
      </w:r>
    </w:p>
    <w:p>
      <w:pPr>
        <w:spacing w:after="0" w:line="1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the data cutoff, 8 patients had measurable tumor reduction per RECIST 1.1, including 2 of 6 efficacy-evaluable patients (33%) with pancreatic cancer who achieved confirmed partial responses. Preliminary pharmacokinetic and pharmacodynamic data were consistent with the PROBODY TCE proposed mechanism of action, including maintained masking in circulation, and CD8+ T-cell margination and tumor infiltration. As of the end of 2024, the Phase 1 study of CX-904 had enrolled over 70 patients. The 15 mg target step-dose level had been cleared and the maximum tolerated dose had not been reached. Based on CX-904 clinical observations to-date as well as CytomX pipeline priorities, in March 2025, CytomX and Amgen jointly decided to not further develop the CX-904 program.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CytomX Platform and Pipeline Breadth Including Partnered Pipeline</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continue to innovate and improve our platform technology and extend the reach of our science through partnering and internal development of our pipeline. Our sustained efforts in research have resulted in an industry-leading level of breadth and depth with conditional activation and a wide range of therapeutic conditionally activated modalities including ADCs, TCEs, cytokines and mRNAs. Our current generation of pipeline molecules integrate learnings in how to best utilize our technology and optimize the design of product candidates to enhance probability of success.</w:t>
      </w:r>
    </w:p>
    <w:p>
      <w:pPr>
        <w:spacing w:after="0" w:line="180"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successful development of our product candidates involves a lengthy and expensive process with an uncertain outcome, and preliminary or interim results of our studies may not be predictive of the final results from those trials and the results of earlier studies and trials may not be predictive of future trial results. This is due to the numerous risks and uncertainties associated with the development of product candidates. If our PROBODY therapeutic technology and product candidates generally prove to be ineffective, unsafe or commercially unviable, it would have a material and adverse effect on our business, financial condition, results of operations and prospects. See “Risk Factors” for a discussion of the risks and uncertainties associated with our product candidates and our research and development projects.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PROBODY Platform</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Localization of therapeutic activity of potent biologics within disease tissue is of increasing interest in the biopharmaceutical industry due to the desire to maximize the activity of biologics while reducing their toxicities. A PROBODY therapeutic candidate consists of three components: an active anti-cancer biologic therapeutic, a mask, and a protease-cleavable linker which connects the mask to the biologic therapeutic. The mask is a peptide designed to disguise the active binding site of the biologic therapeutic to prevent it from binding to the target present on healthy tissue. The Company has had sustained research efforts and continuous innovation around the PROBODY Platform and has invested significant resources to develop the technology. As of January 2025, our fully- and co-owned patent portfolio contains at least 250 granted patents and at least 400 pending patent applications.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graphic depicts the three components of a PROBODY therapeutic candidate: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774700</wp:posOffset>
            </wp:positionV>
            <wp:extent cx="6172200" cy="26492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172200" cy="264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Depiction of the structure of a PROBODY therapeutic candidate and a protease interacting with the PROBODY candidate to cleave the linker and activate the molecule</w:t>
      </w:r>
    </w:p>
    <w:p>
      <w:pPr>
        <w:spacing w:after="0" w:line="16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When a PROBODY therapeutic candidate enters a tumor, it encounters proteases, which are enzymes that cleave proteins and have increased activity in the tumor microenvironment. The proteases in the tumor cleave the linker, releasing the mask and allowing the biologic to bind to the target on the tumor. The following graphic depicts the way a PROBODY therapeutic candidate is designed to be activated by proteases: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123190</wp:posOffset>
            </wp:positionV>
            <wp:extent cx="5974715" cy="13627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74715" cy="136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Depiction of how a PROBODY therapeutic is designed to enter the tumor microenvironment (left), be activated by protease cleavage to remove the mask (middle), thereby enabling the released biologic to bind to the tumor target (right)</w:t>
      </w:r>
    </w:p>
    <w:p>
      <w:pPr>
        <w:spacing w:after="0" w:line="16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Proteases play an essential role in many aspects of normal physiology, such as digestion of food in the gastrointestinal tract, wound healing and metabolic function. However, uncontrolled protease activity can lead to destruction of essential proteins and tissues. Therefore, proteases are normally very tightly regulated by multiple mechanisms, with only small amounts of extracellular protease activity being detectable in healthy tissues. In contrast, it has been well documented that proteases are not only present, but also activated, in virtually all types of tumors, playing a key role in tumor growth, invasion and metastasis. PROBODY therapeutics are designed to be activated in this protease-rich tumor microenvironment, but not in healthy tissue where proteases are under tight control. Consequently, we believe that toxicities that arise from the binding of a biologic therapeutic to a target in healthy tissues can be reduced, while biological activity against the tumor can be preserved. We and our partners are investigating the potential of our PROBODY platform across multiple modalities, including ADCs, cancer immunotherapy, TCEs, and cytokines.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multi-modality PROBODY therapeutic platform provides the following key advantages:</w:t>
      </w:r>
    </w:p>
    <w:p>
      <w:pPr>
        <w:spacing w:after="0" w:line="113" w:lineRule="exact"/>
        <w:rPr>
          <w:sz w:val="20"/>
          <w:szCs w:val="20"/>
          <w:color w:val="auto"/>
        </w:rPr>
      </w:pPr>
    </w:p>
    <w:p>
      <w:pPr>
        <w:ind w:left="1020" w:right="120" w:hanging="503"/>
        <w:spacing w:after="0" w:line="268"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 novel biologic therapeutic class enabled by our proprietary platform. </w:t>
      </w:r>
      <w:r>
        <w:rPr>
          <w:rFonts w:ascii="Times New Roman" w:cs="Times New Roman" w:eastAsia="Times New Roman" w:hAnsi="Times New Roman"/>
          <w:sz w:val="18"/>
          <w:szCs w:val="18"/>
          <w:color w:val="auto"/>
        </w:rPr>
        <w:t>By pioneering a novel class of conditionally activated, localized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biologic candidates, we are a leader in the field and have established masking as a strategic area of biologics research and development. Our technology platform is supported by more than a decade of research and a strong</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ind w:left="1020" w:right="360"/>
        <w:spacing w:after="0" w:line="266" w:lineRule="auto"/>
        <w:rPr>
          <w:sz w:val="20"/>
          <w:szCs w:val="20"/>
          <w:color w:val="auto"/>
        </w:rPr>
      </w:pPr>
      <w:r>
        <w:rPr>
          <w:rFonts w:ascii="Times New Roman" w:cs="Times New Roman" w:eastAsia="Times New Roman" w:hAnsi="Times New Roman"/>
          <w:sz w:val="18"/>
          <w:szCs w:val="18"/>
          <w:color w:val="auto"/>
        </w:rPr>
        <w:t>intellectual property portfolio. More than 500 patients with diverse tumor types have been treated with our PROBODY therapeutic candidates in multiple clinical studies, providing clinical proof of concept and a deep knowledge base for translational advancement and optimization of our drug candidates and platform.</w:t>
      </w:r>
    </w:p>
    <w:p>
      <w:pPr>
        <w:spacing w:after="0" w:line="64" w:lineRule="exact"/>
        <w:rPr>
          <w:sz w:val="20"/>
          <w:szCs w:val="20"/>
          <w:color w:val="auto"/>
        </w:rPr>
      </w:pPr>
    </w:p>
    <w:p>
      <w:pPr>
        <w:ind w:left="1020" w:right="20" w:hanging="503"/>
        <w:spacing w:after="0" w:line="282" w:lineRule="auto"/>
        <w:tabs>
          <w:tab w:leader="none" w:pos="10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 broad multi-modality technology for improvement of therapeutic index. </w:t>
      </w:r>
      <w:r>
        <w:rPr>
          <w:rFonts w:ascii="Times New Roman" w:cs="Times New Roman" w:eastAsia="Times New Roman" w:hAnsi="Times New Roman"/>
          <w:sz w:val="17"/>
          <w:szCs w:val="17"/>
          <w:color w:val="auto"/>
        </w:rPr>
        <w:t>By engineering our therapeutics to selectively activate in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tumor microenvironment, our PROBODY product candidates have the potential to improve safety and tolerability. We are applying our technology to some of the biggest challenges in oncology biologics research and development today. Namely, the validation of potential new targets for ADCs, opening solid tumor opportunities for TCEs, and increasing the therapeutic index for immunotherapies such as cytokines.</w:t>
      </w:r>
    </w:p>
    <w:p>
      <w:pPr>
        <w:spacing w:after="0" w:line="53" w:lineRule="exact"/>
        <w:rPr>
          <w:rFonts w:ascii="Times New Roman" w:cs="Times New Roman" w:eastAsia="Times New Roman" w:hAnsi="Times New Roman"/>
          <w:sz w:val="17"/>
          <w:szCs w:val="17"/>
          <w:color w:val="auto"/>
        </w:rPr>
      </w:pPr>
    </w:p>
    <w:p>
      <w:pPr>
        <w:ind w:left="1020" w:hanging="503"/>
        <w:spacing w:after="0" w:line="268"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Ability to combine more effectively with other therapies. </w:t>
      </w:r>
      <w:r>
        <w:rPr>
          <w:rFonts w:ascii="Times New Roman" w:cs="Times New Roman" w:eastAsia="Times New Roman" w:hAnsi="Times New Roman"/>
          <w:sz w:val="18"/>
          <w:szCs w:val="18"/>
          <w:color w:val="auto"/>
        </w:rPr>
        <w:t>We believe the therapeutic index and tumor specificity of our drug candidates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potential to reduce the dose-limiting toxicities observed in combination therapies and thus enable new combinations with other cancer therapies that are difficult or impossible to use.</w:t>
      </w:r>
    </w:p>
    <w:p>
      <w:pPr>
        <w:spacing w:after="0" w:line="62" w:lineRule="exact"/>
        <w:rPr>
          <w:rFonts w:ascii="Times New Roman" w:cs="Times New Roman" w:eastAsia="Times New Roman" w:hAnsi="Times New Roman"/>
          <w:sz w:val="18"/>
          <w:szCs w:val="18"/>
          <w:color w:val="auto"/>
        </w:rPr>
      </w:pPr>
    </w:p>
    <w:p>
      <w:pPr>
        <w:ind w:left="1020" w:right="80" w:hanging="503"/>
        <w:spacing w:after="0" w:line="25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Molecular tunability and applicability across many targets. </w:t>
      </w:r>
      <w:r>
        <w:rPr>
          <w:rFonts w:ascii="Times New Roman" w:cs="Times New Roman" w:eastAsia="Times New Roman" w:hAnsi="Times New Roman"/>
          <w:sz w:val="18"/>
          <w:szCs w:val="18"/>
          <w:color w:val="auto"/>
        </w:rPr>
        <w:t>Our proprietary masking technologies allow for unique customization of large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drug candidate pools from which high potential clinical candidates are selected. Our technology has the potential to address many different molecular targets expressed by a wide range of tumor types, including targets that are difficult to address due to their widespread expression on healthy cells. EpCAM is an example of such a target, for which we have developed CX-2051, a masked, conditionally activated</w:t>
      </w:r>
    </w:p>
    <w:p>
      <w:pPr>
        <w:spacing w:after="0" w:line="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PROBODY ADC.</w:t>
      </w:r>
    </w:p>
    <w:p>
      <w:pPr>
        <w:spacing w:after="0" w:line="94" w:lineRule="exact"/>
        <w:rPr>
          <w:rFonts w:ascii="Times New Roman" w:cs="Times New Roman" w:eastAsia="Times New Roman" w:hAnsi="Times New Roman"/>
          <w:sz w:val="18"/>
          <w:szCs w:val="18"/>
          <w:color w:val="auto"/>
        </w:rPr>
      </w:pPr>
    </w:p>
    <w:p>
      <w:pPr>
        <w:ind w:left="1020" w:right="20" w:hanging="503"/>
        <w:spacing w:after="0" w:line="268"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Deep knowledge of the tumor protease microenvironment. </w:t>
      </w:r>
      <w:r>
        <w:rPr>
          <w:rFonts w:ascii="Times New Roman" w:cs="Times New Roman" w:eastAsia="Times New Roman" w:hAnsi="Times New Roman"/>
          <w:sz w:val="18"/>
          <w:szCs w:val="18"/>
          <w:color w:val="auto"/>
        </w:rPr>
        <w:t>Our extensive protease biology expertise, driven by state-of-the-art experimental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computational methods, allows us to employ multiple approaches to generate novel targeted, multi-selective, and potentially indication-tailored protease-cleavable substrates.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Collaborations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believe that the PROBODY platform has broad applicability across many cancer types, biological targets and antibody modalities. We have leveraged strategic partnering to (a) extend the reach of our technology, and (b) bring in significant non-dilutive capital into the Company. Since 2013, we have entered into several collaborations, including with Amgen, Astellas, Bristol Myers Squibb, ImmunoGen, Moderna, and Regeneron to enable the discovery and development of certain PROBODY therapeutics. In constructing each of these collaborations, our primary objectives are to collaborate with leading biopharmaceutical players to realize the potential of PROBODY therapeutics, gain meaningful near-term funding or access technology to enable the advancement of our wholly owned PROBODY therapeutics pipeline, potentially broadening the number of PROBODY therapeutics that ultimately reach the clinic.</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Amgen, Inc.</w:t>
      </w:r>
    </w:p>
    <w:p>
      <w:pPr>
        <w:spacing w:after="0" w:line="1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September 2017, we entered into a Collaboration and License Agreement (the “Amgen Agreement”) with Amgen. Pursuant to the Amgen Agreement, we received an upfront payment of $40.0 million in October 2017. Concurrent with the entry into the Amgen Agreement, Amgen purchased 1,156,069 shares of our common stock for $20.0 million.</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Under the terms of the Amgen Agreement, we and Amgen were co-developing a conditionally activated T-cell engager ("TCE") targeting epidermal growth factor receptor (the “EGFR Products”). We were responsible for early-stage development of EGFR Products and Amgen was to be responsible for late-stage development and commercialization of EGFR Products. Based on CX-904 clinical observations to-date as well as CytomX pipeline priorities, in March 2025, CytomX and Amgen have jointly decided to not further develop the CX-904 program.</w:t>
      </w:r>
    </w:p>
    <w:p>
      <w:pPr>
        <w:spacing w:after="0" w:line="18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October 2021, we and Amgen executed an amendment to the Amgen Agreement primarily to (1) extend the target selection date for Amgen to select its additional targets for research and development, and (2) reduce the total number of milestone events and increase the total amount of milestone payments for EGFR Products. Subsequent amendments have extended the target selection dates to March 31, 2025.</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Amgen also had the right to select a total of up to three targets, including the two additional targets discussed below. We and Amgen collaborate in the research and development of conditionally activated T-cell engaging bispecific therapies directed against such targets. Amgen has selected one such target (the “Amgen Other Product”). If Amgen exercises its option by March 31, 2025, it can select two such additional targets (the “Amgen Option Products” and, together with the Amgen Other Product, the “Amgen Products”). Except with respect to preclinical activities to be conducted by us, Amgen will be responsible, at its expense, for the development, manufacture, and commercialization of all Amgen Products. If Amgen exercises all of its options and advances all three of the Amgen Products, we are eligible to receive up to $950.0 million in upfront, development, regulatory, and commercial milestones and tiered high single-digit to low-teen percentage royalties.</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1" w:name="page12"/>
    <w:bookmarkEnd w:id="11"/>
    <w:p>
      <w:pPr>
        <w:ind w:right="60"/>
        <w:spacing w:after="0" w:line="258" w:lineRule="auto"/>
        <w:rPr>
          <w:sz w:val="20"/>
          <w:szCs w:val="20"/>
          <w:color w:val="auto"/>
        </w:rPr>
      </w:pPr>
      <w:r>
        <w:rPr>
          <w:rFonts w:ascii="Times New Roman" w:cs="Times New Roman" w:eastAsia="Times New Roman" w:hAnsi="Times New Roman"/>
          <w:sz w:val="18"/>
          <w:szCs w:val="18"/>
          <w:color w:val="auto"/>
        </w:rPr>
        <w:t>Under the Amgen Agreement, we had the option to select from specified programs, an existing pre-clinical stage T-cell Engager product from the Amgen pre-clinical pipeline. In March 2018, CytomX selected the program and this program is currently in preclinical studies. We have the opportunity, at our expense, to convert this program to a conditionally activated T-cell Engager product, and thereafter, to be responsible for development, manufacturing, and commercialization of the product (“CytomX Product”). Amgen is eligible to receive up to $203.0 million in development, regulatory, and commercial milestone payments for the CytomX Product, and tiered mid-single digit to low double-digit percentage royalties.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Astellas Pharma Inc</w:t>
      </w:r>
    </w:p>
    <w:p>
      <w:pPr>
        <w:spacing w:after="0" w:line="119"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In March 2020, we entered into a Collaboration and License Agreement (the “Astellas Agreement”) with Astellas, pursuant to which we and Astellas will collaborate on the research, development and commercialization of TCE (“Products”) directed to CD3 and selected tumor antigen targets using our PROBODY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platform and other proprietary technology. Under the Astellas Agreement, we granted Astellas an exclusive, worldwide, royalty-bearing license to develop and commercialize Products in all fields. Astellas was able to select up to four targets to develop, and had an option to expand to six targets. We will lead preclinical research and discovery activities up to clinical candidate selection for Products directed against up to four targets. Astellas will lead preclinical and clinical development of and regulatory approval for all Products. Astellas will be responsible for commercializing each Product, provided that we will have the option to elect to co-commercialize certain Products with Astellas in the United States, subject to the terms of a separate commercialization agreement to be entered into between us and Astellas.</w:t>
      </w:r>
    </w:p>
    <w:p>
      <w:pPr>
        <w:spacing w:after="0" w:line="19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Under the terms of the Astellas Agreement, we received an upfront payment of $80 million, and Astellas will be responsible for funding the cost of preclinical research and discovery activities of both parties for all Products and for funding the cost of development and commercialization of all Products worldwide. Under the agreement, we are eligible to receive future preclinical, clinical and commercial milestones of approximately $1.2 billion. Astellas will pay us tiered royalties on global net sales of Products from high single-digit to mid-teens percentages, subject to certain reductions. Astellas’ royalty obligations continue with respect to each country and each Product until the later of (i) the date on which such Product is no longer covered by certain intellectual property rights, (ii) the 10th anniversary of the first commercial sale of such product in such country, and (iii) the loss of regulatory exclusivity for such Product in such country.</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for a specified number of targets, at a pre-specified time prior to the initiation of the first pivotal study of a Product directed against such target, we will have an option to elect to co-fund certain subsequently initiated clinical trials for such Product. If we opt in, we would be responsible for a pre-determined portion of the costs of such trials, subject to specified caps, deferrals and offsets. We would then have the option to elect to co-commercialize such Products in the United States. For any such Products, in lieu of royalties in the United States, we will receive less than 40% of the profits for such Products in the United States and tiered low double-digit to mid-teens percentage royalties on net sales of such Products outside of the United States, subject to certain reductions.</w:t>
      </w:r>
    </w:p>
    <w:p>
      <w:pPr>
        <w:spacing w:after="0" w:line="18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January 2023, Astellas nominated the first clinical candidate under the collaboration which resulted in a $5.0 million milestone payment to CytomX. In March 2024, we achieved a clinical candidate milestone for a second collaboration target and a GLP toxicology initiation milestone for the first collaboration target nominated in January 2023 under the Astellas Agreement. We collected these milestone payments totaling $10.0 million in April 2024. In the first quarter 2025, Astellas chose not to continue with IND enabling activities for the first collaboration target and prioritized the second collaboration target nominated in the collaboration. Astellas initiated GLP toxicology studies for the second collaboration target nominated triggering a $5.0 million milestone payment to CytomX in the first quarter of 2025.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Bristol Myers Squibb Company</w:t>
      </w:r>
    </w:p>
    <w:p>
      <w:pPr>
        <w:spacing w:after="0" w:line="1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May 2014, we and Bristol Myers Squibb entered into a Collaboration and License Agreement (the “BMS Agreement”) to discover and develop compounds for use in human therapeutics aimed at multiple immuno-oncology targets using our PROBODY therapeutic technology. Pursuant to the BMS Agreement, the financial consideration from Bristol Myers Squibb was comprised of an upfront payment of $50.0 million and estimated research and development service fees, and the Company was initially entitled to receive contingent payments of up to $25.0 million for additional targets and contingent payments for development, regulatory and sales milestones. In addition, the Company was entitled to royalty payments in the mid-single digits to low double-digit percentages from potential future sales.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March 17, 2017, the Company and Bristol Myers Squibb amended the BMS agreement and entered into Amendment Number 1 to Extend Collaboration and License Agreement (“Amendment 1”). Amendment 1 granted Bristol Myers Squibb exclusive worldwide rights to develop and commercialize PROBODY therapeutics for up to eight additional targets. The effective date of Amendment 1 was April 25, 2017 (“Amendment Effective Date”). Under the terms of Amendment 1, the Company continued to have obligations to Bristol Myers Squibb to discover and conduct preclinical development of PROBODY therapeutics against any targets they chose to select during the research period under the terms of Amendment 1.</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spacing w:after="0" w:line="255" w:lineRule="auto"/>
        <w:rPr>
          <w:sz w:val="20"/>
          <w:szCs w:val="20"/>
          <w:color w:val="auto"/>
        </w:rPr>
      </w:pPr>
      <w:r>
        <w:rPr>
          <w:rFonts w:ascii="Times New Roman" w:cs="Times New Roman" w:eastAsia="Times New Roman" w:hAnsi="Times New Roman"/>
          <w:sz w:val="18"/>
          <w:szCs w:val="18"/>
          <w:color w:val="auto"/>
        </w:rPr>
        <w:t>Pursuant to Amendment 1, the financial consideration from Bristol Myers Squibb was comprised of an upfront payment of $200.0 million, estimated research and development service fees, and contingent payments for development, regulatory and sales milestones for the eight targets. The Company was also entitled to tiered mid-single to low double-digit percentage royalties from potential future sales. Amendment 1 did not change the term of Bristol Myers Squibb’s royalty obligation under the BMS Agreement. Bristol Myers Squibb’s royalty obligation continues on a licensed-product by licensed-product basis until the later of (i) the expiration of the last claim of the licensed patents covering the licensed products in the country, (ii) the twelfth anniversary of the first commercial sale of a licensed product in a country, or (iii) the expiration of any applicable regulatory, pediatric, orphan drug or data exclusivity with respect to such product.</w:t>
      </w:r>
    </w:p>
    <w:p>
      <w:pPr>
        <w:spacing w:after="0" w:line="21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February 2021, the Company and Bristol Myers Squibb amended the BMS agreement and entered into Amendment Number 2 to amend the Collaboration and License Agreement (“Amendment 2”), as previously amended by Amendment 1. Subsequent to Amendment 2, in addition to Bristol Myers Squibb’s ongoing development of the CTLA-4 program, Bristol Myers Squibb also had the exclusive worldwide rights to develop and commercialize PROBODY therapeutics for up to five oncology targets. Under the terms of Amendment 2, the period for target selection was extended and in 2022, all remaining targets were selected. The Company will continue to collaborate with Bristol Myers Squibb to discover and conduct preclinical development of PROBODY therapeutics against targets selected by Bristol Myers Squibb over the estimated research period, which is projected to end in April 2025. Pursuant to Amendment 2, the Company was eligible to receive contingent payments for development, regulatory and sales milestones. It is also entitled to tiered mid-single to low double-digit percentage of royalties from potential future sales.</w:t>
      </w:r>
    </w:p>
    <w:p>
      <w:pPr>
        <w:spacing w:after="0" w:line="21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October 2022, the Company and Bristol Myers Squibb amended the BMS Agreement and entered into Amendment Number 3 (“Amendment 3”), as previously amended by Amendment 1 and Amendment 2, to clarify the rights and restrictions of certain new proprietary antibodies that the parties exchanged. There were no substantive changes to each party's performance obligations.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BMS-986288 is a PROBODY version of non-fucosylated ipilimumab. The non-fucosylated Fc region of BMS-986288 enhances antigen-presenting cell-mediated T-cell priming and regulatory T-cell (Treg) modulation and is therefore intended to confer increased potency compared to fucosylated ipilimumab. Bristol Myers Squibb was evaluating the safety and efficacy of BMS-986288 alone and in combination with nivolumab in a Phase 1/2 study in patients with certain advanced solid tumors. In February 2023, Bristol Myers Squibb advanced BMS-986288 to Phase 2 and prioritized the molecule as its lead next-generation CTLA-4 program over its non-fucosylated CTLA-4 antibody ("BMS-986218") and the PROBODY version of ipilumamab ("BMS-986249"). The Phase 2 study for BMS-986288 included proof-of-concept studies in NSCLC and MSS CRC. In March 2024, following a Bristol Myers Squibb corporate portfolio prioritization process, Bristol Myers Squibb notified CytomX that it does not intend to continue the development of BMS-986288 beyond the current Phase 2 study and terminated its collaboration license on the CTLA-4 target under the collaboration.</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June 2024, Bristol Myers Squibb prioritized its pre-clinical research activities under the collaboration and revised the research scope by one collaboration target. The Company determined that it has no further obligations related to the target that was deprioritized and accounted for the reduction of the target as a modification and the related remaining unrecognized transaction price was reallocated to the remaining performance obligations. The Company continues to be obligated to perform research work under Amendment 2 executed in February 2021 for multiple ongoing research programs. The research term defined in Amendment 2 concludes in the second quarter of 2025, at which point, Bristol Myers Squibb is responsible for the future preclinical and clinical development of collaboration programs they chose to advance.</w:t>
      </w:r>
    </w:p>
    <w:p>
      <w:pPr>
        <w:spacing w:after="0" w:line="18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is eligible to receive approximately $1.3 billion in contingent payments for development, regulatory and sales milestones for the ongoing collaboration programs.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Moderna, Inc</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In December 2022, the Company entered into a Collaboration and License Agreement (the “Moderna Agreement”) with Moderna, pursuant to which the Company and Moderna will collaborate on the creation of mRNA-based conditionally-activated investigational therapies utilizing the Company's PROBODY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therapeutic platform and Moderna’s mRNA and lipid nanoparticle technologies. The collaboration will leverage core scientific advances at Moderna and the Company to open up the strategy of encoding potent, masked biologics through mRNA technologies, for the potential treatment of oncology and non-oncology conditions. The Company and Moderna will collaborate on a specified number of preclinical research and discovery programs (“Moderna Collaboration Programs”) within a specified period under the Collaboration and License Agreement.</w:t>
      </w:r>
    </w:p>
    <w:p>
      <w:pPr>
        <w:spacing w:after="0" w:line="19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Under the Moderna Agreement, the Company granted Moderna an exclusive, worldwide, royalty-bearing license under certain Company intellectual property to develop, manufacture, commercialize and otherwise exploit certain products (“Moderna Licensed</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3" w:name="page14"/>
    <w:bookmarkEnd w:id="13"/>
    <w:p>
      <w:pPr>
        <w:ind w:right="400"/>
        <w:spacing w:after="0" w:line="282" w:lineRule="auto"/>
        <w:rPr>
          <w:sz w:val="20"/>
          <w:szCs w:val="20"/>
          <w:color w:val="auto"/>
        </w:rPr>
      </w:pPr>
      <w:r>
        <w:rPr>
          <w:rFonts w:ascii="Times New Roman" w:cs="Times New Roman" w:eastAsia="Times New Roman" w:hAnsi="Times New Roman"/>
          <w:sz w:val="18"/>
          <w:szCs w:val="18"/>
          <w:color w:val="auto"/>
        </w:rPr>
        <w:t>Products”) for all human and non-human diagnostic, prophylactic and therapeutic uses, subject to certain exceptions with respect to Licensed Products within certain Collaboration Programs.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terms of the Moderna Agreement, Moderna made an upfront payment to the Company of $35 million, including $5 million of pre-paid research funding. CytomX will continue to receive research funding based on the aligned scopes of work between the two companies and CytomX will be eligible to receive future development, regulatory and commercial milestone payments of up to $1.2 billion for all Moderna Licensed Products in total under the Moderna Agreement. Moderna will pay the Company tiered royalties on global net sales of Moderna Licensed Products from high single digit to low-teen percentages, subject to certain reductions. Moderna's royalty obligations continue with respect to each country and each Product until the later of (i) the date on which such Licensed Product is no longer covered by certain patent rights, (ii) the 10th anniversary of the first commercial sale of such product in such country, and (iii) the loss of regulatory exclusivity for such Moderna Licensed Product in such country.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Regeneron Pharmaceuticals, Inc.</w:t>
      </w:r>
    </w:p>
    <w:p>
      <w:pPr>
        <w:spacing w:after="0" w:line="119"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18"/>
          <w:szCs w:val="18"/>
          <w:color w:val="auto"/>
        </w:rPr>
        <w:t>The Company and Regeneron entered into a Collaboration and License Agreement (the “Regeneron Agreement”) in November 2022, to collaborate on the creation of conditionally activated investigational bispecific cancer therapies utilizing the Company’s PROBODY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therapeutic platform and Regeneron’s Veloci-Bi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bispecific antibody development platform. The Company and Regeneron will collaborate on preclinical research and discovery activities for initially agreed upon collaboration programs (“Regeneron Collaboration Programs”) with an option to include additional Collaboration Programs (“Additional Collaboration Program Option”).</w:t>
      </w:r>
    </w:p>
    <w:p>
      <w:pPr>
        <w:spacing w:after="0" w:line="19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Under the Regeneron Agreement, the Company granted Regeneron an exclusive, worldwide, royalty-bearing license under certain Company intellectual property to develop, manufacture, commercialize and otherwise exploit licensed products (“Regeneron Licensed Products”) for all human and non-human diagnostic, prophylactic and therapeutic uses in oncology.</w:t>
      </w:r>
    </w:p>
    <w:p>
      <w:pPr>
        <w:spacing w:after="0" w:line="17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Regeneron is responsible for funding the cost of preclinical research and discovery activities of both parties for all Regeneron Licensed Products and for funding the cost of development, manufacture and commercialization of all Regeneron Licensed Products worldwide. Pursuant to the Regeneron Agreement, Regeneron made an upfront payment of $30.0 million to the Company. Upon the achievement of certain development and regulatory milestones and commercial milestones, the Company is eligible to receive milestone payments of up to approximately $0.8 billion for the initial Regeneron Collaboration Programs. In addition, the Company will receive research and development funding for the work related to the collaboration. If Regeneron exercises its Additional Collaboration Program Options, the Company would be eligible to receive additional upfront payments, development and regulatory milestones payments, and commercial milestone payments of up to approximately $1.2 billion in aggregate for the additional Regeneron Collaboration Programs, which amount is exclusive of the $0.8 billion for the initial Regeneron Collaboration Programs. The Company is also entitled to tiered royalties from high-single digit to low-teen percentage royalties from potential future sales, subject to certain reductions. Regeneron's royalty obligations continue with respect to each country and each Regeneron Licensed Product until the later of (i) the date on which such Regeneron Licensed Product is no longer covered by certain patent rights, (ii) the 10th anniversary of the first commercial sale of such product in such country, and (iii) the loss of regulatory exclusivity for such Regeneron Licensed Product in such country.</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PROBODY therapeutic candidates are designed to be produced as fully recombinant biologic prodrugs, with certain additional modifications as necessary, such as conjugation of PROBODY ADCs to the selected cytotoxic payload. Our PROBODY therapeutic candidates are also designed to maintain the manufacturability benefits of biologics such as antibodies and leverage manufacturing process technologies used for biologics production in the industry. We conduct cell line development and process development both in-house and in collaboration with contract development and manufacturing organizations (“CMO”). CMOs are responsible for manufacturing of drug substance and clinical drug product materials.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 date, we have generally been able to successfully manufacture our investigational product candidates for our ongoing early-stage clinical trials with contract manufacturers. However, the supply chain for the manufacturing of each of our product candidates is complicated and can involve many parties, including for CX-2051, CX-801, and CX-904. We do not own manufacturing facilities for producing such supplies and rely on third-party contract manufacturers to manufacture our clinical trial and preclinical study product supplies. Our clinical trial manufacturing contractors and suppliers are our sole source for their respective manufacturing and supplies. Failure of any of these contractors could affect our ability to have clinical trial material available when needed and could result in substantial delay of our clinical trials. For example, beginning in October 2023, one of our contract manufacturers for CX-2051 experienced production failures. Although we are taking steps to manage our long-term supply of CX-2051, there can be no assurance that we will not have future production failures, which could affect our ability to conduct our trials for CX-2051 or any other clinical trial drug candidates, including CX-801 and CX-904, on our planned timeline or at all. We do not have any long-term contracts and</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ind w:right="40"/>
        <w:spacing w:after="0" w:line="258" w:lineRule="auto"/>
        <w:rPr>
          <w:sz w:val="20"/>
          <w:szCs w:val="20"/>
          <w:color w:val="auto"/>
        </w:rPr>
      </w:pPr>
      <w:r>
        <w:rPr>
          <w:rFonts w:ascii="Times New Roman" w:cs="Times New Roman" w:eastAsia="Times New Roman" w:hAnsi="Times New Roman"/>
          <w:sz w:val="18"/>
          <w:szCs w:val="18"/>
          <w:color w:val="auto"/>
        </w:rPr>
        <w:t>we do not currently have readily available alternatives for many of our third-party contract manufacturers. Consequently, there can be no assurance that our preclinical and clinical development product supplies will not be limited, interrupted, or of satisfactory quality or continue to be available at acceptable prices. In particular, any replacement of any of our third-party contract manufacturers could require significant effort and expertise because there may be a limited number of qualified replacements. In addition, we may encounter issues with transferring technology to a new third-party manufacturer, and we may encounter regulatory delays if we need to move the manufacturing of our products from one third-party manufacturer to another.</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order to conduct later-stage clinical trials of our product candidates, and eventually, if approved, commercial products, we will need to manufacture them in larger quantities. We, or any manufacturing partners, may be unable to successfully increase the manufacturing scale and capacity for any of our product candidates in a timely or cost-effective manner, or at all. Additionally, in some cases, we may have to start late-stage trials with our earlier clinical trial drug product and later switch to the late-stage or commercial drug product in trial. In such cases, the FDA will require us to complete bridging studies to compare the earlier stage material with the late-stage or commercial material to assure comparability between the earlier trial material and the late-stage or commercial material. Changing the formulation and scale up process is a complicated and difficult task and there can be no assurances that the changes we make to the drug product and manufacturing process will be successful or completed in a timely manner or that the FDA will not require additional development steps or studies.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In-Licenses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License from UCSB</w:t>
      </w:r>
    </w:p>
    <w:p>
      <w:pPr>
        <w:spacing w:after="0" w:line="1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August 2010, we entered into an agreement with UCSB, that grants us an exclusive license, with the right to sublicense, under the patent rights owned by UCSB covering mask and screening technologies relating to the identification and discovery of pro-protein biologics, including masks and substrates, for the identification of pro-proteins, for use in the fields of therapeutics, in vivo diagnostics, and prophylactics (the “UCSB Agreement”). The UCSB Agreement also grants us an exclusive license, with the right to sublicense, under UCSB’s interest in certain patent rights we co-own with UCSB covering PROBODY antibodies and other pro-proteins in the fields of therapeutics, in vivo diagnostics and prophylactics.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obligated to pay to UCSB royalties on net sales of licensed products in the low single digit percentages, subject to annual minimum amounts as well as certain reductions. We are required to make milestone payments to UCSB on the accomplishment of certain milestones totaling up to $1.1 million for each of the first two indications for each licensed product consisting of a molecule or compound covered by the licensed patent rights. If the Company sublicenses its rights under the UCSB Agreement, it must pay UCSB a percentage of our total sublicense revenues ranging from the mid-single to mid-teen percentages, which total amount would be first reduced by the aggregate amount of certain research and development related expenses incurred by the Company and other permitted deductions.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from ImmunoGen, Inc. (acquired by AbbVie in 2024)</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January 2014, CytomX and ImmunoGen entered into the Research Collaboration Agreement (the “ImmunoGen Research Agreement”). The ImmunoGen Research Agreement provided us with the right to use ImmunoGen’s ADC technology for praluzatamab ravtansine (CX-2009) (the “CX-2009 License”). In July 2022, we announced Phase 2 clinical trial results for CX-2009 in breast cancer. The study met its primary endpoint but did not show the required progression free survival. The program was deprioritized. In 2025, CytomX terminated the CX-2009 License. Under the agreement, ImmunoGen exercised an option to obtain a development and commercialization license for a target, EpCAM. At the end of 2019, as a result of a strategic restructuring by ImmunoGen and its decision to out-license certain programs, we obtained a worldwide, exclusive, sublicensable license to the EpCAM conditionally activated ADC program from ImmunoGen (the “ImmunoGen 2019 License”).</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ImmunoGen 2019 License, we gained worldwide development and commercialization rights to the EpCAM conditionally activated ADC program and, in return, we made an upfront payment of $7.5 million, and we will pay up to $35.0 million in certain clinical development milestones and up to $320.0 million in regulatory approval and commercial milestones payments, if achieved. Immunogen is also entitled to royalties on product sales ranging from the mid-to-high single digits percentages.</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April 2024, the Company made a $5.0 million payment of the $35.0 million in potential clinical development milestone payments to AbbVie (formerly ImmunoGen) with respect to achieving the milestone of dosing the first patient for CX-2051 under the ImmunoGen 2019 License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CytomX is pioneering a new potential class of potent, anti-cancer biologic therapeutics – the PROBODY conditionally activated therapeutic platform. The biotechnology and biopharmaceutical industries, including the ADC and immuno-oncology subsectors, are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ind w:right="80"/>
        <w:spacing w:after="0" w:line="255" w:lineRule="auto"/>
        <w:rPr>
          <w:sz w:val="20"/>
          <w:szCs w:val="20"/>
          <w:color w:val="auto"/>
        </w:rPr>
      </w:pPr>
      <w:r>
        <w:rPr>
          <w:rFonts w:ascii="Times New Roman" w:cs="Times New Roman" w:eastAsia="Times New Roman" w:hAnsi="Times New Roman"/>
          <w:sz w:val="18"/>
          <w:szCs w:val="18"/>
          <w:color w:val="auto"/>
        </w:rPr>
        <w:t>characterized by rapid evolution of technologies, fierce competition and strong defense of intellectual property. Any product candidates that we successfully develop and commercialize will have to compete with existing therapies and new therapies that may become available in the future. While we believe that our proprietary PROBODY platform and scientific expertise in the field of biologics and immuno-oncology provide us with competitive advantages, a wide variety of institutions, including large biopharmaceutical companies, specialty biotechnology companies, academic research departments and public and private research institutions, are actively developing potentially competitive products and technologies. We face substantial competition from biotechnology and biopharmaceutical companies developing biopharmaceutical products, particularly with respect to ADC, TCE and cytokine therapeutics, where competition is intense and rapidly evolving. These competitors generally fall within the following categories:</w:t>
      </w:r>
    </w:p>
    <w:p>
      <w:pPr>
        <w:spacing w:after="0" w:line="185"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Masking and conditional activation: </w:t>
      </w:r>
      <w:r>
        <w:rPr>
          <w:rFonts w:ascii="Times New Roman" w:cs="Times New Roman" w:eastAsia="Times New Roman" w:hAnsi="Times New Roman"/>
          <w:sz w:val="18"/>
          <w:szCs w:val="18"/>
          <w:color w:val="auto"/>
        </w:rPr>
        <w:t>Several companies, including AbbVie, Adagene, Amgen, BioAtla, Halozyme Therapeutics, Vir Biotechnology,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Merck, Roche, Takeda Pharmaceutical, Werewolf Therapeutics, Janux Therapeutics and Xilio Therapeutics are exploring, researching or developing antibody masking and/or conditional activation strategies, which could compete with our PROBODY platform.</w:t>
      </w:r>
    </w:p>
    <w:p>
      <w:pPr>
        <w:spacing w:after="0" w:line="17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Antibody-drug conjugates: </w:t>
      </w:r>
      <w:r>
        <w:rPr>
          <w:rFonts w:ascii="Times New Roman" w:cs="Times New Roman" w:eastAsia="Times New Roman" w:hAnsi="Times New Roman"/>
          <w:sz w:val="18"/>
          <w:szCs w:val="18"/>
          <w:color w:val="auto"/>
        </w:rPr>
        <w:t>Several large pharmaceutical companies, such as Lilly, AbbVie, Daiichi Sankyo, Gilead Sciences, Pfizer, Roche, Merck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Takeda Pharmaceutical are researching, developing, and in some cases, commercializing ADCs. In addition, numerous smaller companies have ongoing efforts in the space.</w:t>
      </w:r>
    </w:p>
    <w:p>
      <w:pPr>
        <w:spacing w:after="0" w:line="17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Cancer immunotherapies: </w:t>
      </w:r>
      <w:r>
        <w:rPr>
          <w:rFonts w:ascii="Times New Roman" w:cs="Times New Roman" w:eastAsia="Times New Roman" w:hAnsi="Times New Roman"/>
          <w:sz w:val="18"/>
          <w:szCs w:val="18"/>
          <w:color w:val="auto"/>
        </w:rPr>
        <w:t>Cancer immunotherapy is one of the most competitive and fastest growing segments of the pharmaceutical industry. Almost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every large pharmaceutical company is developing or commercializing cancer immunotherapies, including Amgen, AstraZeneca, Bristol Myers Squibb, Celgene, GlaxoSmithKline, Merck, Novartis, Pfizer, Roche, and Sanofi. In addition, many large and mid-sized biotech companies such as BeiGene, Incyte, Nektar Therapeutics, and Alkermes have ongoing efforts in cancer immunotherapy. Numerous smaller companies are also working in this space.</w:t>
      </w:r>
    </w:p>
    <w:p>
      <w:pPr>
        <w:spacing w:after="0" w:line="176"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T-cell engaging therapies: </w:t>
      </w:r>
      <w:r>
        <w:rPr>
          <w:rFonts w:ascii="Times New Roman" w:cs="Times New Roman" w:eastAsia="Times New Roman" w:hAnsi="Times New Roman"/>
          <w:sz w:val="18"/>
          <w:szCs w:val="18"/>
          <w:color w:val="auto"/>
        </w:rPr>
        <w:t>Several large pharmaceutics companies, such as Amgen, Novartis, and Roche, have on-going efforts in the field of T-cell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engagers. In addition, several mid-sized biotech companies such as MacroGenics and Xencor, as well as numerous smaller companies, including Janux Therapeutics, have ongoing efforts in TCEs.</w:t>
      </w:r>
    </w:p>
    <w:p>
      <w:pPr>
        <w:spacing w:after="0" w:line="21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Cytokines: </w:t>
      </w:r>
      <w:r>
        <w:rPr>
          <w:rFonts w:ascii="Times New Roman" w:cs="Times New Roman" w:eastAsia="Times New Roman" w:hAnsi="Times New Roman"/>
          <w:sz w:val="18"/>
          <w:szCs w:val="18"/>
          <w:color w:val="auto"/>
        </w:rPr>
        <w:t>Several companies have ongoing efforts or molecules in development in the field of cytokines including Bristol Myers Squibb, ImmunityBio,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Jazz Pharmaceuticals, Merck, Nektar Therapeutics, Novartis, Sanofi, Werewolf Therapeutics, Xencor, and Xilio Therapeutics.</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Many of our competitors, either alone or with strategic partners, have substantially greater financial, technical and human resources than we do. Accordingly, our competitors may be more successful than us in obtaining approval for treatments and achieving widespread market acceptance, rendering our treatments obsolete or non-competitive. Accelerated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study sites and patient registration for clinical studies and acquiring technologies complementary to, or necessary for, our programs. Smaller or early-stage companies may also prove to be significant competitors, particularly through collaborative arrangements with large and established companies. Our commercial opportunity could be substantially limited in the event that our competitors develop and commercialize products that are more effective, safer, less toxic, more convenient or less expensive than our comparable products. In geographies that are critical to our commercial success, competitors may also obtain regulatory approvals before us, resulting in our competitors building a strong market position in advance of our products’ entry. We believe the factors determining the success of our programs will be the efficacy, safety and convenience of our product candidates.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strive to protect and enhance the proprietary technology, inventions, and improvements that are commercially important to our business, including seeking, maintaining, and defending patent rights, whether developed internally or licensed from third parties. Our policy is to seek to protect our proprietary position by, among other methods, pursuing and obtaining patent protection in the United States and in jurisdictions outside of the United States related to our proprietary technology, inventions, improvements, platforms and product candidates that are important to the development and implementation of our business. Our patent portfolio is intended to cover, but is not limited to, our technology platforms, our product candidates and components thereof, their methods of use and processes for their manufacture, our proprietary reagents and assays, and any other inventions that are commercially important to our business. We also rely on trade secret protection of our confidential information and know-how relating to our proprietary technology, platforms and product candidates, continuing innovation, and in-licensing opportunities to develop, strengthen, and maintain our proprietary position in our PROBODY platform and product candidates. We expect to rely on data exclusivity, market exclusivity, patent term adjustment and patent term extensions when available. Our commercial success may depend in part on our ability to</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ind w:right="40"/>
        <w:spacing w:after="0" w:line="261" w:lineRule="auto"/>
        <w:rPr>
          <w:sz w:val="20"/>
          <w:szCs w:val="20"/>
          <w:color w:val="auto"/>
        </w:rPr>
      </w:pPr>
      <w:r>
        <w:rPr>
          <w:rFonts w:ascii="Times New Roman" w:cs="Times New Roman" w:eastAsia="Times New Roman" w:hAnsi="Times New Roman"/>
          <w:sz w:val="18"/>
          <w:szCs w:val="18"/>
          <w:color w:val="auto"/>
        </w:rPr>
        <w:t>obtain and maintain patent and other proprietary protection for our technology, inventions, and improvements; to preserve the confidentiality of our trade secrets; to maintain our licenses to use intellectual property owned or controlled by third parties; to defend and enforce our proprietary rights, including our patents; to defend against and challenge the assertion by third parties of their purported intellectual property rights; and to operate without the unauthorized infringement of valid and enforceable patents and other proprietary rights of third parties.</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believe that we have a strong global intellectual property position and substantial know-how and trade secrets relating to our PROBODY therapeutic technology, platform and product candidates. As of January 2025, our patent portfolio contains at least 250 granted patents (some of which are co-owned with a third party) and at least 400 pending patent applications (some of which are co-owned with a third party). We have exclusively licensed UCSB’s interest in the co-owned patent family covering PROBODY technology in the fields of therapeutics, in vivo diagnostics and prophylactics.</w:t>
      </w:r>
    </w:p>
    <w:p>
      <w:pPr>
        <w:spacing w:after="0" w:line="180"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These patents and patent applications include claims directed to our PROBODY platform technology, including PROBODY drug conjugates, bispecific and other multi-specific PROBODY therapeutics (including T-cell engaging bispecific PROBODY therapeutics), protease cleavable linkers, and cancer immunotherapy PROBODY therapeutics.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we have exclusively licensed a patent portfolio of patent families from UCSB patents and patent applications that cover compositions and methods related to screening for and identification of masks and protease-cleavable linkers that we have incorporated into our PROBODY therapeutics and may incorporate into future PROBODY therapeutics.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for the PROBODY platform, product candidates and processes we develop and commercialize, in the normal course of business, we intend to pursue, where appropriate, patent protection or trade secret protection relating to compositions, methods of manufacture, assay methods, methods of use, treatment of indications, dosing and formulations. We may also pursue patent protection with respect to product development processes and technology.</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continually assess and refine our intellectual property strategy as we develop new platform technologies and product candidates. To that end, we are prepared to file additional patent applications if our intellectual property strategy requires such filings, or where we seek to adapt to competition or seize business opportunities. Further, we are prepared to file patent applications, as we consider appropriate under the circumstances, relating to the new technologies that we develop. In addition to filing and prosecuting patent applications in the United States, we often file counterpart patent applications in the European Union and in additional countries where we believe such foreign filing is likely to be beneficial.</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currently issued patents will likely expire on dates ranging from 2028 to 2042, unless we receive patent term extension or adjustment as might be available under applicable law. If patents are issued on our pending patent applications, the resulting patents are projected to expire on dates ranging from 2028 to 2045, unless we receive patent term extension or adjustment.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All of our patents and patent applications are subject to risks and uncertainties under U.S. and foreign law. We also rely on trademark registration to protect our trademarks. For a more comprehensive discussion of risks related to our proprietary technology, inventions, improvements, platforms and product candidates, please see the section entitled “Risk Factors—Risks Related to Intellectual Property.”</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also rely on trade secret protection for our confidential and proprietary information. It is our policy to require our employees, consultants, outside scientific collaborators, sponsored researchers and other advisors to execute confidentiality agreements upon the commencement of employment or consulting relationships with us.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many cases our confidentiality and other agreements with consultants, outside scientific collaborators, sponsored researchers and other advisors require them to assign or grant us licenses to inventions they invent as a result of the work or services they render under such agreements or grant us an option to negotiate a license to use such inventions.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Governmental authorities in the U.S., at the federal, state and local level, and other countries extensively regulate, among other things, the research, development, testing, manufacture, labeling, packaging, promotion, storage, advertising, distribution, marketing and export and import of products such as those we are developing. Our product candidates are subject to regulation in the U.S. as biologics, which must be approved by the FDA through the BLA process before they may be legally marketed in the U.S. and will be subject to similar requirements in other countries prior to marketing in those countries. The process of obtaining regulatory approvals and the subsequent compliance with applicable federal, state, local and foreign statutes and regulations require the expenditure of substantial time and financial resources.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Government Regulation</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the U.S., the FDA regulates biologics under the Federal Food, Drug, and Cosmetic Act (“FDCA”) and the Public Health Service Act (“PHSA”), and their respective implementing regulations.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BLA Approval Process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by the FDA before a biologic may be marketed in the U.S. generally involves the following:</w:t>
      </w:r>
    </w:p>
    <w:p>
      <w:pPr>
        <w:spacing w:after="0" w:line="117" w:lineRule="exact"/>
        <w:rPr>
          <w:sz w:val="20"/>
          <w:szCs w:val="20"/>
          <w:color w:val="auto"/>
        </w:rPr>
      </w:pPr>
    </w:p>
    <w:p>
      <w:pPr>
        <w:ind w:left="1020" w:right="20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certain nonclinical laboratory tests, animal studies and formulation studies conducted according to good laboratory practices (“GLPs”), and other applicable regulations;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(“IRB”) or ethics committee at each clinical site before the trial is commenced;</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good clinical practices (“GCPs”), to establish the safety, purity and potency of the product candidate for its intended use;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BLA after completion of all pivotal trials;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at which the product candidate is produced to assess compliance with current good manufacturing practices (“cGMPs”) to assure that the facilities, methods and controls are adequate to preserve the product candidate’s continued safety, purity and potency;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potential inspections of selected clinical investigation sites to assess compliance with GCPs;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 to permit commercial marketing of the product for its particular labeled uses in the United States.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and Clinical Studies</w:t>
      </w:r>
    </w:p>
    <w:p>
      <w:pPr>
        <w:spacing w:after="0" w:line="11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Once a biologic product candidate is identified for development, it enters the preclinical, or nonclinical, testing stage. Nonclinical tests include laboratory evaluations of product chemistry, toxicity and formulation, as well as animal studies. An IND sponsor must submit the results of the nonclinical tests, together with manufacturing information and analytical data, to the FDA as part of the IND. Some nonclinical testing may continue even after the IND is submitted. In addition to including the results of the nonclinical studies, the IND will also include a protocol detailing, among other things, the objectives of the clinical trial, the parameters to be used in monitoring safety and the effectiveness criteria to be evaluated if the first phase lends itself to an efficacy evaluation. The IND automatically becomes effective 30 days after receipt by the FDA, unless the FDA, within the 30-day time period, places the IND on clinical hold. In such a case, the IND sponsor and the FDA must resolve any outstanding concerns before clinical trials can begin. A clinical hold may occur at any time while an IND is active and may affect one or more specific studies or all studies conducted under the IND.</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All clinical trials must be conducted under the supervision of one or more qualified investigators in accordance with GCPs. Clinical trials must be conducted under protocols detailing the objectives of the trial, dosing procedures, research subject selection and exclusion criteria and the safety and effectiveness criteria to be evaluated. Each protocol, and any subsequent material amendment to the protocol, must be submitted to the FDA as part of the IND.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8" w:name="page19"/>
    <w:bookmarkEnd w:id="18"/>
    <w:p>
      <w:pPr>
        <w:ind w:right="40"/>
        <w:spacing w:after="0" w:line="253" w:lineRule="auto"/>
        <w:rPr>
          <w:sz w:val="20"/>
          <w:szCs w:val="20"/>
          <w:color w:val="auto"/>
        </w:rPr>
      </w:pPr>
      <w:r>
        <w:rPr>
          <w:rFonts w:ascii="Times New Roman" w:cs="Times New Roman" w:eastAsia="Times New Roman" w:hAnsi="Times New Roman"/>
          <w:sz w:val="18"/>
          <w:szCs w:val="18"/>
          <w:color w:val="auto"/>
        </w:rPr>
        <w:t>Furthermore, an independent IRB for each site proposing to conduct each clinical trial must review and approve the plan for any clinical trial and its informed consent form before the clinical trial begins at that site and must monitor the study until completion. Some studies also include oversight by an independent group of qualified experts organized by the clinical study sponsor, generally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Depending on its charter, this group may determine whether a trial may move forward at designated check points based on access to certain data from the trial.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There are also requirements governing the reporting of ongoing clinical trials and completed clinical trial results to public registries.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17" w:lineRule="exact"/>
        <w:rPr>
          <w:sz w:val="20"/>
          <w:szCs w:val="20"/>
          <w:color w:val="auto"/>
        </w:rPr>
      </w:pPr>
    </w:p>
    <w:p>
      <w:pPr>
        <w:ind w:left="1020" w:right="24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1—The product candidate is initially introduced into healthy human subjects and tested for safety, dosage tolerance, absorption, metabolism, distribution and elimination. In the case of some therapeutic candidates for severe or life-threatening diseases, such as cancer, especially when the product candidate may be inherently too toxic to ethically administer to healthy volunteers, the initial human testing is often conducted in patients.</w:t>
      </w:r>
    </w:p>
    <w:p>
      <w:pPr>
        <w:spacing w:after="0" w:line="71" w:lineRule="exact"/>
        <w:rPr>
          <w:rFonts w:ascii="Times New Roman" w:cs="Times New Roman" w:eastAsia="Times New Roman" w:hAnsi="Times New Roman"/>
          <w:sz w:val="18"/>
          <w:szCs w:val="18"/>
          <w:color w:val="auto"/>
        </w:rPr>
      </w:pPr>
    </w:p>
    <w:p>
      <w:pPr>
        <w:jc w:val="both"/>
        <w:ind w:left="1020" w:right="26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2—The product candidate is administered to a limited patient population with the specified disease or condition to identify possible adverse effects and safety risks, to preliminarily evaluate the efficacy of the product for specific targeted diseases and to determine dosage tolerance and optimal dosage.</w:t>
      </w:r>
    </w:p>
    <w:p>
      <w:pPr>
        <w:spacing w:after="0" w:line="67"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3—The product candidate is administered to an expanded patient population to further evaluate dosage, clinical efficacy and safety, generally at geographically dispersed clinical study sites. These studies are intended to establish the overall risk-benefit ratio of the product and provide an adequate basis for product approval.</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such “Phase 4” clinical trials as a condition of approval for a BLA</w:t>
      </w:r>
    </w:p>
    <w:p>
      <w:pPr>
        <w:spacing w:after="0" w:line="176"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8"/>
          <w:szCs w:val="18"/>
          <w:color w:val="auto"/>
        </w:rPr>
        <w:t>During the development of a new biologic product candidate, sponsors are given opportunities to meet with the FDA at certain points; specifically, prior to the submission of an IND, at the end of Phase 2 and before a BLA is submitted. Meetings at other times may be requested. These meetings can provide an opportunity for the sponsor to share information about the data gathered to date and for the FDA to provide advice on the next phase of development.</w:t>
      </w:r>
    </w:p>
    <w:p>
      <w:pPr>
        <w:spacing w:after="0" w:line="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Sponsors typically use the meeting at the end of Phase 2 to discuss their Phase 2 clinical results and present their plans for the pivotal Phase 3 clinical trial that they believe will support the approval of the product candidate.</w:t>
      </w:r>
    </w:p>
    <w:p>
      <w:pPr>
        <w:spacing w:after="0" w:line="18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Concurrent with clinical trials, sponsors usually complete additional animal safety studies, develop additional information about the chemistry and physical characteristics of the product candidate and finalize a process for manufacturing commercial quantities of the product candidate in accordance with cGMP requirements. The manufacturing process must be capable of consistently producing quality batches of the product candidate and the manufacturer must develop methods for testing the safety, purity and potency of the product candidate. Additionally, appropriate packaging must be selected and tested, and stability studies must be conducted to demonstrate that the biologic product candidate does not undergo unacceptable deterioration over its shelf life.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Submission of a BLA to the FDA</w:t>
      </w:r>
    </w:p>
    <w:p>
      <w:pPr>
        <w:spacing w:after="0" w:line="11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results of product development, including results from nonclinical studies and clinical trials, along with descriptions of the manufacturing process, analytical tests and other control mechanisms, proposed labeling and other relevant information are submitted to the FDA as part of a BLA requesting approval to market the product for one or more indications.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Under the Prescription Drug User Fee Act (“PDUFA”) as amended, each BLA must be accompanied by a significant user fee. The FDA adjusts the PDUFA user fees on an annual basis. PDUFA also imposes an annual program fee for marketed products. Fee waivers or reductions are available in certain circumstances, such as where a waiver is necessary to protect the public health, where the application seeks an indication covered by an Orphan Drug Designation, where the fee would present a significant barrier to innovation, or where the applicant is a small business submitting its first human therapeutic application for review.</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Within 60 days following submission of the application, the FDA reviews a BLA to determine if it is substantially complete before the agency accepts it for filing. The FDA may refuse to file any BLA that it deems incomplete or not properly reviewable at the time of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spacing w:after="0" w:line="274" w:lineRule="auto"/>
        <w:rPr>
          <w:sz w:val="20"/>
          <w:szCs w:val="20"/>
          <w:color w:val="auto"/>
        </w:rPr>
      </w:pPr>
      <w:r>
        <w:rPr>
          <w:rFonts w:ascii="Times New Roman" w:cs="Times New Roman" w:eastAsia="Times New Roman" w:hAnsi="Times New Roman"/>
          <w:sz w:val="17"/>
          <w:szCs w:val="17"/>
          <w:color w:val="auto"/>
        </w:rPr>
        <w:t>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The FDA reviews a BLA to determine, among other things, whether the proposed product is safe, pure and potent for its intended use, and whether the facility in which it is being manufactured, processed, packaged, or held meets standards designed to assure the product’s continued safety, purity and potency in accordance with cGMP. Under the PDUFA guidelines that are currently in effect, the FDA has a goal to complete a standard review of an original BLA within ten months after the filing date, or, if the application qualifies for Priority Review, within six months after the filing date.</w:t>
      </w:r>
    </w:p>
    <w:p>
      <w:pPr>
        <w:spacing w:after="0" w:line="173"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that the clinical trials were conducted in compliance with GCP requirements.</w:t>
      </w:r>
    </w:p>
    <w:p>
      <w:pPr>
        <w:spacing w:after="0" w:line="180"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After the FDA evaluates the BLA and the manufacturing facilities, it issues either an approval letter or a complete response letter. An approval letter authorizes commercial marketing of the product with specific prescribing information for specific indications. A complete response letter generally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a resubmitted application in a condition for approval. If a complete response letter is issued, the applicant may either resubmit the BLA, addressing all of the deficiencies identified in the letter, or withdraw the application.</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Even if a product receives regulatory approval, the approval may be significantly limited to specific indications and dosages or the indications for use may otherwise be limited, which could restrict the commercial value of the product. Further, the FDA may require that certain contraindications, warnings or precautions be included in the product labeling.</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a condition of BLA approval, the FDA may require a Risk Evaluation and Mitigation Strategy (“REMS”) to ensure that the benefits of the drug outweigh its risks. If the FDA determines a REMS is necessary prior to or during review of the application, the sponsor must submit a REMS as part of its application, and the FDA will not approve a BLA without a REMS, if required. A REMS program may be required to include various elements, such as a medication guide or patient package insert, a communication plan to educate healthcare providers of the product’s risks, or other elements to assure safe use, such as limitations on who may prescribe or dispense the drug, dispensing only under certain circumstances, special monitoring and the use of patient registries. In addition, all REMS programs must include a timetable to periodically assess the strategy following implementation.</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Further, product approval may require substantial post-approval testing and surveillance to monitor the product’s safety and efficacy, and the FDA has the authority to prevent or limit further marketing of a product based on the results of these post-marketing programs. Once granted, product approvals may be withdrawn if compliance with regulatory standards is not maintained or problems are identified following initial marketing. Moreover, changes to the conditions established in an approved application, including changes in indications, labeling or manufacturing processes or facilities may require submission and FDA approval of a new supplement before the changes can be implemented. A supplement for a new indication typically requires clinical data, and the FDA uses similar procedures in reviewing supplements as it does in reviewing original applications.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Companion Diagnostics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Some of our product candidates may require use of an in vitro diagnostic to identify appropriate patient populations. These diagnostics, often referred to as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companion diagnostic tests require marketing clearance or approval from the FDA prior to commercial distribution. The two primary types of FDA marketing authorization applicable to a medical device are premarket notification, also called 510(k) clearance, and premarket approval (“PMA”).</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use of companion diagnostic is essential to safe and effective use of a biologic product, then the FDA generally will require approval or clearance of the diagnostic contemporaneously with the approval of the biologic product. According to FDA guidance, for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0" w:name="page21"/>
    <w:bookmarkEnd w:id="20"/>
    <w:p>
      <w:pPr>
        <w:spacing w:after="0" w:line="253" w:lineRule="auto"/>
        <w:rPr>
          <w:sz w:val="20"/>
          <w:szCs w:val="20"/>
          <w:color w:val="auto"/>
        </w:rPr>
      </w:pPr>
      <w:r>
        <w:rPr>
          <w:rFonts w:ascii="Times New Roman" w:cs="Times New Roman" w:eastAsia="Times New Roman" w:hAnsi="Times New Roman"/>
          <w:sz w:val="18"/>
          <w:szCs w:val="18"/>
          <w:color w:val="auto"/>
        </w:rPr>
        <w:t>novel product candidates such as drugs and therapeutic biologics, a companion diagnostic device and its corresponding product candidate should be approved or cleared contemporaneously by FDA for the use indicated in the product labeling. The guidance also explains that a companion diagnostic device used to make treatment decisions in clinical trials of a product candidate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(“IDE”) regulations. Thus, the sponsor of the diagnostic device will be required to comply with the IDE regulations. Even where a diagnostic is not considered a significant risk device, the sponsor must still follow abbreviated IDE regulations in connection with its use. According to FDA guidance, if a diagnostic device and a drug or biologic product candidate are to be studied together to support their respective approvals, both products can be studied in the same investigational study, if the study meets both the requirements of the IDE regulations and the IND regulations. Depending on the details of the study plan and subjects, a sponsor may seek to submit an IND alone, or both an IND and an IDE.</w:t>
      </w:r>
    </w:p>
    <w:p>
      <w:pPr>
        <w:spacing w:after="0" w:line="19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FDA generally requires companion diagnostics intended to select the patients who will respond to cancer treatment to obtain approval of a PMA for that diagnostic contemporaneously with approval of the therapeutic product.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also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when the same sample is tested multiple times by multiple users at multiple laboratories. In addition, as part of the PMA review, the FDA will typically inspect the manufacturer’s facilities for compliance with the Quality System Regulation (“QSR”) which currently represents FDA’s GMP requirements for medical devices, and imposes elaborate testing, control, documentation and other quality assurance requirements.</w:t>
      </w:r>
    </w:p>
    <w:p>
      <w:pPr>
        <w:spacing w:after="0" w:line="19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 approval requirements, conditions of approval or other regulatory standards are not maintained or problems are identified following initial marketing.</w:t>
      </w:r>
    </w:p>
    <w:p>
      <w:pPr>
        <w:spacing w:after="0" w:line="19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Expedited Development and Review Programs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offers a number of expedited development and review programs for qualifying product candidates.</w:t>
      </w:r>
    </w:p>
    <w:p>
      <w:pPr>
        <w:spacing w:after="0" w:line="22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A product candidate may be eligible for Fast Track designation if it is intended to treat a serious or life-threatening disease or condition and demonstrates the potential to address unmet medical needs for the disease or condition. Fast Track designation applies to the combination of the product candidate and the specific indication for which it is being studied. The sponsor of a Fast Track product candidate has opportunities for frequent interactions with the review team during product development and, once a BLA is submitted, the application may be eligible for Priority Review. A BLA for a Fast Track product candidate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BLA and determines that the schedule is acceptable, and the sponsor pays any required user fees upon submission of the first section of the BLA.</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After a BLA is submitted for a product candidate, including a product candidate with a Fast Track designation and/or Breakthrough Therapy designation, the BLA may be eligible for other types of FDA programs intended to expedite the FDA review and approval process, such as Priority Review. A BLA is eligible for Priority Review if the product candidate has the potential to provide a significant improvement in the treatment, diagnosis or prevention of a serious disease or condition compared available products. Priority review designation means the FDA’s goal is to take action on the marketing application within six months of the 60-day filing date, compared to ten months under standard review.</w:t>
      </w:r>
    </w:p>
    <w:p>
      <w:pPr>
        <w:spacing w:after="0" w:line="183"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Additionally, depending on the design of the applicable clinical trials, product candidates studied for their safety and effectiveness in treating serious or life-threatening diseases or conditions may receive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confirmatory clinical studies to verify and describe the anticipated effect on irreversible morbidity or mortality or other clinical benefit, and may require that such confirmatory trials be underway prior to granting accelerated approval. Products receiving Accelerated Approval may be subject to expedited withdrawal procedures if the sponsor fails to conduct the required confirmatory studies in a timely manner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Term Restoration and Marketing Exclusivity</w:t>
      </w:r>
    </w:p>
    <w:p>
      <w:pPr>
        <w:spacing w:after="0" w:line="1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approval of the use of our therapeutic candidates, some of our U.S. patents may be eligible for limited patent term extension under the Drug Price Competition and Patent Term Restoration Act of 1984, referred to as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product candidate’s approval date. The patent term restoration period is generally one half of the time between the effective date of an IND and the submission date of a BLA, plus the time between the submission date of a BLA and the approval of that application, except that the review period is reduced by any time during which the applicant failed to exercise due diligence. Only one patent applicable to an approved product candidate is eligible for the extension and the application for extension must be made prior to expiration of the patent. The USPTO, in consultation with the FDA, reviews and approves the application for any patent term extension or restoration. In the future, we intend to apply for restorations of patent term for some of our currently owned or licensed patents to add patent life beyond their current expiration date, depending on the expected length of clinical trials and other factors involved in the submission of the relevant BLA.</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Biosimilars and Exclusivity</w:t>
      </w:r>
    </w:p>
    <w:p>
      <w:pPr>
        <w:spacing w:after="0" w:line="1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Affordable Care Act, signed into law in 2010, includes the Biologics Price Competition and Innovation Act (“BPCIA”), which created an abbreviated approval pathway for biological products that are biosimilar to or interchangeable with an FDA-licensed reference biological product. 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ind w:right="200"/>
        <w:spacing w:after="0" w:line="256"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w:t>
      </w:r>
    </w:p>
    <w:p>
      <w:pPr>
        <w:spacing w:after="0" w:line="18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 The FDA’s issuance of a written request does not obligate the sponsor to conduct the requested study.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w:t>
      </w:r>
    </w:p>
    <w:p>
      <w:pPr>
        <w:spacing w:after="0" w:line="11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therapeutic candidates intended to treat a rare disease or condition, which is generally a disease or condition that affects either (1) fewer than 200,000 individuals in the U.S., or (2) more than 200,000 individuals in the U.S. and for which there is no reasonable expectation that the cost of developing and making available in the U.S. a product candidate for this type of disease or condition will be recovered from sales in the U.S. for that product candidate. Orphan drug designation entitles the applicant to incentives, which may include grant funding towards clinical study costs, tax advantages, and waivers of FDA user fees. Orphan Drug Designation must be requested before submitting a BLA.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a product candidate that has Orphan Drug Designation subsequently receives the first FDA approval for the disease or condition for which it has such designation, the product candidate is entitled to orphan product exclusivity, which means that the FDA may not approve any other applications to market the same product candidate for the same disease or condition for seven years, except under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for the same disease or condition, or the same drug for a different disease or condition. Among the other benefits of orphan drug designation are tax credits for certain research and a waiver of the BLA application user fee.</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Studies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Pediatric Research Equity Act (“PREA”) requires a sponsor to conduct pediatric studies for most therapeutic candidates and biologics, for a new active ingredient, new indication, new dosage form, new dosing regimen or new route of administration. Under PREA, original BLAs and supplements thereto must contain a pediatric assessment unless the sponsor has received a deferral or waiver. The required assessment must assess the safety and effectiveness of the product candidate for the claimed indications in all relevant pediatric subpopulations and support dosing and administration for each pediatric subpopulation for which the product candidate is determined to be safe, pure and potent. The sponsor or FDA may request a deferral of pediatric studies for some or all of the pediatric subpopulations. A deferral may be granted for several reasons, including a finding that the product candidate or biologic is ready for approval for use in adults before pediatric studies are complete or that additional safety or effectiveness data needs to be collected before the pediatric studies begin. The law requires the FDA to send a PREA Non-Compliance letter to sponsors who have failed to submit their pediatric assessments required under PREA, have failed to seek or obtain a deferral or deferral extension or have failed to request approval for a required pediatric formulation. It further requires the FDA to post the PREA Non- Compliance letter and sponsor’s responses.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Once a BLA approval is granted, the FDA may withdraw the approval if compliance with regulatory requirements is not maintained or if problems occur after the biologic product reaches the market. Later discovery of previously unknown problems with a product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3" w:name="page24"/>
    <w:bookmarkEnd w:id="23"/>
    <w:p>
      <w:pPr>
        <w:spacing w:after="0" w:line="258" w:lineRule="auto"/>
        <w:rPr>
          <w:sz w:val="20"/>
          <w:szCs w:val="20"/>
          <w:color w:val="auto"/>
        </w:rPr>
      </w:pPr>
      <w:r>
        <w:rPr>
          <w:rFonts w:ascii="Times New Roman" w:cs="Times New Roman" w:eastAsia="Times New Roman" w:hAnsi="Times New Roman"/>
          <w:sz w:val="18"/>
          <w:szCs w:val="18"/>
          <w:color w:val="auto"/>
        </w:rPr>
        <w:t>candidate may result in restrictions on the product candidate or even complete withdrawal of the product candidate from the market. After approval, some types of changes to the approved product, such as adding new indications, manufacturing changes and additional labeling claims, are subject to further FDA review and approval. In addition, the FDA may under some circumstances require testing and surveillance programs to monitor the effect of approved product that have been commercialized, and the FDA under some circumstances has the power to prevent or limit further marketing of a product candidate based on the results of these post-marketing programs.</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Biologic manufacturers and other entities involved in the manufacture and distribution of approved therapeutic products are required to register their establishments with the FDA and certain state agencies and are subject to periodic unannounced inspections by the FDA and some state agencies for compliance with cGMPs and other laws. The FDA periodically inspects manufacturing facilities to assess compliance with cGMP, which imposes extensive procedural, substantive and record-keeping requirements. In addition, changes to the manufacturing process are strictly regulated, and, depending on the significance of the change, may require FDA approval before being implemented. FDA regulations would also require investigation and correction of any deviations from cGMP and impose reporting and documentation requirements upon us and any third-party manufacturers that we may decide to use if our product candidates are approved. Accordingly, manufacturers must continue to expend time, money and effort in the area of production and quality control to maintain compliance with cGMP and other aspects of regulatory compliance.</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75"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alerts, Dear Healthcare Provider letters, press releases or other communications containing warning or other safety information about the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BLAs or supplements to approved BLAs, or suspension or revocation of product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labelling.</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Outside of the U.S.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to regulations in the U.S., we will be subject to regulations of other jurisdictions governing any clinical trials and commercial sales and distribution of our therapeutic candidates. Whether or not we obtain FDA approval for a product, we must obtain approval by the comparable regulatory authorities of countries outside of the U.S. before we can commence clinical trials in such countries and approval of the regulators of such countries or economic areas, such as the European Union, before we may market products in those countries or areas. The approval process and requirements governing the conduct of clinical trials, product licensing, pricing and reimbursement vary greatly from place to place, and the time may be longer or shorter than that required for FDA approval.</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4" w:name="page25"/>
    <w:bookmarkEnd w:id="24"/>
    <w:p>
      <w:pPr>
        <w:ind w:right="20"/>
        <w:spacing w:after="0" w:line="252" w:lineRule="auto"/>
        <w:rPr>
          <w:sz w:val="20"/>
          <w:szCs w:val="20"/>
          <w:color w:val="auto"/>
        </w:rPr>
      </w:pPr>
      <w:r>
        <w:rPr>
          <w:rFonts w:ascii="Times New Roman" w:cs="Times New Roman" w:eastAsia="Times New Roman" w:hAnsi="Times New Roman"/>
          <w:sz w:val="18"/>
          <w:szCs w:val="18"/>
          <w:color w:val="auto"/>
        </w:rPr>
        <w:t>Under European Union regulatory systems, a company can consider applying for marketing authorization in several European Union member states by submitting its marketing authorization application(s) under a centralized, decentralized or mutual recognition procedure. The centralized procedure provides for the grant of a single marketing authorization that is valid for all European Union member states. The centralized procedure is compulsory for medicines derived from biotechnology, orphan medicinal products, or those medicines with an active substance not authorized in the European Union on or before May 20, 2004 intended to treat acquired immune deficiency syndrome (“AIDS”), cancer, neurodegenerative disorders or diabetes and optional for those medicines containing a new active substance not authorized in the European Union on or before May 20, 2004, medicines which are highly innovative, or medicines to which the granting of a marketing authorization under the centralized procedure would be in the interest of patients at the European Union-level. The decentralized procedure provides for recognition by European Union national authorities of a first assessment performed by one of the member states. Under this procedure, an identical application for marketing authorization is submitted simultaneously to the national authorities of several European Union member states, one of them being chosen as the “Reference Member State”, and the remaining being the “Concerned Member States”. The Reference Member State must prepare and send drafts of an assessment report, summary of product characteristics and the labelling and package leaflet within 120 days after receipt of a valid marketing authorization application to the Concerned Member States, which must decide within 90 days whether to recognize approval. If any Concerned Member State does not recognize the marketing authorization on the grounds of potential serious risk to public health, the disputed points are eventually referred to the European Commission, whose decision is binding on all member states. The mutual recognition procedure is similar to the decentralized procedure except that a medicine must have already received a marketing authorization in at least one of the member states, and that member state acts as the Reference Member State.</w:t>
      </w:r>
    </w:p>
    <w:p>
      <w:pPr>
        <w:spacing w:after="0" w:line="19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in the U.S., we may apply for designation of a product candidate as an orphan drug for the treatment of a specific indication in the European Union before the application for marketing authorization is made.</w:t>
      </w:r>
    </w:p>
    <w:p>
      <w:pPr>
        <w:spacing w:after="0" w:line="16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Orphan drugs in the European Union enjoy economic and marketing benefits, including up to ten years of market exclusivity for the approved indication unless another applicant can show that its product is safer, more effective or otherwise clinically superior to the orphan-designated product, the marketing authorization holder is unable to supply sufficient quantity of the medicinal product or the marketing authorization holder has given its consent.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Sales of our products will depend, in part, on the extent to which our products will be covered by third-party payors, such as government health programs, commercial insurance and managed healthcare organizations. These third-party payors are increasingly reducing reimbursements for medical products and services. Additionally, the containment of healthcare costs has become a priority of federal and state governments and the prices of therapeutics have been a focus in this effort. The U.S. government, state legislatures and foreign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If these third- party payors do not consider our products to be cost-effective compared to other therapies, they may not cover our products after approval as a benefit under their plans or, if they do, the level of payment may not be sufficient to allow us to sell our products on a profitable basis.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(together, the “ACA”) has had a significant impact on the health care industry. The ACA expanded coverage for the uninsured while at the same time containing overall healthcare costs. With regard to biopharmaceutical products, the ACA,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and established annual fees and taxes on manufacturers of certain branded prescription drugs. 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that impact payment methodologies and reimbursement amounts. On August 2, 2011, the Budget Control Act of 2011 among other things, created measures for spending reductions by Congress, which led to aggregate reductions to Medicare payments to providers, starting in April 2013, and due to subsequent legislative amendments, will stay in effect through 2032, with the exception of a temporary suspension from May 1, 2020 through March 31, 2022, unless additional Congressional action is taken. On January 2, 2013, the American Taxpayer Relief Act of 2012 (the “ATRA”) was signed into law which, among other things, also reduced Medicare payments to several types of providers, including hospitals, imaging centers and cancer treatment centers, and increased the statute of limitations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period for the government to recover overpayments to providers from three to five years. In addition, in March 2021, the American Rescue Plan Act of 2021 was signed into law, which eliminated the statutory Medicaid drug rebate cap, which was previously set at 100% of a drug’s average manufacturer price, beginning January 1, 2024.</w:t>
      </w:r>
    </w:p>
    <w:p>
      <w:pPr>
        <w:spacing w:after="0" w:line="1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Most recently, on August 16, 2022, the Inflation Reduction Act of 2022, or IRA, was signed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(which began in 2025). The IRA permits the Secretary of the Department of Health and Human Services (HHS) to implement many of these provisions through guidance, as opposed to regulation, for the initial years. The Centers for Medicare &amp; Medicaid Services, or CMS, has published the negotiated prices for the initial ten drugs, which will first be effective in 2026, and has published the list of the subsequent 15 drugs that will be subject to negotiation, although the drug price negotiation program is currently subject to legal challenges. For that and other reasons, it is currently unclear how the IRA will be effectuated.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We cannot predict the extent of the impact of any changes to any of these laws on us.</w:t>
      </w:r>
    </w:p>
    <w:p>
      <w:pPr>
        <w:spacing w:after="0" w:line="19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Finally, in some foreign countries, the proposed pricing for a product candidate must be approved before it may be lawfully marketed. The requirements governing therapeutic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therapeutic candidates launched in the European Union do not follow price structures of the U.S. and generally tend to be significantly lower.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may also be subject to healthcare regulation and enforcement by the federal government and the states and foreign governments where we may market our product candidates, if approved. These laws include, without limitation, state and federal anti-kickback, fraud and abuse, false claims, physician and other health care provider payment and drug pricing transparency laws and regulations.</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The Anti-Kickback Statute is subject to evolving interpretations. In the past, the government has enforced the Anti-Kickback Statute to reach large settlements with healthcare companies based on sham consulting and other financial arrangements with physicians. A person or entity does not need to have actual knowledge of the statute or specific intent to violate it in order to have committed a violation. The majority of states also have anti-kickback laws, which establish similar prohibitions and, in some cases, may apply to items or services reimbursed by any third-party payor, including commercial insurers.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Additionally, the civil False Claims Act prohibits knowingly presenting or causing the presentation of a false, fictitious or fraudulent claim for payment to the U.S. government, knowingly making, using, or causing to be made or used a false record or statement material to a false or fraudulent claim to the U.S. government, or from knowingly making a false statement to avoid, decrease or conceal an obligation to pay money to the U.S. government. In addition, the government may assert that a claim including items or services resulting from a violation of the federal Anti-Kickback Statute constitutes a false or fraudulent claim for purposes of the federal False Claims Act. Actions under the False Claims Act may be brought by the Attorney General or as a qui tam action by a private individual in the name of the government. The federal government is using the False Claims Act, and the accompanying threat of significant liability, in its investigation and prosecution of pharmaceutical and biotechnology companies throughout the U.S., for example, in connection with the promotion of products for unapproved uses and other sales and marketing practices. The government has obtained multi-million and multi-billion-dollar settlements under the False Claims Act in addition to individual criminal convictions under applicable criminal statutes.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6" w:name="page27"/>
    <w:bookmarkEnd w:id="26"/>
    <w:p>
      <w:pPr>
        <w:ind w:right="60"/>
        <w:spacing w:after="0" w:line="256" w:lineRule="auto"/>
        <w:rPr>
          <w:sz w:val="20"/>
          <w:szCs w:val="20"/>
          <w:color w:val="auto"/>
        </w:rPr>
      </w:pPr>
      <w:r>
        <w:rPr>
          <w:rFonts w:ascii="Times New Roman" w:cs="Times New Roman" w:eastAsia="Times New Roman" w:hAnsi="Times New Roman"/>
          <w:sz w:val="18"/>
          <w:szCs w:val="18"/>
          <w:color w:val="auto"/>
        </w:rPr>
        <w:t>The U.S. federal Health Insurance Portability and Accountability Act of 1996 (“HIPAA”), created new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There has also been a recent trend of increased federal and state regulation of payments made to physicians and other healthcare providers. The ACA, among other things, imposes new reporting requirements on drug manufacturers for payments made by them to physicians (as defined by statute), certain non-physician practitioners including physician assistants and nurse practitioners and teaching hospitals, as well as ownership and investment interests held by physicians and their immediate family members. Certain states also mandate implementation of compliance programs and compliance with the pharmaceutical industry’s voluntary compliance guidelines and the relevant compliance guidance promulgated by the federal government, impose restrictions on drug manufacturer marketing practices and/or require the tracking and reporting of pricing and marketing information as well as gifts, compensation and other remuneration or items of value provided to physicians and other healthcare professionals and entities.</w:t>
      </w:r>
    </w:p>
    <w:p>
      <w:pPr>
        <w:spacing w:after="0" w:line="18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Penalties for violating any of such laws or any other governmental regulations that apply include, without limitation, administrative, civil and criminal penalties, damages, fines, disgorgement, the curtailment or restructuring of operations, exclusion from participation in federal and state healthcare programs, integrity oversight and reporting obligations to resolve allegations of non-compliance and imprisonment.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 Laws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third-party manufacturers are subject to inspections by the FDA for compliance with cGMP and other U.S. regulatory requirements, including U.S. federal, state and local regulations regarding environmental protection and hazardous and controlled substance controls, among others. Environmental laws and regulations are complex, change frequently and have tended to become more stringent over time. We have incurred, and may continue to incur, significant expenditures to ensure we are in compliance with these laws and regulations. We would be subject to significant penalties for failure to comply with these laws and regulations.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 Origins and Team</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PROBODY platform technology has its origins in work performed at the University of California, Santa Barbara (“UCSB”), by our scientific founder Professor Patrick Daugherty. Since our inception, we have continued developing and adding to this technology and aspire to design a pipeline of PROBODY therapeutics that will better the lives of cancer patients. We have assembled an experienced and talented group of individuals dedicated to the advancement of cancer care. Our chief executive officer and chairman, Dr. Sean McCarthy, leads a team that draws on robust experience in all phases of product discovery, clinical development and commercialization. Our management team members have significant experience in oncology with previous experience at Amylin Pharmaceuticals, Catalyst Biosciences, Coherus BioSciences, Elan Phramaceuticals, Eli Lilly and Company, Exelixis, Genentech, Millennium, Novartis, Onyx Pharmaceuticals, Portola Pharmaceuticals, SGX, Xencor and other companies.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As of December 31, 2024, we had 119 full-time employees and 2 part-time employees. Of these employees, 87 were primarily engaged in research and development activities. In January 2025, we announced a restructuring which will result in a reduction to the workforce by approximately 40% and is expected to be substantially completed in the first quarter of 2025. None of our employees are represented by a labor union or covered by collective bargaining agreements and we consider our employee relations to be good. Our human capital resources objectives include, as applicable, identifying, recruiting, retaining, incentivizing and integrating our existing</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7" w:name="page28"/>
    <w:bookmarkEnd w:id="27"/>
    <w:p>
      <w:pPr>
        <w:ind w:right="320"/>
        <w:spacing w:after="0" w:line="282" w:lineRule="auto"/>
        <w:rPr>
          <w:sz w:val="20"/>
          <w:szCs w:val="20"/>
          <w:color w:val="auto"/>
        </w:rPr>
      </w:pPr>
      <w:r>
        <w:rPr>
          <w:rFonts w:ascii="Times New Roman" w:cs="Times New Roman" w:eastAsia="Times New Roman" w:hAnsi="Times New Roman"/>
          <w:sz w:val="18"/>
          <w:szCs w:val="18"/>
          <w:color w:val="auto"/>
        </w:rPr>
        <w:t>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operations commenced in February 2008 when our predecessor entity was formed. We were incorporated in Delaware in September 2010. We maintain our executive offices at 151 Oyster Point Blvd., Suite 400, South San Francisco, California 94080, and our main telephone number is (650) 515-3185.</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view our operations and measure our business as one reportable segment operating in the United States. See Note 2 and Note 16 to our audited financial statement included elsewhere in this Annual Report on Form 10-K for additional information. Additional information required by this item is incorporated herein by reference to PART II. Item 6 of this Annual Report on Form 10-K.</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research and development expenses were $83.4 million and $77.7 million for the years ended December 31, 2024 and 2023, respectively. Please see “Management’s Discussion and Analysis of Financial Condition and Results of Operations-Research and Development Expenses” for additional detail regarding our research and development activities.</w:t>
      </w:r>
    </w:p>
    <w:p>
      <w:pPr>
        <w:spacing w:after="0" w:line="17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We maintain a website at </w:t>
      </w:r>
      <w:r>
        <w:rPr>
          <w:rFonts w:ascii="Times New Roman" w:cs="Times New Roman" w:eastAsia="Times New Roman" w:hAnsi="Times New Roman"/>
          <w:sz w:val="18"/>
          <w:szCs w:val="18"/>
          <w:i w:val="1"/>
          <w:iCs w:val="1"/>
          <w:color w:val="auto"/>
        </w:rPr>
        <w:t>www.cytomx.com</w:t>
      </w:r>
      <w:r>
        <w:rPr>
          <w:rFonts w:ascii="Times New Roman" w:cs="Times New Roman" w:eastAsia="Times New Roman" w:hAnsi="Times New Roman"/>
          <w:sz w:val="18"/>
          <w:szCs w:val="18"/>
          <w:color w:val="auto"/>
        </w:rPr>
        <w:t xml:space="preserve">, which contains information about us. The information in, or that can be accessed through, our website is not part of this Annual Report on Form 10-K. Our annual reports on Form 10-K, quarterly reports on Form 10-Q and current reports on Form 8-K and amendments to those reports are available, free of charge, on or through our website as soon as reasonably practicable after we electronically file such material with, or furnish it to, the SEC. The SEC maintains an Internet site that contains reports, proxy and information statements and other information regarding our filings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93" w:right="4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You should consider carefully the risks and uncertainties described below, together with all of the other information in this Annual Report on Form 10-K, including our financial statements and the related notes and “Management’s Discussion and Analysis of Financial Condition and Results of Operations.” If any of the following risks are realized, our business, financial condition, results of operations and prospects could be materially and adversely affected. The risks described below are not the only risks facing the Company. Risks and uncertainties not currently known to us or that we currently deem to be immaterial also may materially adversely affect our business, financial condition, results of operations and/or prospects.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3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with a limited operating history and have not generated any revenue from product sales. We have a history of losses, expect to continue to incur significant losses for the foreseeable future and may never achieve or maintain profitability, which could result in a decline in the market value of our common stock.</w:t>
      </w:r>
    </w:p>
    <w:p>
      <w:pPr>
        <w:spacing w:after="0" w:line="80"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developing a novel class of therapeutic antibody product candidates, based on our proprietary biologic PROBODY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conditionally activated technology platform. Since our inception, we have devoted our resources to the development of PROBODY therapeutics. We have had significant operating losses since our inception. As of December 31, 2024 and 2023, we had an accumulated deficit of $691.6 million and $723.4 million, respectively. Substantially all of our losses have resulted from expenses incurred in connection with our research and development programs and from general and administrative costs associated with our operations.</w:t>
      </w:r>
    </w:p>
    <w:p>
      <w:pPr>
        <w:spacing w:after="0" w:line="22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Though we have developed our PROBODY platform, our technologies and product candidates are in early stages of development, and we are subject to the risks of failure inherent in the development of product candidates based on novel technologies. We have not yet demonstrated our ability to successfully complete any mid or late-stage clinical trials, including large-scale, pivotal clinical trials, obtain regulatory approvals, arrange for a third party to manufacture a commercial-scale product candidate, or conduct sales and marketing activities necessary for successful commercialization. Typically, it takes many years to develop one product candidate from the time it enters initial preclinical studies to when it is available for treating patients. Consequently, any predictions made about our future success or viability may not be as accurate as they could be if we had a longer operating history. We will need to transition from a company with a research and development focus to a company capable of supporting commercial activities. We may not be successful in such a transition.</w:t>
      </w:r>
    </w:p>
    <w:p>
      <w:pPr>
        <w:spacing w:after="0" w:line="2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Furthermore, we have never generated any revenue from product sales, and have not obtained regulatory approval for any of our product candidates. We also do not expect to generate any revenue from product sales for the foreseeable future, and we expect to continue to incur significant operating losses for the foreseeable future due to the cost of research and development, preclinical studies and clinical trials and the regulatory approval process for our product candidates. We expect our net losses to increase substantially over time as we continue the development of our pipeline and advance additional programs into clinical development. However, the amount of our future losses is uncertain. Our ability to achieve profitability, if ever, will depend on, among other things, our, or our collaborators, successfully developing product candidates, obtaining regulatory approvals to market and commercialize product candidates, manufacturing any approved products on commercially reasonable terms, establishing a sales and marketing organization or suitable third-party alternatives for any approved product and raising sufficient funds to finance business activities. If we, or our collaborators, are unable to develop our technologies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spacing w:after="0" w:line="190"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that we will need to raise substantial additional funds to advance development of our product candidates and we cannot guarantee that this additional funding will be available on acceptable terms or at all. Failure to obtain this necessary capital when needed may force us to delay, limit or terminate our product development and commercialization of our current or future product candidates.</w:t>
      </w:r>
    </w:p>
    <w:p>
      <w:pPr>
        <w:spacing w:after="0" w:line="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development of biopharmaceutical product candidates is capital-intensive. To date, we have used substantial funds to develop our technology and product candidates and will require significant funds to conduct our ongoing clinical trials as well as to further our research and development, preclinical testing and future clinical trials of additional product candidates, to seek regulatory approvals for our product candidates and to manufacture and market any products that are approved for commercial sale. In addition, we have incurred and will continue to incur additional costs associated with operating as a public company. In January 2025, we restructured the Company and reduced headcount by approximately 40% to preserve capital and focus on high priority programs. As a result</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we believe we have sufficient capital to operate into the second quarter of 2026. We will need to raise additional funds to continue our efforts. However, financial market conditions, including the public equity markets, and government regulation, including the uncertainties of potential legislation under the new administration, may continue to make it difficult for biotechnology companies to raise additional funds. We cannot predict when or if market conditions will change.</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9" w:name="page30"/>
    <w:bookmarkEnd w:id="29"/>
    <w:p>
      <w:pPr>
        <w:ind w:right="100"/>
        <w:spacing w:after="0" w:line="255" w:lineRule="auto"/>
        <w:rPr>
          <w:sz w:val="20"/>
          <w:szCs w:val="20"/>
          <w:color w:val="auto"/>
        </w:rPr>
      </w:pPr>
      <w:r>
        <w:rPr>
          <w:rFonts w:ascii="Times New Roman" w:cs="Times New Roman" w:eastAsia="Times New Roman" w:hAnsi="Times New Roman"/>
          <w:sz w:val="18"/>
          <w:szCs w:val="18"/>
          <w:color w:val="auto"/>
        </w:rPr>
        <w:t>As of December 31, 2024, we had cash, cash equivalents and investments of $100.6 million. We believe that our existing capital resources will be sufficient to fund our planned operations into the second quarter of 2026. Our future capital requirements and the period for which we expect our existing resources to support our operations may vary significantly from what we expect and we may not achieve the expected cash flow savings that we anticipate as a result of our recent restructuring. Our monthly spending levels vary based on our ongoing clinical trials, new and ongoing research and development and other corporate activities. Because the length of time and activities associated with conducting our clinical trials and successfully researching and developing our product candidates is highly uncertain, we are unable to estimate the actual funds we will require for development and, once any product candidate is approved, any subsequent marketing and commercialization activities.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timing and amount of our operating expenditures will depend largely on:</w:t>
      </w:r>
    </w:p>
    <w:p>
      <w:pPr>
        <w:spacing w:after="0" w:line="117"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and progress of our ongoing clinical trials as well as any other preclinical and clinical development activities;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size and type of clinical trials and preclinical studies that we may be required to complete for our product candidates, as well as the cost and time of such studies and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scope and prioritization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produce clinical supplies of our product candidates;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scale our manufacturing capabilities prior to or following regulatory approval and commercial launch of any product candidates;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have entered or may in the future enter into collaborations and research and development agreements;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payments we may receive or are obligated to pay under our collaboration agreements and license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licenses and research and development programs and to establish new collaboration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and enforcing patent and other intellectual property claims;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any existing or future litigation to which we are or may become a party;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regulatory approvals; and</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including personnel to support development and commercialization of our product candidates and satisfy our obligations as a public company.</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acceptable terms, we may have to delay, reduce or terminate our research and development programs and preclinical studies or clinical trials, limit strategic opportunities or undergo reductions in our workforce or other corporate restructuring activities. For example, in November 2023, we announced that we would not direct significant further investment in the development of CX-2029 and have stopped work on the program. We also could be required to seek funds through arrangements with collaborators or others that may require us to relinquish rights to some of our technologies or product candidates that we would otherwise pursue on our own. We do not expect to realize revenue from sales of products or royalties from licensed products in the foreseeable future, if at all, and unless and until our product candidates are clinically tested, approved for commercialization and successfully marketed.</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To date, we have financed our operations primarily through sales of our common stock, sale of our convertible preferred securities prior to our IPO, payments received under our collaboration agreements, including the collaboration and license agreements that we entered into with each of Regeneron and Moderna in November and December 2022, respectively, and funding we received in a private placement of our common stock, warrants and pre-funded warrants in July 2023. We will be required to seek additional funding in the future and currently intend to do so through additional collaborations, public or private equity offerings or debt financings, credit or loan facilities or a combination of one or more of these funding sources. Our ability to raise additional funds will depend on financial, economic and other factors, many of which are beyond our control. Additionally, our stock price has declined and our ability to raise adequate funding through equity offerings, if at all, may be limited. Additional funds may not be available to us on acceptable terms or at all. If we raise additional funds by issuing equity securities, our stockholders will suffer dilution and the terms of any financing may adversely affect the rights of our stockholders. For example, when we issue shares of common stock upon exercise of the pre-funded warrants, Tranche 1 warrants and Tranche 2 warrants (collectively, the Tranche 1 warrants and Tranche 2</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0" w:name="page31"/>
    <w:bookmarkEnd w:id="30"/>
    <w:p>
      <w:pPr>
        <w:ind w:right="20"/>
        <w:spacing w:after="0" w:line="258" w:lineRule="auto"/>
        <w:rPr>
          <w:sz w:val="20"/>
          <w:szCs w:val="20"/>
          <w:color w:val="auto"/>
        </w:rPr>
      </w:pPr>
      <w:r>
        <w:rPr>
          <w:rFonts w:ascii="Times New Roman" w:cs="Times New Roman" w:eastAsia="Times New Roman" w:hAnsi="Times New Roman"/>
          <w:sz w:val="18"/>
          <w:szCs w:val="18"/>
          <w:color w:val="auto"/>
        </w:rPr>
        <w:t>warrants, the “Tranche Warrants”) issued in our July 2023 private placement, our existing stockholders will suffer dilution and such dilutive impact may be difficult to compute.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p>
    <w:p>
      <w:pPr>
        <w:spacing w:after="0" w:line="17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product candidates.</w:t>
      </w:r>
    </w:p>
    <w:p>
      <w:pPr>
        <w:spacing w:after="0" w:line="8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As is the case with all oncology drugs, our product candidates in clinical development or preclinical development go through a long process and have a high risk of failure, including termination for strategic reasons. It is impossible to predict when or if any of our or our partner’s product candidates will prove safe, pure and potent (or effective) in humans or will receive regulatory approval. Before obtaining marketing approval from regulatory authorities for the sale of any product candidate, we or our partners must complete extensive clinical trials to demonstrate the safety, purity and potency (or efficacy) of our product candidates in humans. Commencement of initial clinical trials for future programs is subject to finalizing the trial design and submission of an IND or similar submission to the FDA or similar global health authorities. In addition, even if we submit an IND or a comparable submission in other jurisdictions for our product candidates, the FDA or other regulatory authorities could disagree that we have satisfied their requirements to commence our clinical trials or disagree with our study design, which may require us to complete additional preclinical studies or amend our protocols or impose stricter conditions on the commencement of clinical trials and may delay our ability to begin clinical trials under such IND, causing an increase in the amount of time and expense required to develop our product candidates. As a result of the foregoing, the research and development, preclinical studies and clinical testing of any product candidate is expensive and can take many years to complete, and its outcome is inherently uncertain. Failure can occur at any time during the development process. For example, in March 2025, based on clinical observations to date and CytomX pipeline priorities, Amgen and we jointly decided to terminate the CX-904 program.</w:t>
      </w:r>
    </w:p>
    <w:p>
      <w:pPr>
        <w:spacing w:after="0" w:line="2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Further, we or our collaborators may also experience delays in completing ongoing clinical trials, completing preclinical studies or initiating further clinical trials of our product candidates. We do not know whether our or our collaborators’ ongoing clinical trials or preclinical studies will be completed on schedule or at all, or whether planned clinical trials or preclinical studies will begin on time, need to be redesigned, enroll patients on time or be completed on schedule, if at all. We or our collaborators may have insufficient internal resources to complete ongoing clinical trials or initiate clinical trials for our other product candidates. The development programs for our product candidates may also be delayed for a variety of reasons, including delays related to:</w:t>
      </w:r>
    </w:p>
    <w:p>
      <w:pPr>
        <w:spacing w:after="0" w:line="75"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clinical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validating any companion diagnostic to be used in a clinical trial;</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requiring us to submit additional data or imposing other requirements before permitting us to initiate a clinical trial;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authority clearance to commence a clinical trial;</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contract research organizations (“CROs”) and clinical trial sites, the terms of which can be subject to extensive negotiation and may vary significantly among different CROs and clinical trial sites;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institutional review board (“IRB”) approval at each clinical trial site;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clinical trial or return for post-treatment follow-up;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trial protocol or dropping out of a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clinical trial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our product candidates in sufficient quality and quantity for use in clinical trials;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electing to not pursue development and commercialization of our product candidates.</w:t>
      </w:r>
    </w:p>
    <w:p>
      <w:pPr>
        <w:spacing w:after="0" w:line="2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safety profiles, notwithstanding promising results in earlier trials.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1" w:name="page32"/>
    <w:bookmarkEnd w:id="31"/>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in early stages of development and may fail or suffer delays that materially and adversely affect their commercial viability. If we are unable to advance our product candidates through clinical development, obtain regulatory approval and ultimately commercialize such product candidates, or experience significant delays in doing so, our business will be materially harmed.</w:t>
      </w:r>
    </w:p>
    <w:p>
      <w:pPr>
        <w:spacing w:after="0" w:line="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are very early in our development efforts, including with CX-2051 and CX-801 currently continuing in early-stage clinical development. We have no products on the market and our ability to achieve and sustain profitability depends on obtaining regulatory approvals for and successfully commercializing our product candidates, either alone or with third parties. Before obtaining regulatory approval for the commercial distribution of our product candidates, we or our collaborator must conduct extensive preclinical tests and clinical trials to demonstrate sufficient safety, purity and potency (or efficacy) of our product candidates in patients.</w:t>
      </w:r>
    </w:p>
    <w:p>
      <w:pPr>
        <w:spacing w:after="0" w:line="21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As a result, we may not have the financial resources to continue development of, or to modify existing or enter into new collaborations for, a product candidate if we experience any issues that delay or prevent regulatory approval of, or our ability to commercialize, product candidates, including:</w:t>
      </w:r>
    </w:p>
    <w:p>
      <w:pPr>
        <w:spacing w:after="0" w:line="54" w:lineRule="exact"/>
        <w:rPr>
          <w:sz w:val="20"/>
          <w:szCs w:val="20"/>
          <w:color w:val="auto"/>
        </w:rPr>
      </w:pPr>
    </w:p>
    <w:p>
      <w:pPr>
        <w:ind w:left="1020" w:right="56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the clinical trials of our collaborators or the clinical trials of others for product candidates similar to ours, leading to a decision or requirement to conduct additional preclinical testing or clinical trials or abandon a program;</w:t>
      </w:r>
    </w:p>
    <w:p>
      <w:pPr>
        <w:spacing w:after="0" w:line="6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product-related side effects experienced by participants in our clinical trials, the clinical trials of our collaborators or by individuals using drugs or therapeutic biologics similar to our product candidates;</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INDs or comparable foreign applications or delays or failure in obtaining the necessary approvals or allowances from regulators to commence a clinical trial, or a suspension or termination of a clinical trial once commenced;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comparable foreign authorities regarding the scope or design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research subjects in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research subjects;</w:t>
      </w:r>
    </w:p>
    <w:p>
      <w:pPr>
        <w:spacing w:after="0" w:line="117"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product candidate components or materials or other supplies necessary for the conduct of our or our collaborators’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anticipated clinical trial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the development or approval of companion diagnostic tests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the manufacturing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other regulatory agency inspection and review of a clinical trial site;</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or investigators to comply with regulatory requirements or otherwise meet their contractual obligations in a timely manner, or at all;</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similar foreign regulatory agencies.</w:t>
      </w:r>
    </w:p>
    <w:p>
      <w:pPr>
        <w:spacing w:after="0" w:line="2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could find that the therapeutics we or our collaborators pursue are not safe, pure, potent (or efficacious). For example, in March 2025, based on clinical observations to date and CytomX pipeline priorities, Amgen and we jointly decided to terminate the CX-904 program. Further, a clinical trial may be suspended or terminated by us, our collaborators, the IRBs of the institutions in which such trials are being conducted, the Data Safety Monitoring Board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or therapeutic biologic, changes in governmental regulations or administrative actions or lack of adequate funding to continue the clinical trial. Furthermore, we expect to rely on our collaborators, CROs and clinical trial sites to ensure proper and timely conduct of our clinical trials and while we expect to enter into agreements governing their committed activities, we have limited influence over their actual performance.</w:t>
      </w:r>
    </w:p>
    <w:p>
      <w:pPr>
        <w:spacing w:after="0" w:line="21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If we or our collaborators experience delays in the completion of, or termination of, any clinical trial of our product candidates, the commercial prospects of our product candidates will be harmed, and our ability to generate product revenues or receive royalties from any of these product candidates will be delayed. In addition, any delays in completing our clinical trials will increase our costs, slow</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p>
      <w:pPr>
        <w:spacing w:after="0" w:line="254" w:lineRule="auto"/>
        <w:rPr>
          <w:sz w:val="20"/>
          <w:szCs w:val="20"/>
          <w:color w:val="auto"/>
        </w:rPr>
      </w:pPr>
      <w:r>
        <w:rPr>
          <w:rFonts w:ascii="Times New Roman" w:cs="Times New Roman" w:eastAsia="Times New Roman" w:hAnsi="Times New Roman"/>
          <w:sz w:val="18"/>
          <w:szCs w:val="18"/>
          <w:color w:val="auto"/>
        </w:rPr>
        <w:t>down our product development and approval process and jeopardize our ability to commence product sales and generate revenues. Furthermore, if one or more of our product candidates or our PROBODY therapeutic technology generally prove to be ineffective, unsafe or commercially unviable, the development of our entire platform and pipeline could be delayed, potentially permanently. For example, in March 2023, AbbVie announced that it would not advance CX-2029 into additional clinical trials and terminated our 2016 CD71 License and Collaboration Agreement for CX-2029. In November 2023, we announced that we would not direct significant further investment in the development of CX-2029 and we have stopped work on the program. Any similar occurrences may materially and adversely affect our business, financial condition, results of operations and prospects. In addition, many of the factors that cause, or lead to, a delay in the commencement or completion of clinical trials may also ultimately lead to the denial of regulatory approval of our product candidates.</w:t>
      </w:r>
    </w:p>
    <w:p>
      <w:pPr>
        <w:spacing w:after="0" w:line="188"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“top-line,” initial and preliminary data from our clinical trials, including the ongoing Phase 1 clinical trials of CX-2051, CX-904 or CX-801, that we announce or publish from time to time may change as more patient data become available and are subject to audit and verification procedures that could result in material changes in the final data.</w:t>
      </w:r>
    </w:p>
    <w:p>
      <w:pPr>
        <w:spacing w:after="0" w:line="80"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May 2024, we disclosed initial data from our ongoing Phase 1a dose escalation clinical trial of CX-904. In March 2025, based on clinical observations to date and CytomX pipeline priorities, Amgen and we jointly decided to terminate the CX-904 program.</w:t>
      </w:r>
    </w:p>
    <w:p>
      <w:pPr>
        <w:spacing w:after="0" w:line="21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top-line, or interim data and final data could significantly harm our business prospects.</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79"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spacing w:after="0" w:line="80"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our collaborators or regulatory authorities to interrupt, delay or halt clinical trials and could result in a more restrictive label or the delay or denial of regulatory approval by the FDA or other regulatory authorities. As is the case with all oncology drugs, there may be immediate or late side effects associated with the use of our product candidates, including CX-2051 and CX-801. There can be no assurance that unexpected adverse events will not occur in our ongoing trials, including the ongoing Phase 1 clinical trials of CX-2051 or CX-801, or in future trials involving our product candidates or the product candidates of our collaborators. Undesirable side effects may appear in later trials that were not observed in our earlier trials or may be more severe in later trials than earlier trials.</w:t>
      </w:r>
    </w:p>
    <w:p>
      <w:pPr>
        <w:spacing w:after="0" w:line="2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results of our or our collaborators’ future clinical trials could reveal a high and unacceptable severity of adverse side effects, including immune system related adverse events or increased toxicity, and it is possible that patients enrolled in such clinical trials could respond in unexpected ways or otherwise have unexpected adverse events. For example, in 2022 we initiated a first-in-human Phase 1 clinical trial with CX-904 and, while we believe our preclinical studies indicate the potential to reach a favorable therapeutic index, clinical data will be necessary to specify an acceptable dose. We cannot provide assurance that we will reach an acceptable or tolerable dose for CX-2051 or CX-801. Furthermore, any ongoing or future clinical trials of our product candidates, including those for CX-2051 and CX-801, could face risks related to undesirable side effects, including unacceptable toxicity.</w:t>
      </w:r>
    </w:p>
    <w:p>
      <w:pPr>
        <w:spacing w:after="0" w:line="21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the event that our clinical trials or the clinical trials of our collaborators reveal severe adverse side effects, our or our collaborators’ clinical trials could be suspended or terminated and the FDA or comparable foreign regulatory authorities could impose a clinical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3" w:name="page34"/>
    <w:bookmarkEnd w:id="33"/>
    <w:p>
      <w:pPr>
        <w:ind w:right="100"/>
        <w:spacing w:after="0" w:line="254" w:lineRule="auto"/>
        <w:rPr>
          <w:sz w:val="20"/>
          <w:szCs w:val="20"/>
          <w:color w:val="auto"/>
        </w:rPr>
      </w:pPr>
      <w:r>
        <w:rPr>
          <w:rFonts w:ascii="Times New Roman" w:cs="Times New Roman" w:eastAsia="Times New Roman" w:hAnsi="Times New Roman"/>
          <w:sz w:val="18"/>
          <w:szCs w:val="18"/>
          <w:color w:val="auto"/>
        </w:rPr>
        <w:t>hold, order us to cease further development of or deny approval of our product candidates for any or all targeted indications. Such side effects could also affect patient recruitment or the ability of enrolled patients to complete the trial or result in potential product liability claims. In addition, any occurrences of side effects with respect to one of our product candidates could negatively affect our or any collaborator’s ability to enroll patients and seek regulatory approval for other product candidates that we have developed using our PROBODY platform, which could also result in a collaborator terminating any program utilizing our PROBODY platform and the termination of such collaborative relationship. Any of these occurrences may materially and adversely affect our business, financial condition, results of operations and prospects. 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w:t>
      </w: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event that any of our product candidates receives regulatory approval and we, our collaborators or others identify undesirable side effects caused by such product or any other PROBODY therapeutics, any of the following adverse events could occur, which could result in the loss of significant revenue to us and materially and adversely affect our results of operations and business:</w:t>
      </w:r>
    </w:p>
    <w:p>
      <w:pPr>
        <w:spacing w:after="0" w:line="68"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seize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be required to recall the product or change the way the product is administered to patients;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 or to conduct post-marketing studies;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5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In addition, adverse side effects caused by any drugs of other companies utilizing the same or similar antibodies of our product candidates, or that are similar in nature to our product candidates could delay or prevent regulatory approval of our product candidates, limit the commercial profile of an approved label for our product candidates, or result in significant negative consequences following marketing approval.</w:t>
      </w:r>
    </w:p>
    <w:p>
      <w:pPr>
        <w:spacing w:after="0" w:line="17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believe that any of these events could prevent us from achieving or maintaining market acceptance of our product candidates and could substantially increase the costs of commercializing our product candidates, if approved, and significantly impact our ability to successfully commercialize our product candidates and generate revenues.</w:t>
      </w:r>
    </w:p>
    <w:p>
      <w:pPr>
        <w:spacing w:after="0" w:line="172" w:lineRule="exact"/>
        <w:rPr>
          <w:sz w:val="20"/>
          <w:szCs w:val="20"/>
          <w:color w:val="auto"/>
        </w:rPr>
      </w:pPr>
    </w:p>
    <w:p>
      <w:pPr>
        <w:jc w:val="both"/>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4"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Patient enrollment, a significant factor in the timing of clinical trials, is affected by many factors, including:</w:t>
      </w:r>
    </w:p>
    <w:p>
      <w:pPr>
        <w:spacing w:after="0" w:line="68"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target patient population;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or condition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clinical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 appropriate genomic screening test;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efficacy of approved therapies for the disease or condition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34" w:name="page35"/>
    <w:bookmarkEnd w:id="34"/>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a trial;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25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addition, competing clinical trials and clinicians’ and patients’ perceptions as to the potential advantages of the product candidate being studied in relation to other available therapies, including any new drugs or therapeutic biologics that may be approved for the indications we are investigating, could affect our ability to enroll a sufficient number of eligible patients in our clinical trials. There can be no assurance that new or further trials with our current or future drug candidates will not be adversely affected by a limited patient population. Our clinical trials of CX-2051 and CX-801 study patients who have one or a select number of specific tumor types rather than patients suffering from any cancer, which limits the rate of enrollment of the trial. In addition, some of our clinical trials seek to treat indications with small population sizes which could be particularly difficult to enroll. The clinical trials for our molecules also compete with thousands of clinical trials with alternative anti-cancer drugs in similar classes (e.g. antibody-drug conjugates), and certain arms of the clinical trials may be difficult to enroll due to the emerging standard of care for such indications in certain jurisdictions, including the United States. Likewise, our clinical trials of CX-2051 and CX-801 are also competing with thousands of other anti-cancer clinical trials. Any clinical trials of our product candidates initiated by our collaborators will face similar and additional risks relating to enrollment. We or our collaborators could also encounter delays in the development of any of our product candidates if prescribing physicians encounter unresolved ethical issues associated with enrolling patients in clinical trials of our product candidates in lieu of prescribing existing treatments that have established safety and efficacy profiles. Any delays relating to patient enrollment could cause significant delays in the timing of our or our collaborators’ clinical trials, which may materially and adversely affect our business, financial condition, results of operations and prospects.</w:t>
      </w:r>
    </w:p>
    <w:p>
      <w:pPr>
        <w:spacing w:after="0" w:line="19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conduct clinical trials and contract with third-party manufacturers in foreign countries, including China, which could expose us to risks that could have a material adverse effect on the success of our business.</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enrolled or are planning to enroll patients in our clinical trials outside the United States, including in Europe and South Korea. While we generally conduct our clinical trials primarily or partially in the U.S.,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good clinical practices (“GCPs”)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trial was not subject to an IND, the FDA will not accept the data as support for an application for marketing approval unless the study was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9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we currently contract manufacturing operations to third parties, and certain of our product candidates are manufactured by and will in the future be manufactured by third parties outside the U.S., including in China. For example, we have a contract with a third-party manufacturer located in China for product candidates, including CX-2051 and CX-801, and accordingly we are exposed to the possibility of drug product supply disruption, delay and increased costs in the event of changes in the policies of the U.S. or Chinese governments, political unrest or unstable economic conditions in China.</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Further, in September 2024, the U.S. House of Representatives passed the BIOSECURE Act (H.R. 8333) and the Senate has advanced a substantially similar bill (S.3558), which legislation, if passed and enacted into law, would have the potential to restrict the ability of U.S. biopharmaceutical companies like us to purchase services or products from, or otherwise collaborate with, certain Chinese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ind w:right="280"/>
        <w:spacing w:after="0" w:line="282" w:lineRule="auto"/>
        <w:rPr>
          <w:sz w:val="20"/>
          <w:szCs w:val="20"/>
          <w:color w:val="auto"/>
        </w:rPr>
      </w:pPr>
      <w:r>
        <w:rPr>
          <w:rFonts w:ascii="Times New Roman" w:cs="Times New Roman" w:eastAsia="Times New Roman" w:hAnsi="Times New Roman"/>
          <w:sz w:val="18"/>
          <w:szCs w:val="18"/>
          <w:color w:val="auto"/>
        </w:rPr>
        <w:t>biotechnology companies “of concern”, including a third-party manufacturer we use for certain product candidates, without losing the ability to contract with, or otherwise receive funding from, the U.S. government.</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Conducting clinical trials and contracting with third-party manufacturers outside the United States also exposes us to additional risks, including risks associated with additional foreign regulatory requirements; foreign exchange fluctuations; patient monitoring and compliance; compliance with foreign manufacturing, customs, shipment and storage requirements; and cultural differences in medical practice and clinical research. We are also subject to risks associated with doing business globally, including commercial, political, and financial risks. In addition, we are subject to potential disruption caused by military conflicts; potentially unstable governments or legal systems; civil or political upheaval or unrest; local labor policies and conditions; possible expropriation, nationalization, or confiscation of assets; problems with repatriation of foreign earnings; economic or trade sanctions; closure of markets to imports; anti-American sentiment; terrorism or other types of violence in or outside the United States; health pandemics; and a significant reduction in global travel. Our success will depend, in part, on our ability to overcome the challenges we encounter with respect to these risks and other factors affecting U.S. companies with global operations. If our global clinical trials or foreign third-party suppliers were to experience significant disruption due to these risks or for other reasons, it could have a material adverse effect on our business, financial condition, results of operations and prospects</w:t>
      </w:r>
      <w:r>
        <w:rPr>
          <w:rFonts w:ascii="Times New Roman" w:cs="Times New Roman" w:eastAsia="Times New Roman" w:hAnsi="Times New Roman"/>
          <w:sz w:val="18"/>
          <w:szCs w:val="18"/>
          <w:b w:val="1"/>
          <w:bCs w:val="1"/>
          <w:i w:val="1"/>
          <w:iCs w:val="1"/>
          <w:color w:val="auto"/>
        </w:rPr>
        <w:t>.</w:t>
      </w:r>
    </w:p>
    <w:p>
      <w:pPr>
        <w:spacing w:after="0" w:line="190"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spacing w:after="0" w:line="17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rely on third-party contract manufacturers to manufacture our clinical trial and preclinical study product supplies, some of which are located in foreign countries. Most of our clinical trial manufacturing contractors and suppliers are our sole source for their respective manufacturing and supplies. Failure of any of these contractors could put our ability to have clinical trial material available when needed at risk. Any such failure to have clinical trial material available when needed could result in a substantial delay of our clinical trials. For each of CX-2051 and CX-801 our manufacturing supply chain includes several contract manufacturers, and failure by any of these manufacturers could result in interruptions of our clinical studies. For example, beginning in October 2023, one of our contract manufacturers of CX-2051 experienced production failures. Although we are taking steps to manage our long-term supply of CX-2051, there can be no assurance that we will not have future production failures, which could affect our ability to conduct our trials for CX-2051 or any other clinical trial drug candidates, including CX-801, on our planned timeline or at all. We do not own manufacturing facilities for producing such supplies and do not have any long-term contracts and we do not currently have an alternative to any of our third-party contract manufacturers. There can be no assurance that our preclinical and clinical development product supplies will not be limited, interrupted, or of satisfactory quality or continue to be available at acceptable prices. In particular, any replacement of any of our third-party contract manufacturers could require significant effort and expertise because there may be a limited number of qualified replacements. In addition, we may encounter issues with transferring technology to a new third-party manufacturer, and we may encounter regulatory delays if we need to move the manufacturing of our products from one third-party manufacturer to another</w:t>
      </w:r>
      <w:r>
        <w:rPr>
          <w:rFonts w:ascii="Times New Roman" w:cs="Times New Roman" w:eastAsia="Times New Roman" w:hAnsi="Times New Roman"/>
          <w:sz w:val="18"/>
          <w:szCs w:val="18"/>
          <w:b w:val="1"/>
          <w:bCs w:val="1"/>
          <w:i w:val="1"/>
          <w:iCs w:val="1"/>
          <w:color w:val="auto"/>
        </w:rPr>
        <w:t>.</w:t>
      </w:r>
    </w:p>
    <w:p>
      <w:pPr>
        <w:spacing w:after="0" w:line="19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current Good Manufacturing Practices (“cGMPs”). In the event that any of our manufacturers fails to comply with such requirements or to perform its obligations to us in relation to quality, timing or otherwise, such as the CX-2051 manufacturing production failures our contract manufacturer experienced in 2023, or if our supply of components or other materials becomes limited or interrupted for other reasons, such as one of our manufacturers going out of business,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r>
        <w:rPr>
          <w:rFonts w:ascii="Times New Roman" w:cs="Times New Roman" w:eastAsia="Times New Roman" w:hAnsi="Times New Roman"/>
          <w:sz w:val="18"/>
          <w:szCs w:val="18"/>
          <w:b w:val="1"/>
          <w:bCs w:val="1"/>
          <w:i w:val="1"/>
          <w:iCs w:val="1"/>
          <w:color w:val="auto"/>
        </w:rPr>
        <w:t>.</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We may find that our third-party manufacturer is unable to scale up the process in order to produce commercial quantities of our products. Our or a</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6" w:name="page37"/>
    <w:bookmarkEnd w:id="36"/>
    <w:p>
      <w:pPr>
        <w:ind w:right="460"/>
        <w:spacing w:after="0" w:line="282" w:lineRule="auto"/>
        <w:rPr>
          <w:sz w:val="20"/>
          <w:szCs w:val="20"/>
          <w:color w:val="auto"/>
        </w:rPr>
      </w:pPr>
      <w:r>
        <w:rPr>
          <w:rFonts w:ascii="Times New Roman" w:cs="Times New Roman" w:eastAsia="Times New Roman" w:hAnsi="Times New Roman"/>
          <w:sz w:val="18"/>
          <w:szCs w:val="18"/>
          <w:color w:val="auto"/>
        </w:rPr>
        <w:t>third party’s failure to execute on our manufacturing requirements and comply with cGMPs could adversely affect our business in a number of ways, including:</w:t>
      </w:r>
    </w:p>
    <w:p>
      <w:pPr>
        <w:spacing w:after="0" w:line="54"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clinical trials of product candidates under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regulatory approvals, for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cooperation of a collaborator;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third-party manufacturing facilities or our manufacturing facilities to additional inspections by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distribution or to recall batches of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a product candidate, an inability to meet commercial demands for our products.</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supply chain for the manufacturing of our product candidates is complicated and can involve many parties. This is especially the case for our clinical-stage conditionally activated ADCs. If we were to experience any supply chain issues, our product supply could be seriously disrupted. In addition, we expect the logistical challenges associated with our supply chain to grow more complex as additional product candidates commence any clinical trials.</w:t>
      </w:r>
    </w:p>
    <w:p>
      <w:pPr>
        <w:spacing w:after="0" w:line="17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It may prove more challenging than we anticipate to manufacture products that incorporate our PROBODY therapeutic technology. In order to conduct clinical trials of our product candidates, including our clinical trials for CX-2051 and CX-801 we will need to manufacture them in large quantities. There can be no assurance that we will not have future production failures, which could affect our ability to conduct our trials for CX-2051 or CX-801 or any other clinical trial drug candidates on our planned timeline or at all. Furthermore, in order to conduct later stage clinical trials of our product candidates and eventually, if approved, commercial products, we will need to manufacture them in larger quantities. We, or any manufacturing partners, may be unable to successfully increase the manufacturing scale and capacity for any of our product candidates in a timely or cost-effective manner, or at all. However, we may have to start late-stage trials with our early clinical trial drug product and switch to late-stage or commercial drug product mid trial. In such event, the FDA will require us to complete bridging studies to compare the earlier stage material with late-stage or commercial material to assure comparability between the earlier trial material and the late- stage or commercial material. Changing formulation and scaling up the process is a complicated and difficult task. While we believe we can complete this process successfully, there can be no assurances that the changes we make to the drug product and manufacturing process will be successful or completed in a timely manner or that the FDA will not require additional development steps or studies from those we believe are necessary. If we are not able to scale up our manufacturing capabilities with respect to any of our product candidates, increase the life of drug stability of product candidates, or successfully complete the FDA’s bridging requirements, the development, testing, and clinical trials of that product candidate may be delayed or infeasible, and regulatory approval or commercial launch of any resulting product may be delayed or not obtained, which could significantly harm our business.</w:t>
      </w:r>
    </w:p>
    <w:p>
      <w:pPr>
        <w:spacing w:after="0" w:line="19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our therapeutic treatments is based on novel technologies that are unproven and may not result in marketable products.</w:t>
      </w:r>
    </w:p>
    <w:p>
      <w:pPr>
        <w:spacing w:after="0" w:line="6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plan to continue to develop a pipeline of product candidates using our proprietary PROBODY platform. We believe that product candidates (including cancer immunotherapies, conditionally activated ADCs and bispecific antibodies) identified with our product discovery platform may offer an improved therapeutic approach by taking advantage of unique conditions in the tumor microenvironment, thereby reducing the dose-limiting toxic effects associated with traditional antibody products, which can also attack healthy tissue. However, the scientific research that forms the basis of our efforts to develop product candidates based on our PROBODY platform is ongoing, including the research resulting from our ongoing clinical trials for CX-2051 and CX-801.</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may ultimately discover that our PROBODY platform and any product candidates resulting from it do not possess certain properties required for therapeutic effectiveness or protection from toxicity. For example, when PROBODY therapeutics are administered to human subjects, protease levels in tumors may not be sufficient and the peptide mask may not be cleaved, which would limit the potential efficacy of the antibody. In addition, if the peptide mask is inappropriately released, for example, due to an inflammatory disease, it may reduce the potential to limit toxicity of the anti-cancer agent or result in unforeseen events when administered in humans. Binding of the peptide mask to the antigen-binding domain of the PROBODY may not be constant, which could lead to intermittent periods when the antigen-binding domain or antibody portion is unmasked. Furthermore, PROBODY product candidates may not remain stable in the human body for the period of time required for the drug to reach and to bind to the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37" w:name="page38"/>
    <w:bookmarkEnd w:id="37"/>
    <w:p>
      <w:pPr>
        <w:ind w:right="40"/>
        <w:spacing w:after="0" w:line="252" w:lineRule="auto"/>
        <w:rPr>
          <w:sz w:val="20"/>
          <w:szCs w:val="20"/>
          <w:color w:val="auto"/>
        </w:rPr>
      </w:pPr>
      <w:r>
        <w:rPr>
          <w:rFonts w:ascii="Times New Roman" w:cs="Times New Roman" w:eastAsia="Times New Roman" w:hAnsi="Times New Roman"/>
          <w:sz w:val="18"/>
          <w:szCs w:val="18"/>
          <w:color w:val="auto"/>
        </w:rPr>
        <w:t>target tissue. In addition, product candidates based on our PROBODY platform may demonstrate different chemical and pharmacological properties in patients than they do in laboratory studies. Although our PROBODY platform and certain product candidates have demonstrated successful results in animal studies, they may not demonstrate the same chemical and pharmacological properties in humans and may interact with human biological systems in unforeseen, ineffective, or harmful ways. Our understanding of the molecular pharmacology of PROBODY therapeutics, that is, the precise manner and sequence in which they are activated and behave in vivo, is incomplete. PROBODY therapeutics are complex biological molecules and we are evaluating the performance of this new technology in cancer patients for the first time. Many specific elements of PROBODY therapeutic function may contribute to their overall safety and efficacy profile including, but not limited to, the removal of only one mask from the dually-masked antibody, the removal of both masks from the dually-masked antibody, the binding strength of masks for the underlying antibody, and the binding strength of the underlying antibody for its target. We have limited structural evidence for how masks interact with antibodies. It may take many years before we develop a full understanding of PROBODY pharmacology, and we may never know precisely how they function in vivo. As with any new biologic or product developed on a novel platform, we have a limited understanding of the immunogenicity profile of PROBODY therapeutics. As a result, our PROBODY product candidates may trigger immune responses, such as anti-drug antibody (“ADA”), that may inhibit the ability of the antibody to reach the target tissue, inhibit the ability of the antibody to bind to its target, cause adverse side effects in humans or cause hypersensitivity reactions. However, we cannot provide assurance that it will not later limit drug exposure or cause severe adverse events for our other drug candidates. Problems that are specific to our PROBODY platform may have an unfavorable impact on all of our product candidates. As a result, we may never succeed in developing a marketable product and we may never become profitable, which would cause the value of our common stock to decline.</w:t>
      </w:r>
    </w:p>
    <w:p>
      <w:pPr>
        <w:spacing w:after="0" w:line="22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addition, the scientific evidence to support the feasibility of developing product candidates against novel, difficult to drug targets, is both preliminary and limited. For example, our understanding of the expression of our drug targets in both healthy and diseased tissues is still developing. As a result, we cannot provide any assurance that we will be able to successfully identify and advance any product candidates to target novel, difficult-to-drug targets.</w:t>
      </w:r>
    </w:p>
    <w:p>
      <w:pPr>
        <w:spacing w:after="0" w:line="20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Additionally, we entered into a collaboration with Moderna for the development of mRNA based product candidates. We do not know whether our PROBODY platform will be able to successfully develop product candidates utilizing this mRNA technology.</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believe that the FDA and foreign regulatory authorities have limited experience with conditionally activated therapeutics in oncology, such experience primarily coming from us with our prior development of CX-904, praluzatamab ravtansine, CX-2029, BMS-986249, BMS-986288, and pacmilimab, and more recently, with other competitors with early stage conditionally activated therapeutics. We believe that such limited experience may increase the complexity, uncertainty and length of the regulatory approval process for our product candidates and may keep us from commencing first-in-human trials in certain countries. As there is limited historical precedent for the regulatory approval of conditionally activated therapeutics in oncology, there is a higher degree of risk that the FDA or other regulatory authorities could disagree that we or our collaborators have satisfied their requirements to commence clinical trials for some product candidates or disagree with our study designs, which may require us to complete additional preclinical studies or amend our protocols or impose stricter conditions on the commencement of clinical trials. In addition, local clinical practice in other countries may affect whether we or our collaborators are able to initiate a clinical trial there. As a result, we and our collaborators may never receive approval to market and commercialize any product candidate. Even if we or our collaborators obtain regulatory approval, the approval may be for targets, disease indications or patient populations that are not as broad as we or they intended or desired or may require labeling that includes significant use or distribution restrictions or safety warnings. We or our collaborators may be required to perform additional or unanticipated clinical trials to obtain approval or be subject to post-marketing testing requirements to maintain regulatory approval. If one or more of our product candidates or our PROBODY technology generally prove to be ineffective, unsafe or commercially unviable, our entire platform and pipeline may have little, if any, value, which would have a material and adverse effect on our business, financial condition, results of operations and prospects.</w:t>
      </w:r>
    </w:p>
    <w:p>
      <w:pPr>
        <w:spacing w:after="0" w:line="19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may not be receptive to our product candidates based on a novel therapeutic modality, and we may not generate any future revenue from the sale or licensing of product candidates.</w:t>
      </w:r>
    </w:p>
    <w:p>
      <w:pPr>
        <w:spacing w:after="0" w:line="6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Even if regulatory approval is obtained for a product candidate, we may not generate or sustain revenue from sales of the product due to factors such as whether the product can be sold at a competitive cost and whether it will otherwise be accepted in the market. The product candidates that we are developing are based on our PROBODY platform, which is a new technology and therapeutic approach. Market participants with significant influence over acceptance of new treatments, such as physicians and third-party payors, may not adopt a product or treatment based on our PROBODY platform and technologies, and we may not be able to convince the medical community and third-party payors to accept and use, or to provide favorable reimbursement for, any product candidates developed by us or our collaborators. This may be particularly true for any of our product candidates for which there are existing approved therapies. Market acceptance of our product candidates will depend on, among other factors:</w:t>
      </w:r>
    </w:p>
    <w:p>
      <w:pPr>
        <w:spacing w:after="0" w:line="81" w:lineRule="exact"/>
        <w:rPr>
          <w:sz w:val="20"/>
          <w:szCs w:val="20"/>
          <w:color w:val="auto"/>
        </w:rPr>
      </w:pPr>
    </w:p>
    <w:p>
      <w:pPr>
        <w:ind w:left="5540" w:right="4680" w:hanging="5023"/>
        <w:spacing w:after="0" w:line="532" w:lineRule="auto"/>
        <w:tabs>
          <w:tab w:leader="none" w:pos="103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receipt of any marketing and commercialization approvals;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8" w:name="page39"/>
    <w:bookmarkEnd w:id="38"/>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approvals and the countries in which approvals are obtained;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purity, potency (or efficacy) of our product candidates, including those being developed by our collaborators;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side effects associated with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any labeling approved by the FDA or other regulatory authority;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effective companion diagnostics;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accept any new methods of administration;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physician education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from government and third-party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products, particularly as compared to alternative treatments;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alternative effective treatments for the disease indications our product candidates are intended to treat and the relative risks, benefits and costs of those treatments.</w:t>
      </w:r>
    </w:p>
    <w:p>
      <w:pPr>
        <w:spacing w:after="0" w:line="18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If any product candidate we commercialize fails to achieve market acceptance, it could have a material and adverse effect on our business, financial condition, results of operations and prospects.</w:t>
      </w:r>
    </w:p>
    <w:p>
      <w:pPr>
        <w:spacing w:after="0" w:line="158"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spacing w:after="0" w:line="8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Since 2013, we have entered into collaborations with AbbVie, Amgen, Astellas, Bristol Myers Squibb, ImmunoGen, Moderna, Pfizer, Regeneron and others to develop certain PROBODY therapeutics. We may in the future seek third-party collaborators for development and commercialization of other therapeutic technologies or product candidates. Biopharmaceutical companies are our prior and likely future collaborators for any marketing, distribution, development, licensing or broader collaboration arrangements. With respect to our existing collaboration agreements, and what we expect will be the case with any future collaboration agreements, we have and would expect to have limited control over whether such collaborations pursue the development of our product candidates or the amount and timing of resources that such collaborators dedicate to the development or commercialization of our product candidates. For instance, in March 2023, AbbVie terminated the collaboration agreement for CX-2029 and the ongoing discovery agreement we had entered into with them in 2016. Our partners have chosen multiple targets for research, some of which continue to be advanced and others which do not continue to advance. Our partners will continue to choose early research targets from time to time, some of which will advance into further research and development and some of which will not. For example, in January 2023, Bristol Myers Squibb announced that it would deprioritize the Phase 2 clinical program for BMS-986249 and advance the BMS-986288 into a Phase 2 program, and on March 6, 2024, Bristol Myers Squibb notified us that it would not continue the BMS-986288 program. As a result, there can be no assurances that any of the programs covered by our existing or future collaborations will be developed further. Further, our ability to generate revenues from our existing and future arrangements will depend on our collaborators’ abilities to successfully perform the functions assigned to them in these arrangements. Additionally, some of our collaborations may require us to share in certain development and commercialization expenses. If we cannot afford to share such expenses when required, our rights under such collaborations may be adversely affected, including potentially that our collaborators may terminate the relevant agreement. Overall, collaborations involving our product candidates currently pose, and will continue to pose, the following risks to us:</w:t>
      </w:r>
    </w:p>
    <w:p>
      <w:pPr>
        <w:spacing w:after="0" w:line="85" w:lineRule="exact"/>
        <w:rPr>
          <w:sz w:val="20"/>
          <w:szCs w:val="20"/>
          <w:color w:val="auto"/>
        </w:rPr>
      </w:pPr>
    </w:p>
    <w:p>
      <w:pPr>
        <w:ind w:left="1020" w:right="50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amount and timing of efforts and resources that they will apply to these collaborations, including, with respect to Amgen, CX-904 as well as the preclinical collaboration programs with Bristol Myers Squibb, Amgen, Astellas, Regeneron and Moderna;</w:t>
      </w:r>
    </w:p>
    <w:p>
      <w:pPr>
        <w:spacing w:after="0" w:line="67" w:lineRule="exact"/>
        <w:rPr>
          <w:rFonts w:ascii="Times New Roman" w:cs="Times New Roman" w:eastAsia="Times New Roman" w:hAnsi="Times New Roman"/>
          <w:sz w:val="18"/>
          <w:szCs w:val="18"/>
          <w:color w:val="auto"/>
        </w:rPr>
      </w:pPr>
    </w:p>
    <w:p>
      <w:pPr>
        <w:ind w:left="1020" w:right="44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programs based on preclinical or clinical trial results, changes in the collaborators’ strategic focus or available funding or resources, or external factors such as an acquisition that diverts resources or creates competing priorities;</w:t>
      </w:r>
    </w:p>
    <w:p>
      <w:pPr>
        <w:spacing w:after="0" w:line="6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designing any clinical trials they operate pursuant to our collaboration agreements and may release data from such clinical trials, including with respect to our PROBODY therapeutics, without consulting us;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ind w:left="1020" w:right="2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 and are not necessarily required to give us information about their clinical data;</w:t>
      </w:r>
    </w:p>
    <w:p>
      <w:pPr>
        <w:spacing w:after="0" w:line="6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independently develop, or develop with third parties, products that compete directly or indirectly with our product candidate if the collaborators believe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products may not commit sufficient resources to the marketing and distribution of such product or products;</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w:t>
      </w:r>
    </w:p>
    <w:p>
      <w:pPr>
        <w:spacing w:after="0" w:line="6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misappropriate or otherwise violate the intellectual property rights of third parties, which may expose us to litigation and potential liability;</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 candidate or that result in costly litigation or arbitration that diverts management attention and resources; and</w:t>
      </w:r>
    </w:p>
    <w:p>
      <w:pPr>
        <w:spacing w:after="0" w:line="53" w:lineRule="exact"/>
        <w:rPr>
          <w:rFonts w:ascii="Times New Roman" w:cs="Times New Roman" w:eastAsia="Times New Roman" w:hAnsi="Times New Roman"/>
          <w:sz w:val="18"/>
          <w:szCs w:val="18"/>
          <w:color w:val="auto"/>
        </w:rPr>
      </w:pPr>
    </w:p>
    <w:p>
      <w:pPr>
        <w:ind w:left="1020" w:right="96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189"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t>For example, in January 2023, we announced topline results of the Phase 2 expansion cohorts of CX-2029 and in March 2023, AbbVie decided not to continue the future development of CX-2029. CytomX re-acquired full rights to CX-2029, however, in the fourth quarter of 2023, we decided to not to make any further significant investments in the solid tumor CX-2029 program and has terminated the program. Additionally, in March 2025, based on clinical observations to date and CytomX pipeline priorities, Amgen and we jointly decided to terminate the CX-904 program.</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a result of the foregoing, our current and any future collaboration agreements may not lead to development or commercialization of our product candidates in the most efficient manner or at all and may not result in the realization of the benefits we expected to achieve upon our entry into such agreements. Any failure to successfully develop or commercialize our product candidates pursuant to our current or any future collaboration agreements could have a material and adverse effect on our business, financial condition, results of operations and prospects.</w:t>
      </w:r>
    </w:p>
    <w:p>
      <w:pPr>
        <w:spacing w:after="0" w:line="1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collaborators cease development efforts under our collaboration agreements, or if any of those agreements are terminated, these collaborations may fail to lead to commercial products and we may never receive milestone payments or future royalties under these agreements.</w:t>
      </w:r>
    </w:p>
    <w:p>
      <w:pPr>
        <w:spacing w:after="0" w:line="6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Substantially all of our revenue to date has been derived from our existing collaboration agreements, including, most recently, the agreements that we entered into with Regeneron and Moderna in 2022, and a significant portion of our future revenue and cash resources is expected to be derived from these agreements or other similar agreements we may enter into in the future. Revenue from research and development collaborations depend upon continuation of the collaborations, reimbursement of development costs, the achievement of milestones and royalties, if any, derived from future products developed from our research. If our development partners do not select additional targets and we are unable to successfully advance the development of our product candidates or achieve milestones, revenue and cash resources from milestone payments under our collaboration agreements will be substantially less than expected.</w:t>
      </w:r>
    </w:p>
    <w:p>
      <w:pPr>
        <w:spacing w:after="0" w:line="21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the extent that any of our collaborators were to terminate a collaboration agreement, we may decide to independently develop these product candidates to the extent we retain development rights. Such development could include funding preclinical or clinical trials, assuming marketing and distribution costs and defending intellectual property rights. Alternatively, in certain instances, we may choose to abandon product candidates altogether. For instance, in March 2023, AbbVie terminated our 2016 CD71 License and Collaboration Agreement, and from time to time some of our research programs have been terminated by our partners. The termination of any of our collaboration agreements or individual programs within a collaboration agreement could result in a change to our business plan and may have a material adverse effect on our business, financial condition, results of operations and prospects. If a collaboration is terminated, we would not be eligible to receive the milestone, royalty or other payments that would have been payable under the collaboration agreement. For example, in March 2024, Bristol Myers Squibb notified us that it would not continue the BMS-986288 program and we will not receive any milestone or other payments from them on this program.</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0" w:name="page41"/>
    <w:bookmarkEnd w:id="40"/>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and commercialization goals in the timeframes we announce and expect the commercialization of any of our product candidates may be delayed, or never attained, and our business will be harmed.</w:t>
      </w:r>
    </w:p>
    <w:p>
      <w:pPr>
        <w:spacing w:after="0" w:line="6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79"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 capital resources or capital constraints we experience;</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costs and results of our clinical trials and research and development activities, including the extent of scheduling conflicts with participating clinicians and collaborators;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enroll patients who meet clinical trial eligibility criteria;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of approvals by the FDA and other regulatory authorities and the timing thereof;</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actions, decisions or rules issued by regulators;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reliable and affordable supplies of materials used in the manufacture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and supply clinical trial materials to our clinical sites on a timely basis;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of our collaborators with respect to the commercialization of our products;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securing of, costs related to, and timing issues associated with, product manufacturing as well as sales and marketing activities.</w:t>
      </w:r>
    </w:p>
    <w:p>
      <w:pPr>
        <w:spacing w:after="0" w:line="25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we fail to achieve announced milestones in the timeframes we expect, the commercialization of any of our product candidates may be delayed or never attained, and our business and results of operations may be harmed.</w:t>
      </w:r>
    </w:p>
    <w:p>
      <w:pPr>
        <w:spacing w:after="0" w:line="158" w:lineRule="exact"/>
        <w:rPr>
          <w:sz w:val="20"/>
          <w:szCs w:val="20"/>
          <w:color w:val="auto"/>
        </w:rPr>
      </w:pPr>
    </w:p>
    <w:p>
      <w:pPr>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p>
    <w:p>
      <w:pPr>
        <w:spacing w:after="0" w:line="4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Since commencing operations, we have entered into several collaboration agreements. Most recently, in November 2022 and December 2022, we entered into strategic collaborations with Regeneron and Moderna, respectively. From time to time, we may consider additional strategic transactions, such as additional collaborations, acquisitions of companies, asset purchases and out- or in-licensing of product candidates or technologies. In particular, we will evaluate and, if strategically attractive, seek to enter into additional collaborations, including with major biotechnology or biopharmaceutical companies. In July 2022, in connection with our announcement of Phase 2 topline results for praluzatamab ravtansine, we communicated our plans to seek collaborators to advance the program further, however, we did not obtain a collaborator for that program. The competition for collaborators is intense and there can be no assurances that we will be able to secure any collaboration for any of our programs. The negotiation process for strategic collaborations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Any such collaboration, or other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and adverse effect on our business, financial condition, results of operations and prospects. The termination by a collaborator of a collaboration may cause a decrease in the price of our stock. Conversely, any failure to enter any additional collaboration or other strategic transaction that would be beneficial to us could delay</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1" w:name="page42"/>
    <w:bookmarkEnd w:id="41"/>
    <w:p>
      <w:pPr>
        <w:ind w:right="280"/>
        <w:spacing w:after="0" w:line="282" w:lineRule="auto"/>
        <w:rPr>
          <w:sz w:val="20"/>
          <w:szCs w:val="20"/>
          <w:color w:val="auto"/>
        </w:rPr>
      </w:pPr>
      <w:r>
        <w:rPr>
          <w:rFonts w:ascii="Times New Roman" w:cs="Times New Roman" w:eastAsia="Times New Roman" w:hAnsi="Times New Roman"/>
          <w:sz w:val="18"/>
          <w:szCs w:val="18"/>
          <w:color w:val="auto"/>
        </w:rPr>
        <w:t>the development and potential commercialization of our product candidates and have a negative impact on the competitiveness of any product candidate that reaches market.</w:t>
      </w:r>
    </w:p>
    <w:p>
      <w:pPr>
        <w:spacing w:after="0" w:line="15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develop companion diagnostic tests for certain of our product candidates, or experience significant delays in doing so, we may not realize the full commercial potential of our product candidates.</w:t>
      </w:r>
    </w:p>
    <w:p>
      <w:pPr>
        <w:spacing w:after="0" w:line="5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Because we are focused on precision medicine, in which predictive biomarkers will be used to identify the right patients for our product candidates, we believe that our success may depend, in part, on the development of companion diagnostic tests. To successfully develop a companion diagnostic test, we would need to address a number of scientific, technical and logistical challenges. However, we have little experience in the development of companion diagnostic tests and may not be successful in developing appropriate tests to pair with any of our product candidates. Companion diagnostic tests are developed in conjunction with clinical programs for the associated product candidate and are subject to regulation by the FDA and similar regulatory authorities outside the United States as medical devices and require separate regulatory approval prior to commercialization. Specifically,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The approval or clearance of a companion diagnostic as part of the therapeutic product’s further labeling limits the use of the therapeutic product to only those patients who express the specific characteristic that the companion diagnostic was developed to detect.</w:t>
      </w:r>
    </w:p>
    <w:p>
      <w:pPr>
        <w:spacing w:after="0" w:line="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Given our limited experience in developing companion diagnostic tests, we could seek to rely on third parties to design, manufacture, and obtain regulatory approval for any companion diagnostic tests for our product candidates. However, we and such collaborators may encounter difficulties in developing and obtaining approval for the companion diagnostic tests, including issues relating to selectivity/specificity, analytical validation, reproducibility, or clinical validation. Any delay or failure by us or our collaborators to develop or obtain regulatory approval of the companion diagnostic tests could delay or prevent approval of our product candidates. As a result, our business would be harmed, possibly materially.</w:t>
      </w:r>
    </w:p>
    <w:p>
      <w:pPr>
        <w:spacing w:after="0" w:line="17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As such, we currently rely and intend to continue to rely on third-party clinical investigators, CROs, clinical data management organizations and consultants to help us design, conduct, supervise and monitor clinical trials of our product candidates. As a result, we will have less control over the timing, quality and other aspects of our clinical trials than we would have had we conducted them on our own.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with which we contract might not be diligent, careful or timely in conducting our preclinical studies or clinical trials, resulting in the preclinical studies or clinical trials being delayed or unsuccessful.</w:t>
      </w:r>
    </w:p>
    <w:p>
      <w:pPr>
        <w:spacing w:after="0" w:line="21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will be responsible for ensuring that each of our preclinical studies and clinical trials are conducted in accordance with the general investigational plan and protocols for the trial, as well as applicable laws and regulations. The FDA requires preclinical studies to be conducted in accordance with good laboratory practices (“GLPs”) and clinical trials to be conducted in accordance with GCPs and other applicable regulations, including for designing, conducting, recording and reporting the results of preclinical studies and clinical trials to assure that data and reported results are credible and accurate and that the rights, integrity and confidentiality of clinical trial participants are protected. Regulatory authorities enforce GCPs through periodic inspections of trial sponsors, principal investigators and trial sites. Our reliance on third parties that we do not control will not relieve us of these responsibilities and requirements. If we or any of our CROs or trial sites fail to comply with applicable GLP, GCP or other requirements, the data generated in our clinical trials may be deemed unreliable, and the FDA or comparable foreign regulatory authorities may require us to perform additional clinical trials before approving our marketing applications, if ever.</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be asked to serve as scientific advisors or consultants to us from time to time and may receive compensation in connection with such services. If these relationships and any related compensation result in perceived or actual conflicts of interest, or the FDA concludes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by the FDA of any BLA we submit. Any such delay or rejection could prevent us from commercializing our product candidates.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2" w:name="page43"/>
    <w:bookmarkEnd w:id="42"/>
    <w:p>
      <w:pPr>
        <w:ind w:right="180"/>
        <w:spacing w:after="0" w:line="266" w:lineRule="auto"/>
        <w:rPr>
          <w:sz w:val="20"/>
          <w:szCs w:val="20"/>
          <w:color w:val="auto"/>
        </w:rPr>
      </w:pPr>
      <w:r>
        <w:rPr>
          <w:rFonts w:ascii="Times New Roman" w:cs="Times New Roman" w:eastAsia="Times New Roman" w:hAnsi="Times New Roman"/>
          <w:sz w:val="18"/>
          <w:szCs w:val="18"/>
          <w:color w:val="auto"/>
        </w:rPr>
        <w:t>Though we work to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p>
    <w:p>
      <w:pPr>
        <w:spacing w:after="0" w:line="17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and fail to capitalize on product candidates that may be more profitable or for which there is a greater likelihood of success.</w:t>
      </w:r>
    </w:p>
    <w:p>
      <w:pPr>
        <w:spacing w:after="0" w:line="6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specific product candidates and indications. For example, in July 2022, we announced that we would not continue the development of pralauzatamab ravtansine without a partner. Additionally, in November 2023 we decided to not to make any further significant investments in the CX-2029 solid tumor program in the near-term. As a result, we may forgo or delay pursuit of opportunities with those products in other indications or with other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managing our growth and expanding when needed.</w:t>
      </w:r>
    </w:p>
    <w:p>
      <w:pPr>
        <w:spacing w:after="0" w:line="13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Since 2022 we have maintained a relatively steady number of employees in our workforce and maintained activities to manage our pipeline, including research activities and efforts to establish and run clinical trials for CX-2051, CX-904 and CX-801. However, in January 2025, we announced that we would reduce our workforce, primarily research and general and administrative staff, by approximately 40% to preserve capital for ongoing clinical trials and collaboration partner activities. In the future we may need to grow our organization substantially to continue development and pursue the potential commercialization of our product candidates, including CX-801 and CX-2051, as well as function as a public company. As we increase the number of our product candidates entering and advancing through preclinical studies and clinical trials, we will need to expand our development, regulatory and manufacturing capabilities or contract with additional organizations to provide these capabilities for us. In addition, we expect our collaborations to require greater resources as the development of our product candidates under such agreements progresses. In the future, we expect to also have to manage additional relationships with collaborators or partners, suppliers and other organizations. In particular, if the third parties on which we currently rely are not capable of delivering services or supplies in a manner that is sufficient to meet our requirements as we expand our operations, we could be required to contract with new third parties and there can be no assurances that the services or supplies of such third parties will be available on commercially reasonable terms, or at all. Furthermore, our ability to manage our operations and future growth will require us to continue to increase headcount as well as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w:t>
      </w:r>
    </w:p>
    <w:p>
      <w:pPr>
        <w:spacing w:after="0" w:line="19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or will develop product candidates and processes competitive with our product candidates. Competitive therapeutic treatments include those that have already been approved and accepted by the medical community and any new treatments that enter the market. We believe that a significant number of products are currently under development, and may become commercially available in the future, for the treatment of conditions for which we may try to develop product candidates. Additionally, there is intense and rapidly evolving competition in the biotechnology, biopharmaceutical and antibody and immunoregulatory therapeutics fields, and our competitors include larger and better funded biopharmaceutical, biotechnological and therapeutics companies. In addition, these companies compete with us in recruiting scientific and managerial talent.</w:t>
      </w:r>
    </w:p>
    <w:p>
      <w:pPr>
        <w:spacing w:after="0" w:line="21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believe that while our PROBODY platform, its associated intellectual property and our scientific and technical know-how, give us a competitive advantage in this space, competition from many sources remains. The clinical development pipeline for cancer includes small molecules, antibodies and therapies from a variety of groups. In addition, numerous compounds are in clinical development for cancer treatment. As a result, our success will partially depend on our ability to develop and protect therapeutics that are safer and more effective than competing products. Our commercial opportunity and success will be reduced or eliminated if competing products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ind w:right="80"/>
        <w:spacing w:after="0" w:line="256" w:lineRule="auto"/>
        <w:rPr>
          <w:sz w:val="20"/>
          <w:szCs w:val="20"/>
          <w:color w:val="auto"/>
        </w:rPr>
      </w:pPr>
      <w:r>
        <w:rPr>
          <w:rFonts w:ascii="Times New Roman" w:cs="Times New Roman" w:eastAsia="Times New Roman" w:hAnsi="Times New Roman"/>
          <w:sz w:val="18"/>
          <w:szCs w:val="18"/>
          <w:color w:val="auto"/>
        </w:rPr>
        <w:t>that are safer, more effective, or less expensive than the therapeutics we develop or if we are unable to utilize our PROBODY therapeutic technology to differentiate our PROBODY therapeutics from the products of our competitors. For instance, if any of our product candidates are approved, they will compete with a range of therapeutic treatments that are either in development or currently marketed. A variety of oncology drugs and therapeutic biologics are currently on the market or in clinical development. Given the amount of time required to successfully develop and obtain regulatory approval for each of our product candidates, it is therefore possible that by the time we obtain any such approval, if ever, and commence sales, we may no longer be able to differentiate such product candidate from those of our competitors.</w:t>
      </w:r>
    </w:p>
    <w:p>
      <w:pPr>
        <w:spacing w:after="0" w:line="2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face substantial competition from pharmaceutical companies developing products in oncology, including companies such as Amgen, AstraZeneca PLC, Bristol Myers Squibb, GlaxoSmithKline plc, Merck &amp; Co., Inc. Novartis AG, Pfizer, Roche Holding Ltd. and Sanofi SA. Many large and mid-sized biotech companies, including BeiGene, Incyte, Nektar, and Alkermes have ongoing efforts in cancer immunotherapy. Several companies, including Adagene, Amgen, Sanofi, BioAtla, Halozyme, Janux Therapeutics, Roche, Takeda, Werewolf Therapeutics, and Xilio are exploring antibody masking and/or conditional activation strategies, which could compete with our PROBODY platform. We are also aware of several companies that are developing ADCs, such as AbbVie, ADC Therapeutics, Daiichi Sankyo, Gilead, Merck &amp; Co., Mersana Therapeutics, Pfizer, Roche Holding Ltd., and Takeda. Furthermore, several large pharmaceutical companies, including Amgen, Novartis AG and Roche Holding Ltd., are developing T-cell engaging immunotherapies, and we are aware of several mid-sized biotech companies, such as MacroGenics and Xencor, and small companies with ongoing efforts to develop T-cell engaging immunotherapies. Any of these companies may be well capitalized and may have significant clinical experience. In addition, these companies include our collaborators.</w:t>
      </w:r>
    </w:p>
    <w:p>
      <w:pPr>
        <w:spacing w:after="0" w:line="2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less differentiated or noncompetitive before we recover the expense of developing and commercializing our product candidates. Such competitors could also recruit our employees, which could negatively impact our level of expertise and our ability to execute our business plan.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inability to attract and retain qualified key management and technical personnel would impair our ability to implement our business plan.</w:t>
      </w:r>
    </w:p>
    <w:p>
      <w:pPr>
        <w:spacing w:after="0" w:line="13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success largely depends on the continued service of key management, advisors and other specialized personnel, including Sean A. McCarthy, D.Phil., our chief executive officer and chairman. The loss of one or more members of our management team or other key employees or advisors could delay our research and development programs and have a material and adverse effect on our business, financial condition, results of operations and prospects. The relationships that our key managers have cultivated within our industry make us particularly dependent upon their continued employment with us. We are dependent on the continued service of our technical personnel because of the highly technical nature of our product candidates and technologies and the specialized nature of the regulatory approval process. Because our management team and key employees are not obligated to provide us with continued service, they could terminate their employment with us at any time without penalty. In particular, as a result of the COVID-19 pandemic, the ability of employees to engage in a remote working environment increased the competitive landscape across the country for us in seeking qualified employees. Employees are now able to consider opportunities across the country and it may be more difficult to hire employees. Furthermore, it is more difficult to engage employees in Company culture and build working rapport when they are working remotely. As a result, it may be more difficult to retain employees on a long-term basis. Our future success will depend in large part on our continued ability to attract and retain other highly qualified scientific, technical and management personnel, as well as personnel with expertise in clinical testing, manufacturing, governmental regulation and commercialization. We face competition for personnel from other companies, universities, public and private research institutions, government entities and other organizations, especially as job opportunities in the biotechnology industry increase in the San Francisco Bay Area and across the country.</w:t>
      </w:r>
    </w:p>
    <w:p>
      <w:pPr>
        <w:spacing w:after="0" w:line="193"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spacing w:after="0" w:line="8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currently have no sales, marketing or distribution capabilities or experience. If any of our product candidates is approved,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4" w:name="page45"/>
    <w:bookmarkEnd w:id="44"/>
    <w:p>
      <w:pPr>
        <w:spacing w:after="0" w:line="255" w:lineRule="auto"/>
        <w:rPr>
          <w:sz w:val="20"/>
          <w:szCs w:val="20"/>
          <w:color w:val="auto"/>
        </w:rPr>
      </w:pPr>
      <w:r>
        <w:rPr>
          <w:rFonts w:ascii="Times New Roman" w:cs="Times New Roman" w:eastAsia="Times New Roman" w:hAnsi="Times New Roman"/>
          <w:sz w:val="18"/>
          <w:szCs w:val="18"/>
          <w:color w:val="auto"/>
        </w:rPr>
        <w:t>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the third parties and there can be no assurance that such third parties will establish adequate sales and distribution capabilities or be successful in gaining market acceptance of any approved product. If we are not successful in commercializing any product approved in the future, either on our own or through third parties, our business, financial condition, results of operations and prospects could be materially and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Price controls imposed in foreign markets may adversely affect our future profitability.</w:t>
      </w:r>
    </w:p>
    <w:p>
      <w:pPr>
        <w:spacing w:after="0" w:line="13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some countries, particularly member states of the European Union and the United Kingdom,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future collaborators may be required to conduct a clinical trial or other studies that compare the cost-effectiveness of our PROBODY therapeutic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w:t>
      </w:r>
    </w:p>
    <w:p>
      <w:pPr>
        <w:spacing w:after="0" w:line="18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6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exposed to significant product liability risks inherent in the development, testing, manufacturing and marketing of therapeutic treatments, including as a result of the clinical testing of our prior clinical candidates, our current clinical candidates, including CX-2051 and CX-801, and any other product candidates we may have or those of our collaborators. Product liability claims could delay or prevent completion of our development programs. If we succeed in marketing product candidates, such claims could result in an FDA investigation of the safety and effectiveness of our product candidates, our manufacturing processes and facilities (or the manufacturing processes and facilities of our third-party manufacturers)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insurance that we believe is appropriate for our stage of development and may need to obtain higher levels of insurance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183"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may engage in misconduct or other improper activities, including noncompliance with regulatory standards and requirements.</w:t>
      </w:r>
    </w:p>
    <w:p>
      <w:pPr>
        <w:spacing w:after="0" w:line="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or independent contractors. Misconduct by these parties could include intentional failures to comply with FDA regulations, provide accurate information to the FDA, comply with manufacturing standards we may establish, comply with federal and state data privacy, security, fraud and abuse, and other healthcare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5" w:name="page46"/>
    <w:bookmarkEnd w:id="45"/>
    <w:p>
      <w:pPr>
        <w:ind w:right="40"/>
        <w:spacing w:after="0" w:line="282" w:lineRule="auto"/>
        <w:rPr>
          <w:sz w:val="20"/>
          <w:szCs w:val="20"/>
          <w:color w:val="auto"/>
        </w:rPr>
      </w:pPr>
      <w:r>
        <w:rPr>
          <w:rFonts w:ascii="Times New Roman" w:cs="Times New Roman" w:eastAsia="Times New Roman" w:hAnsi="Times New Roman"/>
          <w:sz w:val="18"/>
          <w:szCs w:val="18"/>
          <w:color w:val="auto"/>
        </w:rPr>
        <w:t>are not successful in defending ourselves or asserting our rights, those actions could have a material and adverse effect on our business, financial condition, results of operations and prospects, including the imposition of significant fines or other sanctions.</w:t>
      </w:r>
    </w:p>
    <w:p>
      <w:pPr>
        <w:spacing w:after="0" w:line="15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w:t>
      </w:r>
    </w:p>
    <w:p>
      <w:pPr>
        <w:spacing w:after="0" w:line="6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For example, in March 2020, the COVID-19 pandemic caused us to restrict access to our facility and initiate a work-from-home program limiting onsite activity to a substantially reduced level of laboratory research activities. Although we gradually increased our laboratory research activities to normal levels, and adopted a hybrid work from home model, there can be no assurance that a future pandemic or other event will not impact our ability to conduct business.</w:t>
      </w:r>
    </w:p>
    <w:p>
      <w:pPr>
        <w:spacing w:after="0" w:line="2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and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U.S.</w:t>
      </w:r>
    </w:p>
    <w:p>
      <w:pPr>
        <w:spacing w:after="0" w:line="13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prepare our financial statements in conformity with accounting principles generally accepted in the U.S. These accounting principles are subject to interpretation by the Financial Accounting Standards Board (“FASB”) and the SEC. A change in these policies or interpretations could have a significant effect on our reported financial results, may retroactively affect previously reported results, could cause unexpected financial reporting fluctuations, and may require us to make costly changes to our operational processes and accounting systems. Additionally, for the purpose of revenue recognition, we are required to estimate the amount of effort to complete, as measured by full-time equivalent hours of our research development programs. Such estimates are inherently uncertain and may result in changes in subsequent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35"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(the “IRC”), if a corporation undergoes an “ownership change” (generally defined as a greater than 50 percentage points change (by value) in the ownership of its equity over a rolling three-year period), the corporation’s ability to use its pre-change net operating loss carryforwards and certain other pre-change tax attributes to offset its post-change income and taxes may be limited.</w:t>
      </w:r>
    </w:p>
    <w:p>
      <w:pPr>
        <w:spacing w:after="0" w:line="1"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California has similar rules. For example, we performed an IRC Section 382 analysis in 2017 and determined there was an ownership change that resulted in Section 382 limitations. The ownership change limited our ability to utilize net operating losses against taxable income in 2018 for both federal and California tax purposes. The remaining net operating losses and credit will be available in future years before expiration during their respective carryforward periods. We may experience ownership changes in the future as a result of shifts in our stock ownership, some of which are outside our control, and our ability to utilize net operating loss carryforwards could be limited by an “ownership change” as described above, which could result in additional increased tax liability to 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3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and enforce patent protection for our technologies or product candidates, development and commercialization of our product candidates may be adversely affected.</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6" w:name="page47"/>
    <w:bookmarkEnd w:id="46"/>
    <w:p>
      <w:pPr>
        <w:spacing w:after="0" w:line="252" w:lineRule="auto"/>
        <w:rPr>
          <w:sz w:val="20"/>
          <w:szCs w:val="20"/>
          <w:color w:val="auto"/>
        </w:rPr>
      </w:pPr>
      <w:r>
        <w:rPr>
          <w:rFonts w:ascii="Times New Roman" w:cs="Times New Roman" w:eastAsia="Times New Roman" w:hAnsi="Times New Roman"/>
          <w:sz w:val="18"/>
          <w:szCs w:val="18"/>
          <w:color w:val="auto"/>
        </w:rPr>
        <w:t xml:space="preserve">Our success depends in part on our ability to obtain and maintain patents and other forms of intellectual property rights, including in-licenses of intellectual property rights of others, for our product candidates, methods used to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We have a substantial number of issued patents and pending patent applications, some of which are co-owned with a third party, covering our PROBODY platforms and products as well as methods of use and production thereof; we have exclusively licensed UCSB’s interest in the patent family co-owned with UCSB that covers certain PROBODY and other pro-protein technology in the fields of therapeutics,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diagnostics and prophylactics. In addition, we have exclusively licensed a patent portfolio of three patent families from UCSB that includes patents and patent applications that cover compositions and methods related to the screening for and identification of the masks that we incorporate into some of our PROBODY candidates. We may not be able to apply for patents on certain aspects of our product candidates in a timely fashion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 Moreover, the patent position of biotechnology and biopharmaceutical companies can be highly uncertain because it involves complex legal and factual questions.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w:t>
      </w:r>
    </w:p>
    <w:p>
      <w:pPr>
        <w:spacing w:after="0" w:line="22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U.S. Patent and Trademark Office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proprietary products and technology. While we will endeavor to try to protect our product candidates with intellectual property rights such as patents, as appropriate, the process of obtaining patents is time-consuming, expensive and sometimes unpredictable.</w:t>
      </w:r>
    </w:p>
    <w:p>
      <w:pPr>
        <w:spacing w:after="0" w:line="21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In addition, there are numerous recent changes to the patent laws and proposed changes to the rules of the USPTO that may have a significant impact on our ability to protect our technology and enforce our intellectual property rights. For example, the America Invents Act (“AIA”) enacted within the last several years involves significant changes in patent legislation. The Supreme Court has ruled on several patent cases in recent years, some of which cases either narrow the scope of patent protection available in certain circumstances or weaken the rights of patent owners in certain situations. The recent decision by the Supreme Court in </w:t>
      </w:r>
      <w:r>
        <w:rPr>
          <w:rFonts w:ascii="Times New Roman" w:cs="Times New Roman" w:eastAsia="Times New Roman" w:hAnsi="Times New Roman"/>
          <w:sz w:val="18"/>
          <w:szCs w:val="18"/>
          <w:i w:val="1"/>
          <w:iCs w:val="1"/>
          <w:color w:val="auto"/>
        </w:rPr>
        <w:t>Association for Molecular Pathology v. Myriad Genetics, Inc</w:t>
      </w:r>
      <w:r>
        <w:rPr>
          <w:rFonts w:ascii="Times New Roman" w:cs="Times New Roman" w:eastAsia="Times New Roman" w:hAnsi="Times New Roman"/>
          <w:sz w:val="18"/>
          <w:szCs w:val="18"/>
          <w:color w:val="auto"/>
        </w:rPr>
        <w:t>. precludes a claim to a nucleic acid having a stated nucleotide sequence that is identical to a sequence found in nature and has not been modified. We currently are not aware of an immediate impact of this decision on our patents or patent applications because we are developing product candidates that contain modifications, such as our PROBODY substrates and masks, that we believe are not found in nature. However, this decision has yet to be clearly interpreted by courts and by the USPTO. We cannot assure you that the interpretations of this decision or subsequent rulings will not adversely impact our patents or patent applications.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2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allowed or granted claims thus attacked, or may lose the allowed or granted claims altogether. In addition, there can be no assurance that:</w:t>
      </w:r>
    </w:p>
    <w:p>
      <w:pPr>
        <w:spacing w:after="0" w:line="75" w:lineRule="exact"/>
        <w:rPr>
          <w:sz w:val="20"/>
          <w:szCs w:val="20"/>
          <w:color w:val="auto"/>
        </w:rPr>
      </w:pPr>
    </w:p>
    <w:p>
      <w:pPr>
        <w:ind w:left="1020" w:right="24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or may not be able to make, use or sell compounds that are the same as or similar to our product candidates but that are not covered by the claims of the patents that we own or license.</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our collaborators are the first to make the inventions covered by each of our issued patents and pending patent applications that we own or license.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our collaborators are the first to file patent applications covering certain aspects of our inventions.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7" w:name="page48"/>
    <w:bookmarkEnd w:id="47"/>
    <w:p>
      <w:pPr>
        <w:ind w:left="1020" w:right="9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independently develop similar or alternative technologies or duplicate any of our technologies without infringing, misappropriating or otherwise violating our intellectual property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party may not challenge our patents and, if challenged, a court would hold that our patents are valid, enforceable and infringed.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issued patents that we own or have licensed will provide us with any competitive advantages or will not be challenged by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will not have a material or adverse effect on our business, financial condition, results of operations and prospects.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15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 companies or organizations may challenge our or our licensors’ patent rights or may assert patent rights that prevent us from developing and commercializing our products.</w:t>
      </w:r>
    </w:p>
    <w:p>
      <w:pPr>
        <w:spacing w:after="0" w:line="6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PROBODY therapeutics are a relatively new scientific field. We have obtained grants and issuances of PROBODY therapeutic patents and have licensed one patent family comprising several of these patents from a third party on an exclusive basis for therapeutics applications.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and have licensed a portfolio of patents, patent applications and other intellectual property covering PROBODY compositions of matter as well as their methods of manufacturing and use.</w:t>
      </w:r>
    </w:p>
    <w:p>
      <w:pPr>
        <w:spacing w:after="0" w:line="21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There are many issued and pending patents that claim aspects of our product candidates and modifications that we may need to apply to our product candidates. There are also many issued patents that claim antibodies or portions of antibodies that may be relevant for PROBODY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Obtaining a valid and enforceable issued or granted patent covering our technology in the U.S.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generally in certain jurisdictions. Proceedings to enforce our patent rights in foreign jurisdictions could result in substantial cost and divert our efforts and attention from other aspects of our business.</w:t>
      </w:r>
    </w:p>
    <w:p>
      <w:pPr>
        <w:spacing w:after="0" w:line="21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For example, in March 2022, Russia adopted a decree allowing local companies and individuals to use inventions from certain countries designated as “unfriendly”, including the U.S. Further, under current U.S. currency restrictions on payments to entities in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ind w:right="360"/>
        <w:spacing w:after="0" w:line="282" w:lineRule="auto"/>
        <w:rPr>
          <w:sz w:val="20"/>
          <w:szCs w:val="20"/>
          <w:color w:val="auto"/>
        </w:rPr>
      </w:pPr>
      <w:r>
        <w:rPr>
          <w:rFonts w:ascii="Times New Roman" w:cs="Times New Roman" w:eastAsia="Times New Roman" w:hAnsi="Times New Roman"/>
          <w:sz w:val="18"/>
          <w:szCs w:val="18"/>
          <w:color w:val="auto"/>
        </w:rPr>
        <w:t>Russia, we may be unable in the future to pay for the prosecution of patent applications or the maintenance of existing patents in Russia. As a result of these actions, we may not be able to protect our technology from unlicensed use in Russia.</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We generally file a provisional patent application first (a priority filing) at the USPTO. An international application under the Patent Cooperation Treaty (“PCT”) is usually filed within twelve months after the priority filing. Based on the PCT filing, national and regional patent applications may be filed in the United States, Europe, Japan, Australia and Canada and, depending on the individual case, also in any or all of,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Brazil, China, Hong Kong, India, Indonesia, Israel, Malaysia, Mexico, New Zealand, Russia or Eurasian Patent Organization, Singapore,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by others. It is also quite common that depending on the country, various scopes of patent protection may be granted on the same product candidate or technology.</w:t>
      </w:r>
    </w:p>
    <w:p>
      <w:pPr>
        <w:spacing w:after="0" w:line="21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laws of some jurisdictions do not protect intellectual property rights to the same extent as the laws in the U.S., and many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18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or our licensors, or any future strategic partners may become subject to third party claims or litigation alleging infringement of patents or other proprietary rights or seeking to invalidate patents or other proprietary rights, and we may need to resort to litigation to protect or enforce our patents or other proprietary rights, all of which could be costly, time consuming, delay or prevent the development and commercialization of our product candidates, or put our patents and other proprietary rights at risk.</w:t>
      </w:r>
    </w:p>
    <w:p>
      <w:pPr>
        <w:spacing w:after="0" w:line="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or our licensors, or any future strategic partners may be subject to third-party claims for infringement or misappropriation of patent or other proprietary rights. We are generally obligated under our license or collaboration agreements to indemnify and hold harmless our licensors or collaborators for damages arising from intellectual property infringement by us. For example, in March 2020, Vytacera filed a patent infringement lawsuit against the Company in the U.S. District Court for the District of Delaware. The lawsuit alleged that the Company’s use, offers to sell, and/or sales of the PROBODY technology platform for basic research applications constituted infringement. The complaint sought unspecified monetary damages. On October 17, 2024 the Court dismissed plaintiff’s case, and on October 28, 2024, the Court ordered the case to be closed.</w:t>
      </w:r>
    </w:p>
    <w:p>
      <w:pPr>
        <w:spacing w:after="0" w:line="214"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7"/>
          <w:szCs w:val="17"/>
          <w:color w:val="auto"/>
        </w:rPr>
        <w:t>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20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If we were to initiate legal proceedings against a third party to enforce a patent covering one of our products or our technology, the defendant could counterclaim that our patent is invalid or unenforceable. In patent litigation in the U.S.,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9" w:name="page50"/>
    <w:bookmarkEnd w:id="49"/>
    <w:p>
      <w:pPr>
        <w:ind w:right="80"/>
        <w:spacing w:after="0" w:line="261" w:lineRule="auto"/>
        <w:rPr>
          <w:sz w:val="20"/>
          <w:szCs w:val="20"/>
          <w:color w:val="auto"/>
        </w:rPr>
      </w:pPr>
      <w:r>
        <w:rPr>
          <w:rFonts w:ascii="Times New Roman" w:cs="Times New Roman" w:eastAsia="Times New Roman" w:hAnsi="Times New Roman"/>
          <w:sz w:val="18"/>
          <w:szCs w:val="18"/>
          <w:color w:val="auto"/>
        </w:rPr>
        <w:t>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misappropriating or otherwise violating our patents or other intellectual property rights.</w:t>
      </w:r>
    </w:p>
    <w:p>
      <w:pPr>
        <w:spacing w:after="0" w:line="176" w:lineRule="exact"/>
        <w:rPr>
          <w:sz w:val="20"/>
          <w:szCs w:val="20"/>
          <w:color w:val="auto"/>
        </w:rPr>
      </w:pPr>
    </w:p>
    <w:p>
      <w:pPr>
        <w:jc w:val="both"/>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w:t>
      </w:r>
    </w:p>
    <w:p>
      <w:pPr>
        <w:spacing w:after="0" w:line="80"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Because the antibody landscape is still evolving, including the masked antibody landscape, it is difficult to conclusively assess our freedom to operate without infringing on third-party rights. There are numerous companies that have pending patent applications and issued patents broadly covering antibodies generally or covering antibodies directed against the same targets as, or targets similar to, those we are pursuing. An increasing number of third parties are filing masked antibody patent applications, several of which contain claims that are patterned after our own patent claims. Our competitive position may suffer if patents issued to third parties or other third-party intellectual property rights cover our products or product candidates or elements thereof, or our manufacture or uses relevant to our development plans.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There may be issued patents of which we are not aware, held by third parties that, if found to be valid and enforceable, could be alleged to be infringed by our PROBODY therapeutic technologies. There also may be pending patent applications of which we are not aware that may result in issued patents, which could be alleged to be infringed by our PROBODY therapeutic technologies. If such an infringement claim should be brought and be successful, we may be required to pay substantial damages, be forced to abandon our product candidates or seek a license from any patent holders. No assurances can be given that a license will be available on commercially reasonable terms, if at all.</w:t>
      </w:r>
    </w:p>
    <w:p>
      <w:pPr>
        <w:spacing w:after="0" w:line="2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It is also possible that we have failed to identify relevant third-party patents or applications. For example, U.S. applications filed before November 29, 2000, and certain U.S. applications filed after that date that will not be filed outside the U.S. remain confidential until patents issue. Patent applications in the U.S.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21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or from successfully challenging our intellectual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0" w:name="page51"/>
    <w:bookmarkEnd w:id="50"/>
    <w:p>
      <w:pPr>
        <w:spacing w:after="0" w:line="282" w:lineRule="auto"/>
        <w:rPr>
          <w:sz w:val="20"/>
          <w:szCs w:val="20"/>
          <w:color w:val="auto"/>
        </w:rPr>
      </w:pPr>
      <w:r>
        <w:rPr>
          <w:rFonts w:ascii="Times New Roman" w:cs="Times New Roman" w:eastAsia="Times New Roman" w:hAnsi="Times New Roman"/>
          <w:sz w:val="18"/>
          <w:szCs w:val="18"/>
          <w:color w:val="auto"/>
        </w:rPr>
        <w:t>property rights. Uncertainties resulting from the initiation and continuation of patent litigation or other proceedings could have a material and adverse effect on our ability to compete in the marketplace.</w:t>
      </w:r>
    </w:p>
    <w:p>
      <w:pPr>
        <w:spacing w:after="0" w:line="158"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any license, collaboration or other agreements, we may be required to pay damages and could lose our rights to intellectual property rights that are necessary for developing and protecting our product candidates or we could lose certain rights to grant sublicenses.</w:t>
      </w:r>
    </w:p>
    <w:p>
      <w:pPr>
        <w:spacing w:after="0" w:line="80"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Our licenses from Amgen, ImmunoGen and UCSB impose, and any future licenses we enter into are likely to impose, various development, commercialization, funding, diligence, sublicensing, insurance, patent prosecution and enforcement and/or other obligations on us, including various payment obligations such as milestone and royalty payments and payments based on sublicensing revenues. Our rights under our agreements with our licensors or collaborators may be limited or modified according to their terms. Additionally,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and collaborators may own or control intellectual property that has not been licensed to us and, as a result, we may be subject to claims, regardless of their merit, that we are infringing, misappropriating or otherwise violating the licensor’s rights. In addition, while we cannot currently determine the amount of the royalty or sublicense revenue payment obligations we would be required to pay on development or sales of future products, if any, the amounts may be significant. The amount of our future royalty or sublicense revenue payment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186"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agreements with our licensors, collaborators and third parties may be subject to disagreements over contract interpretation, which could narrow the scope of, or result in termination of, our rights to the relevant intellectual property or technology or increase our financial or other obligations to such third parties.</w:t>
      </w:r>
    </w:p>
    <w:p>
      <w:pPr>
        <w:spacing w:after="0" w:line="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Certain provisions in our intellectual property agreements may be susceptible to multiple interpretations. For example, we may disagree with our licensors or collaborators regarding whether, when and to what extent various obligations under these agreements apply to certain of our product candidates and products, including various payment, development, commercialization, funding, diligence, sublicensing, insurance, patent prosecution and enforcement and/or other obligations. The resolution of any contract interpretation disagreement that may arise could affect the scope of our rights to the relevant intellectual property or technology, or affect financial or other obligations under the relevant agreement. In either case, such disagreement could have a material adverse effect on our business, financial condition, results of operations and prospects.</w:t>
      </w:r>
    </w:p>
    <w:p>
      <w:pPr>
        <w:spacing w:after="0" w:line="214" w:lineRule="exact"/>
        <w:rPr>
          <w:sz w:val="20"/>
          <w:szCs w:val="20"/>
          <w:color w:val="auto"/>
        </w:rPr>
      </w:pPr>
    </w:p>
    <w:p>
      <w:pPr>
        <w:ind w:right="140"/>
        <w:spacing w:after="0" w:line="220" w:lineRule="exact"/>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executing or may be breached, and we may be forced to bring claims against third parties, or defend claims they may bring against us, to determine the ownership of what we regard as our intellectual property.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to seeking patent protection for certain aspects of our product candidates, we also consider trade secrets, including confidential and unpatented know-how, important to the maintenance of our competitive position. We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183" w:lineRule="exact"/>
        <w:rPr>
          <w:sz w:val="20"/>
          <w:szCs w:val="20"/>
          <w:color w:val="auto"/>
        </w:rPr>
      </w:pPr>
    </w:p>
    <w:p>
      <w:pPr>
        <w:jc w:val="both"/>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1" w:name="page52"/>
    <w:bookmarkEnd w:id="51"/>
    <w:p>
      <w:pPr>
        <w:spacing w:after="0" w:line="255"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1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31"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or be delayed in obtaining U.S. or foreign regulatory approval and, as a result, be unable or delayed in being able to commercialize our product candidates.</w:t>
      </w:r>
    </w:p>
    <w:p>
      <w:pPr>
        <w:spacing w:after="0" w:line="6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product candidates that we are currently developing are regulated as therapeutic biologics that are subject to requirements for review and approval of a BLA by the FDA’s Center for Drug Evaluation and Research (“CDER”). Therefore, 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and therapeutic biologics. Rigorous preclinical testing and clinical trials and an extensive regulatory approval process are required to be successfully completed in the U.S. and in many foreign jurisdictions before a new drug or therapeutic biologic can be marketed. Satisfaction of these and other regulatory requirements is costly, time consuming, uncertain and subject to unanticipated delays. For example, recently the FDA launched Project Optimus, an initiative to reform the dose optimization and dose selection paradigm in oncology drug development. While the effort is intended to help drive better ultimate outcomes in the development of oncology drugs, these efforts could also lead to longer and more expensive early development efforts for companies, including us, before we are able to initiate registrational studies for our product candidates. It is possible that none of the product candidates we may develop will obtain the regulatory approvals necessary for us or our existing or future collaborators to begin selling them.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or comparable foreign regulatory authorities can delay, limit or deny approval of a product candidate for many reasons, including:</w:t>
      </w:r>
    </w:p>
    <w:p>
      <w:pPr>
        <w:spacing w:after="0" w:line="117"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the design or execution of our clinical trials;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ambiguous results from our clinical trials or results may not meet the level of significance or persuasiveness required by the FDA or comparable foreign regulatory agencies for approval;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may be experienced by participants in our clinical trials or by individuals using drugs similar to our product candidates;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assure safety in the full population for which we seek approval;</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clinical data from trials that are conducted at clinical facilities or in countries where the standard of care is potentially different from that of their own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agree that the data collected from clinical trials of our product candidates are acceptable or sufficient to support the submission of a BLA or other submission or to obtain regulatory approval in the U.S. or elsewhere, and such authorities may impose requirements for additional preclinical studies or clinical trials;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52" w:name="page53"/>
    <w:bookmarkEnd w:id="52"/>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us regarding the formulation, labeling and/or the product specifications of our product candidates;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may be granted only for indications that are significantly more limited than those sought by us, and/or may include significant restrictions on distribution and use;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find deficiencies in the manufacturing processes or facilities of the third-party manufacturers with which we contract for clinical and commercial supplies;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a submission due to, among other reasons, the content or formatting of the submission.</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a company, we have limited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us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Further, government shutdowns, such as the partial U.S. federal government shutdown that occurred in late 2018 or the United Kingdom’s departure from the European Union may impact our ability to access government agencies in a timely manner or otherwise impact our ability to move our product candidates through the regulatory process. It is impossible to predict whether legislative changes will be enacted, or whether FDA or foreign regulations, guidance or interpretations will be changed, or what the impact of such changes, if any, may be.</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Any delay or failure in obtaining required approvals could have a material and adverse effect on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REMS as part of a BLA or after approval, which may impose further requirements or restrictions on the distribution or use of an approved drug or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21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U.S. and vice versa.</w:t>
      </w:r>
    </w:p>
    <w:p>
      <w:pPr>
        <w:spacing w:after="0" w:line="17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regulatory approvals that we or our collaborators obtain for our product candidates may also be subject to limitations on the approved indicated uses for which a product may be marketed or to the conditions of approval, or contain requirements for potentially costly post-marketing testing, including post-marketing clinical trials and surveillance programs to monitor the safety and efficacy of the product candidate. 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In addition, manufacturers of drug products and their facilities are subject to continual review and periodic, unannounced inspections by the FDA and other regulatory authorities for compliance with cGMPs and other applicable regulations and standards. In addition, any regulatory approvals we may receive will require the submission of periodic reports to regulatory authorities and ongoing surveillance to monitor the safety and efficacy of the product. Such approvals may also contain significant limitations related to use restrictions for specified age groups, warnings, precautions or contraindications, and may include burdensome post-approval study or risk management requirements. For example, the FDA may require a REMS as a condition of approval of our product candidates, which could include requirements for a medication guide,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3" w:name="page54"/>
    <w:bookmarkEnd w:id="53"/>
    <w:p>
      <w:pPr>
        <w:ind w:right="220"/>
        <w:spacing w:after="0" w:line="282" w:lineRule="auto"/>
        <w:rPr>
          <w:sz w:val="20"/>
          <w:szCs w:val="20"/>
          <w:color w:val="auto"/>
        </w:rPr>
      </w:pPr>
      <w:r>
        <w:rPr>
          <w:rFonts w:ascii="Times New Roman" w:cs="Times New Roman" w:eastAsia="Times New Roman" w:hAnsi="Times New Roman"/>
          <w:sz w:val="18"/>
          <w:szCs w:val="18"/>
          <w:color w:val="auto"/>
        </w:rPr>
        <w:t>physician training and communication plans or additional elements to ensure safe use, such as restricted distribution methods, patient registries and other risk minimization tools.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54" w:lineRule="exact"/>
        <w:rPr>
          <w:sz w:val="20"/>
          <w:szCs w:val="20"/>
          <w:color w:val="auto"/>
        </w:rPr>
      </w:pPr>
    </w:p>
    <w:p>
      <w:pPr>
        <w:ind w:left="1020" w:right="1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 or 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restitutions, disgorgement of profits or revenues, warning letters or holds on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our strategic partners;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revocation of product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5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for which we intend to seek approval as biologic products may face competition sooner than anticipated.</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Affordable Care Act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spacing w:after="0" w:line="21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Moreover, the extent to which a biosimilar, once approved, will be substituted for any one of our reference products in a way that is similar to traditional generic substitution for non-biological products is not yet clear, and will depend on a number of marketplace factors.</w:t>
      </w:r>
    </w:p>
    <w:p>
      <w:pPr>
        <w:spacing w:after="0" w:line="17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inherently fluid and unpredictable. Disruptions at the FDA and other agencies may also slow the time necessary for therapeutic biologics or modifications to approved therapeutic biologics to be reviewed and/or approved by necessary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4" w:name="page55"/>
    <w:bookmarkEnd w:id="54"/>
    <w:p>
      <w:pPr>
        <w:ind w:right="480"/>
        <w:spacing w:after="0" w:line="282" w:lineRule="auto"/>
        <w:rPr>
          <w:sz w:val="20"/>
          <w:szCs w:val="20"/>
          <w:color w:val="auto"/>
        </w:rPr>
      </w:pPr>
      <w:r>
        <w:rPr>
          <w:rFonts w:ascii="Times New Roman" w:cs="Times New Roman" w:eastAsia="Times New Roman" w:hAnsi="Times New Roman"/>
          <w:sz w:val="18"/>
          <w:szCs w:val="18"/>
          <w:color w:val="auto"/>
        </w:rPr>
        <w:t>government agencies, which would adversely affect our business. For example, in recent years, the U.S. government has shut down several times and certain regulatory agencies, such as the FDA, have had to furlough FDA employees and stop critical activities.</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Separately, in response to the COVID-19 pandemic, the FDA postponed most inspections of domestic and foreign manufacturing facilities at various points. If a prolonged government shutdown occurs, or if renewed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and adverse effect on our business and results of operations.</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and government regulation. In March 2010, the Patient Protection and Affordable Care Act, as amended by the Health Care and Education Reconciliation Act (together, the “ACA”), was passed, which substantially changed the way healthcare is financed by both governmental and private insurers, and significantly impacts the U.S. pharmaceutical industry. The ACA, among other things, subjected therapeutic biologics to potential competition by lower-cost biosimilars, addressed a new methodology by which rebates owed by manufacturers under the Medicaid Drug Rebate Program are calculated for drugs and therapeutic biologics that are inhaled, infused, instilled, implanted or injected, increased the minimum Medicaid rebates owed by manufacturers under the Medicaid Drug Rebate Program and extended the rebate program to individuals enrolled in Medicaid managed care organizations, and established annual fees and taxes on manufacturers of certain branded prescription drugs and therapeutic biologics. 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w:t>
      </w:r>
    </w:p>
    <w:p>
      <w:pPr>
        <w:spacing w:after="0" w:line="2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to reduce healthcare expenditures. The Budget Control Act of 2011, among other things, included aggregate reductions of Medicare payments to providers. These reductions went into effect on April 1, 2013 and due to subsequent legislative amendments to the statute, will remain in effect through 2032, with the exception of a temporary suspension from May 2, 2020 through March 31, 2022, unless additional Congressional action is taken.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2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 xml:space="preserve">Moreover, payment methodologies, including payment for companion diagnostics, may be subject to changes in healthcare legislation and regulatory initiatives. For example, in March 2018, the Centers for Medicare &amp; Medicaid Services (“CMS”) finalized a national coverage determination extending coverage under the Medicare program for certain diagnostic laboratory tests using next generation sequencing (“NGS”) that are approved by the FDA as a companion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and used in a cancer with an FDA-approved companion diagnostic indication. Under the national coverage determination, diagnostic tests that meet these criteria are covered only in patients with recurrent, metastatic, relapsed, refractory or stages III or IV cancer if the test has an FDA-approved or cleared indication for use in that patient’s cancer and results are provided to the treating physician for management of the patient using a report template to specify treatment options. Although the Medicare program increasingly is used as a model for how private payors and other governmental payors develop their coverage and reimbursement policies, it is difficult to predict at this time what third-party payors will decide with respect to the coverage and reimbursement for any companion diagnostics associated with our product candidates.</w:t>
      </w:r>
    </w:p>
    <w:p>
      <w:pPr>
        <w:spacing w:after="0" w:line="21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addition, 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In March 2021, the American Rescue Plan Act of 2021 was signed into law, which eliminated the statutory Medicaid drug rebate cap, previously set at 100% of a drug’s average manufacturer price, beginning January 1, 2024. In August 2022, the Inflation Reduction Act of 2022, or IRA, was signed into law by President Biden.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(which began in 2025). The IRA permits the Secretary of the Department of Health and Human Services (HHS) to implement many of these provisions through</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5" w:name="page56"/>
    <w:bookmarkEnd w:id="55"/>
    <w:p>
      <w:pPr>
        <w:ind w:right="80"/>
        <w:spacing w:after="0" w:line="253" w:lineRule="auto"/>
        <w:rPr>
          <w:sz w:val="20"/>
          <w:szCs w:val="20"/>
          <w:color w:val="auto"/>
        </w:rPr>
      </w:pPr>
      <w:r>
        <w:rPr>
          <w:rFonts w:ascii="Times New Roman" w:cs="Times New Roman" w:eastAsia="Times New Roman" w:hAnsi="Times New Roman"/>
          <w:sz w:val="18"/>
          <w:szCs w:val="18"/>
          <w:color w:val="auto"/>
        </w:rPr>
        <w:t>guidance, as opposed to regulation, for the initial years. CMS has published the negotiated prices for the initial ten drugs, which will first be effective in 2026, and has published the list of the subsequent 15 drugs that will be subject to negotiation, although the drug price negotiation program is currently subject to legal challenges. For that and other reasons, it is currently unclear how the IRA will be effectuated. These laws and future laws may negatively impact the ability of biotechnology companies, including us, to raise funds from investors for or to obtain collaboration partners who assist us in the funding of research and development of future medicines.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companion diagnostics or additional pricing pressures.</w:t>
      </w:r>
    </w:p>
    <w:p>
      <w:pPr>
        <w:spacing w:after="0" w:line="186"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manufacturers or service providers fail to comply with healthcare laws and regulations, we or they could be subject to enforcement actions, which could affect our ability to develop, market and sell our products and may harm our reputation.</w:t>
      </w:r>
    </w:p>
    <w:p>
      <w:pPr>
        <w:spacing w:after="0" w:line="6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if and when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spacing w:after="0" w:line="81" w:lineRule="exact"/>
        <w:rPr>
          <w:sz w:val="20"/>
          <w:szCs w:val="20"/>
          <w:color w:val="auto"/>
        </w:rPr>
      </w:pPr>
    </w:p>
    <w:p>
      <w:pPr>
        <w:ind w:left="1020" w:hanging="503"/>
        <w:spacing w:after="0" w:line="258"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ind w:left="1020" w:right="80" w:hanging="503"/>
        <w:spacing w:after="0" w:line="25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79" w:lineRule="exact"/>
        <w:rPr>
          <w:rFonts w:ascii="Times New Roman" w:cs="Times New Roman" w:eastAsia="Times New Roman" w:hAnsi="Times New Roman"/>
          <w:sz w:val="18"/>
          <w:szCs w:val="18"/>
          <w:color w:val="auto"/>
        </w:rPr>
      </w:pPr>
    </w:p>
    <w:p>
      <w:pPr>
        <w:ind w:left="1020" w:right="80" w:hanging="503"/>
        <w:spacing w:after="0" w:line="258"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ind w:left="1020" w:right="300" w:hanging="503"/>
        <w:spacing w:after="0" w:line="255"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CMS information related to certain payments and other transfers of value to physicians (defined to include doctors, dentists, optometrists, podiatrists and chiropractors), certain non-physician practitioners (physician assistants, nurse practitioners, clinical nurse specialists, anesthesiologist assistants, certified registered nurse anesthetists and certified nurse midwives) and teaching hospitals, as well as ownership and investment interests held by the physicians described above and their immediate family members; and</w:t>
      </w:r>
    </w:p>
    <w:p>
      <w:pPr>
        <w:spacing w:after="0" w:line="80"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and state laws that require pharmaceutical companies to comply with the pharmaceutical industry’s voluntary compliance guidelines and the relevant compliance guidance promulgated by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6" w:name="page57"/>
    <w:bookmarkEnd w:id="56"/>
    <w:p>
      <w:pPr>
        <w:ind w:left="1020" w:right="600"/>
        <w:spacing w:after="0" w:line="282" w:lineRule="auto"/>
        <w:rPr>
          <w:sz w:val="20"/>
          <w:szCs w:val="20"/>
          <w:color w:val="auto"/>
        </w:rPr>
      </w:pPr>
      <w:r>
        <w:rPr>
          <w:rFonts w:ascii="Times New Roman" w:cs="Times New Roman" w:eastAsia="Times New Roman" w:hAnsi="Times New Roman"/>
          <w:sz w:val="18"/>
          <w:szCs w:val="18"/>
          <w:color w:val="auto"/>
        </w:rPr>
        <w:t>federal government in addition to requiring drug and therapeutic biologics manufacturers to report information related to payments to physicians and other healthcare providers or marketing expenditures and pricing information.</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penalties, including civil or criminal penalties, monetary damages, the curtailment or restructuring of our operations, loss of eligibility to obtain approvals from the FDA, or exclusion from participation in government contracting, healthcare reimbursement or other government programs, including Medicare and Medicaid, any of which could adversely our financial results.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2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we or future collaborators, manufacturers or service providers fail to comply with applicable federal, state or foreign laws or regulations, we could be subject to enforcement actions, which could affect our ability to develop, market and sell our products successfully and could harm our reputation and lead to reduced acceptance of our products by the market. These enforcement actions include, among others:</w:t>
      </w:r>
    </w:p>
    <w:p>
      <w:pPr>
        <w:spacing w:after="0" w:line="68"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inspection findings;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or public notification or medical product safety alerts to healthcare professionals;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or prohibitions against, marketing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or prohibitions against, importation or exportation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review or refusal to approve pending applications or supplements to approved applications;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from participation in government-funded healthcare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from eligibility for the award of government contracts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product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seizures or administrative detention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 and fines.</w:t>
      </w:r>
    </w:p>
    <w:p>
      <w:pPr>
        <w:spacing w:after="0" w:line="22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regulatory environment surrounding data privacy and security is increasingly demanding. We are or may in the future be subject to numerous U.S. federal and state laws and non-U.S. regulations governing the collection, use, disclosure, retention, and security of personal and confidential information of our clinical subjects, clinical investigators, employees and vendors/business contacts.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2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the United States, HIPAA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 Certain states have also adopted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7" w:name="page58"/>
    <w:bookmarkEnd w:id="57"/>
    <w:p>
      <w:pPr>
        <w:spacing w:after="0" w:line="253" w:lineRule="auto"/>
        <w:rPr>
          <w:sz w:val="20"/>
          <w:szCs w:val="20"/>
          <w:color w:val="auto"/>
        </w:rPr>
      </w:pPr>
      <w:r>
        <w:rPr>
          <w:rFonts w:ascii="Times New Roman" w:cs="Times New Roman" w:eastAsia="Times New Roman" w:hAnsi="Times New Roman"/>
          <w:sz w:val="18"/>
          <w:szCs w:val="18"/>
          <w:color w:val="auto"/>
        </w:rPr>
        <w:t>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also be required.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spacing w:after="0" w:line="21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Our operations abroad may also be subject to increased scrutiny or attention from data protection authorities. For example, the General Data Protection Regulation (“GDPR”) went into effect in May 2018, and imposes stringent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4% total worldwide annual turnover or €20 million, whichever is higher.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(“CJEU”)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On July 10, 2023, the European Commission adopted its Adequacy Decision in relation to the new EU-US Data Privacy Framework (“DPF”), rendering the DPF effective as a GDPR transfer mechanism to U.S. entities self-certified under the DPF.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 As supervisory authorities issue further guidance on personal data export mechanisms, including circumstances where the standard contractual clauses cannot be used, 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products and services, the geographical location or segregation of our relevant systems and operations, and could adversely affect our financial results.</w:t>
      </w:r>
    </w:p>
    <w:p>
      <w:pPr>
        <w:spacing w:after="0" w:line="2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Further, from January 1, 2021, we have had to comply with the GDPR and also the UK GDPR, which, together with the amended UK Data Protection Act 2018, retains the GDPR in UK national law. The UK GDPR mirrors the fines under the GDPR, i.e., fines up to the greater of €20 million (£17.5 million) or 4% of global turnover. On October 12, 2023, the UK Extension to the DPF came into effect (as approved by the UK Government), as a data transfer mechanism from the UK to U.S. entities self-certified under the DPF. As we continue to expand into other foreign countries and jurisdictions, we may be subject to additional laws and regulations that may affect how we conduct business.</w:t>
      </w:r>
    </w:p>
    <w:p>
      <w:pPr>
        <w:spacing w:after="0" w:line="21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significant fines, penalties and damage to our reputation, and we may be forced to change the way we operate. This could result in additional cost and liability to us, which could negatively affect our business, results of operation, and financial condition.</w:t>
      </w:r>
    </w:p>
    <w:p>
      <w:pPr>
        <w:spacing w:after="0" w:line="18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6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8" w:name="page59"/>
    <w:bookmarkEnd w:id="58"/>
    <w:p>
      <w:pPr>
        <w:ind w:right="20"/>
        <w:spacing w:after="0" w:line="266" w:lineRule="auto"/>
        <w:rPr>
          <w:sz w:val="20"/>
          <w:szCs w:val="20"/>
          <w:color w:val="auto"/>
        </w:rPr>
      </w:pPr>
      <w:r>
        <w:rPr>
          <w:rFonts w:ascii="Times New Roman" w:cs="Times New Roman" w:eastAsia="Times New Roman" w:hAnsi="Times New Roman"/>
          <w:sz w:val="18"/>
          <w:szCs w:val="18"/>
          <w:color w:val="auto"/>
        </w:rPr>
        <w:t>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20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ability to commercialize any products successfully also will depend in part on the extent to which coverage and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 There may be significant delays in obtaining reimbursement for 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not be 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U.S. Third-party payors often rely upon Medicare coverage policy and payment limitations in setting their own reimbursement rates. Our inability to promptly obtain coverage and adequate reimbursement rates from both government-funded and private payors for new drugs or therapeutic biologics that we develop and for which we obtain regulatory approval could have a material and adverse effect on our operating results, our ability to raise capital needed to commercialize products and our financial condition.</w:t>
      </w:r>
    </w:p>
    <w:p>
      <w:pPr>
        <w:spacing w:after="0" w:line="18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and fail to obtain fast track or breakthrough therapy designations for our current or future product candidates. If we are successful, these programs may not lead to a faster development or regulatory review process, and they do not guarantee we will receive approval for any product candidate.</w:t>
      </w:r>
    </w:p>
    <w:p>
      <w:pPr>
        <w:spacing w:after="0" w:line="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a product is intended for the treatment of a serious or life-threatening condition and preclinical or clinical data demonstrate the potential to address an unmet medical need for this condition, the product sponsor may apply for fast track designation. Fast track designation provides increased opportunities for sponsor meetings with the FDA during preclinical and clinical development, in addition to the potential for rolling review of a BLA, if the sponsor provides a schedule for the submission of the sections of the BLA, the FDA agrees to accept sections of the BLA and determines that the schedule is acceptable, and the sponsor pays any required user fees upon submission of the first section of the BLA.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21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spacing w:after="0" w:line="211"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attempt to secure approval from the FDA through the use of the accelerated approval pathway. If we are unable to obtain such approval, we may be required to conduct additional preclinical studies or clinical trials beyond those that we contemplate, which could increase the expense of obtaining, and delay the receipt of, necessary regulatory approvals. Even if we receive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9" w:name="page60"/>
    <w:bookmarkEnd w:id="59"/>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accelerated approval from the FDA, if our confirmatory trials do not verify clinical benefit, or if we do not comply with rigorous post-marketing requirements, the FDA may seek to withdraw any accelerated approval we have obtained.</w:t>
      </w:r>
    </w:p>
    <w:p>
      <w:pPr>
        <w:spacing w:after="0" w:line="6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may in the future seek accelerated approval for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w:t>
      </w:r>
    </w:p>
    <w:p>
      <w:pPr>
        <w:spacing w:after="0" w:line="19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accelerated approval pathway may be used in cases in which the advantage of a product candidate over available therapy may not be a direct therapeutic advantage, but is a clinically important improvement from a patient and public health perspective. If granted, accelerated approval is usually contingent on the sponsor’s agreement to conduct, in a diligent manner, additional confirmatory studies to verity and describe the drug’s predicted clinical benefit. If such post-approval studies fail to confirm the drug’s clinical benefit or are not completed in a timely manner, the FDA may withdraw its approval of the drug on an expedited basis. In addition, the Food and Drug Omnibus Reform Act of 2022 provided FDA statutory authority to mitigate potential risks to patients from continued marketing of ineffective drugs previously granted accelerated approval. Under these provisions, the FDA may require a sponsor of a product seeking accelerated approval to have a confirmatory trial underway prior to such approval being granted.</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 BLA for accelerated approval or any other form of expedited development, review or approval. Furthermore, if we decide to submit an application for accelerated approval for our product candidates, there can be no assurance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if any, could increase the cost of development of such product candidate and could harm our competitive position in the marketplace.</w:t>
      </w:r>
    </w:p>
    <w:p>
      <w:pPr>
        <w:spacing w:after="0" w:line="18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some of our product candidates, and we may be unsuccessful or may be unable to maintain the benefits associated with Orphan Drug Designation, including the potential for market exclusivity.</w:t>
      </w:r>
    </w:p>
    <w:p>
      <w:pPr>
        <w:spacing w:after="0" w:line="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part of our business strategy, we may seek Orphan Drug Designation for our product candidates, and we may be unsuccessful. Regulatory authorities in some jurisdictions, including the United States and Europe, may designate drugs and therapeutic biologics for relatively small patient populations as orphan drugs. Under the Orphan Drug Act, the FDA may designate a drug or therapeutic biologic as an orphan drug if it is a drug or therapeutic biologic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or therapeutic biologic will be recovered 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or condition for which it has such designation, the product is entitled to orphan drug exclusivity, which means that the FDA may not approve any other applications, including a full BLA, to market the same product for the same disease or condition or seven years, except in limited circumstances, such as a showing of clinical superiority to the product with orphan drug exclusivity or where the manufacturer is unable to assure sufficient product quantity.</w:t>
      </w:r>
    </w:p>
    <w:p>
      <w:pPr>
        <w:spacing w:after="0" w:line="2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Even if we obtain Orphan Drug Designation for our product candidates in specific indications, we may not be the first to obtain marketing approval of these product candidates for the orphan-designated disease or condition due to the uncertainties associated with developing pharmaceutical products. In addition, exclusive marketing rights in the United States may be limited if we seek approval for an disease or condition broader than the orphan-designated disease or condition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biologics can be approved for the same disease or condition. Even after an orphan product is approved, the FDA can subsequently approve the same drug or therapeutic biologic for the same disease or condition if the FDA concludes that the later drug or therapeutic biologic is safer, more effective or makes a major contribution to patient care. Orphan Drug Designation neither shortens the development time or regulatory review time of a drug or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0" w:name="page61"/>
    <w:bookmarkEnd w:id="60"/>
    <w:p>
      <w:pPr>
        <w:ind w:right="140"/>
        <w:spacing w:after="0" w:line="282" w:lineRule="auto"/>
        <w:rPr>
          <w:sz w:val="20"/>
          <w:szCs w:val="20"/>
          <w:color w:val="auto"/>
        </w:rPr>
      </w:pPr>
      <w:r>
        <w:rPr>
          <w:rFonts w:ascii="Times New Roman" w:cs="Times New Roman" w:eastAsia="Times New Roman" w:hAnsi="Times New Roman"/>
          <w:sz w:val="18"/>
          <w:szCs w:val="18"/>
          <w:color w:val="auto"/>
        </w:rPr>
        <w:t>therapeutic biologic nor gives the drug or therapeutic biologic any advantage in the regulatory review or approval process. In addition, while we may seek Orphan Drug Designation for our product candidates, we may never receive such designations.</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Tax reform legislation passed in 2017 reduced the amount of the qualified clinical research costs for a designated orphan product that a sponsor may claim as a credit from 50% to 25%. Thus, further limiting the advantage and may impact our future business strategy of seeking the Orphan Drug Designation.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3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54" w:lineRule="exact"/>
        <w:rPr>
          <w:sz w:val="20"/>
          <w:szCs w:val="20"/>
          <w:color w:val="auto"/>
        </w:rPr>
      </w:pPr>
    </w:p>
    <w:p>
      <w:pPr>
        <w:ind w:left="1020" w:right="80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ongoing development of our PROBODY platform, our product candidates or future development programs;</w:t>
      </w:r>
    </w:p>
    <w:p>
      <w:pPr>
        <w:spacing w:after="0" w:line="53"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or the addition or termination of clinical trials or funding support by us, or existing or future collaborators or licensing partners;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receives regulatory approval, the terms of such approval and market acceptance and demand for such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product candidates or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portion of the revenue recognized relates to up-front payments received in earlier years, so the current cash flows from operations may be significantly different from the net income (loss) reported;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to be recognized in 2025 and future years may be significantly lower than 2024 as collaboration research terms come to an end.</w:t>
      </w:r>
    </w:p>
    <w:p>
      <w:pPr>
        <w:spacing w:after="0" w:line="25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7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comply with the requirements of Section 404 of the Sarbanes-Oxley Act of 2002 in a timely manner or with adequate compliance, we may be subject to a loss of stockholder confidence and sanctions or investigations by regulatory authorities or litigation.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404 of the Sarbanes-Oxley Act of 2002 requires that we evaluate and determine the effectiveness of our internal controls over financial reporting,</w:t>
      </w:r>
    </w:p>
    <w:p>
      <w:pPr>
        <w:spacing w:after="0" w:line="6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provide a management report on the internal control over financial reporting and obtain an independent assessment and report on a company's internal financial controls from our external auditors.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1" w:name="page62"/>
    <w:bookmarkEnd w:id="61"/>
    <w:p>
      <w:pPr>
        <w:ind w:right="80"/>
        <w:spacing w:after="0" w:line="254" w:lineRule="auto"/>
        <w:rPr>
          <w:sz w:val="20"/>
          <w:szCs w:val="20"/>
          <w:color w:val="auto"/>
        </w:rPr>
      </w:pPr>
      <w:r>
        <w:rPr>
          <w:rFonts w:ascii="Times New Roman" w:cs="Times New Roman" w:eastAsia="Times New Roman" w:hAnsi="Times New Roman"/>
          <w:sz w:val="18"/>
          <w:szCs w:val="18"/>
          <w:color w:val="auto"/>
        </w:rPr>
        <w:t>material misstatements in our financial statements, and harm our operating results. In addition, we are required, pursuant to Section 404, to furnish a report by our management and obtain an independent assessment and report from our external auditors on, among other things, the effectiveness of our internal control over financial reporting in our Annual Report on Form 10-K. Internal control over financial reporting is a process designed to provide reasonable assurance regarding the reliability of financial reporting and the preparation of financial statements in accordance with generally acceptable accounting principles in the United States (“GAAP”). This assessment includes disclosure of any material weaknesses identified by management in its internal control over financial reporting. The rules governing the standards that must be met for management to assess its internal control over financial reporting are complex and require significant documentation, testing, and possible remediation. Testing and maintaining internal controls may divert management’s attention from other matters that are important to our business. A failure in any of these obligations or requirements could subject us to a loss of stockholder confidence and sanctions or investigations by regulatory authorities or litigation.</w:t>
      </w:r>
    </w:p>
    <w:p>
      <w:pPr>
        <w:spacing w:after="0" w:line="21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the implementation of the necessary practices and procedures related to internal control over financial reporting, we may identify deficiencies that we may not be able to remediate before our management is required to furnish the annual report on the effectiveness of our internal control over financial reporting. Our testing, or the testing (if required) by our independent registered public accounting firm, may reveal deficiencies in our internal control over financial reporting that are deemed to be material weaknesses. A material weakness is a deficiency, or combination of deficiencies, in internal control over financial reporting, such that there is a reasonable possibility that a material misstatement of the entity’s financial statements will not be prevented or detected on a timely basis. Any material weaknesses could result in a material misstatement of our annual or quarterly financial statements or disclosures that may not be prevented or detected. The existence of any material weakness would require management to devote significant time and incur significant expense to remediate any such material weakness, and management may not be able to remediate any such material weakness in a timely manner.</w:t>
      </w:r>
    </w:p>
    <w:p>
      <w:pPr>
        <w:spacing w:after="0" w:line="21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If we fail to implement the requirements of Section 404 in the required timeframe, we may be subject to sanctions or investigations by regulatory authorities, including the Securities and Exchange Commission (“SEC”) and The Nasdaq Global Select Market. Furthermore, if we are unable to conclude that our internal control over financial reporting is effective, we could lose investor confidence in the accuracy and completeness of our financial reports, the market price of our securities could decline, and we could be subject to sanctions or investigations by regulatory authorities or litigation. Failure to implement or maintain effective internal control over financial reporting and disclosure controls and procedures required of public companies could also restrict our future access to the capital markets.</w:t>
      </w:r>
    </w:p>
    <w:p>
      <w:pPr>
        <w:spacing w:after="0" w:line="21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preparing our financial statements for the year ending December 31, 2022, we determined that a material weakness existed in our internal control over financial reporting due to ineffective controls for evaluation and review of the accounting for revenue recognition. We initiated plans to remediate the material weakness and determined that as of June 30, 2023, the material weakness had been remediated. There can be no assurance that we will not identify additional material weaknesses in the future.</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future periods, if our management is unable to conclude that we have effective internal control over financial reporting, or to certify the effectiveness of such controls, or if additional material weaknesses in our internal control over financial reporting are identified, our ability to record, process, and report financial information accurately, and to prepare financial statements within the time periods specified by the rules and forms of the SEC, could be adversely affected which, in turn, may adversely affect our business and the market price of our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purchasers of our common stock could incur substantial losses.</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stock price is volatile. Since our initial public offering (“IPO”), our stock had low and high sales prices in the range of $0.76 and $35.00 per share. The market price for our common stock may be influenced by many factors, including the other risks described in this section titled “Risk Factors” and the following:</w:t>
      </w:r>
    </w:p>
    <w:p>
      <w:pPr>
        <w:spacing w:after="0" w:line="68"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product candidates, or those of our competitors or our collaborators;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 especially changes in laws or regulations applicable to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products by us, our future commercialization partners, or our competitors, and the timing of these introductions or announcements;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products, clinical studies, manufacturing process or sales and marketing terms;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2" w:name="page63"/>
    <w:bookmarkEnd w:id="62"/>
    <w:p>
      <w:pPr>
        <w:ind w:left="1020" w:right="36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any pandemic and related governmental regulations and restrictions may impact our business, including our research, clinical trials, manufacturing and financial condition, as well as the impact of other natural disasters and other calamities;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technologies, products or product candidates;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any existing or future collaborations, including but not limited to those with our sources of manufacturing supply and our commercialization partners;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or capital commitments;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we raise 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 recommendations regarding our common stock, other comparable companies or our industry generally;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and expectation of additional financing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concentrated ownership of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25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future issuance of equity or of debt securities that are convertible into equity will dilute our share capital.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choose to raise additional capital in the future, depending on market conditions, strategic considerations and operational requirements.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that additional capital is raised through the issuance of shares or other securities convertible into shares, our stockholders will be diluted.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2020, we entered into an Open Market Sale Agreement (as amended on each of March 4, 2022 and August 9, 2024, the “Sales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Jefferies LLC (“Jefferies”), to sell shares of our common stock, par value $0.00001 per share, with aggregate gross sales proceeds of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$75,000,000, from time to time, through an at the market offering under which Jefferies will act as sales agent. We have issued securities under the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may do so in the future. In addition, in January and February 2021, we sold 16,428,571 shares of our common stock at $7.00 per share in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underwritten public offering. In July 2023, we sold pre-funded warrants to purchase up to 14,423,077 shares of common stock and accompanying Tranche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to purchase up to 11,538,462 shares of our common stock. Future issuances of our common stock or other equity securities pursuant to the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or otherwise, or the perception that such sales may occur, could adversely affect the trading price of our common stock and impair our ability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raise capital through future offerings of shares or equity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p>
      <w:pPr>
        <w:ind w:right="60"/>
        <w:spacing w:after="0" w:line="266" w:lineRule="auto"/>
        <w:rPr>
          <w:sz w:val="20"/>
          <w:szCs w:val="20"/>
          <w:color w:val="auto"/>
        </w:rPr>
      </w:pPr>
      <w:r>
        <w:rPr>
          <w:rFonts w:ascii="Times New Roman" w:cs="Times New Roman" w:eastAsia="Times New Roman" w:hAnsi="Times New Roman"/>
          <w:sz w:val="18"/>
          <w:szCs w:val="18"/>
          <w:color w:val="auto"/>
        </w:rPr>
        <w:t>securities. Additionally, future sales of our common stock at prices below the exercise price of the Tranche Warrants may lower the exercise price of the Tranche Warrants. No prediction can be made as to the effect, if any, that future sales of common stock or the availability of common stock for future sales will have on the trading price of our common stock.</w:t>
      </w:r>
    </w:p>
    <w:p>
      <w:pPr>
        <w:spacing w:after="0" w:line="172"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employment agreements with our executive officers may require us to pay severance benefits to officers in connection with termination of employment or upon a change of control of us, which could harm our financial condition.</w:t>
      </w:r>
    </w:p>
    <w:p>
      <w:pPr>
        <w:spacing w:after="0" w:line="6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Each of our executive officers is entitled to receive a lump sum payment equal to one year or more of his or her base salary as well as continued medical and dental coverage for a period of one year or more plus a prorated portion of his or her target annual bonus for the calendar year in which his or her employment is terminated following his or her termination of employment due to good reason or without cause. In the event of a change in control and a termination of employment without cause or due to good reason, each of our executive officers would similarly receive one year or more of his or her base salary as well as continued medical and dental coverage for a period of one year or more, as well as an additional lump sum payment equal to 100% or more of his or her target annual bonus for the calendar year in which his or her employment is terminated and full vesting of his or her outstanding option awards. The accelerated vesting of options could result in dilution to our existing stockholders and harm the market price of our common stock. Furthermore, the payment of these severance benefits could harm our financial condition. In addition, these potential severance payments may discourage or prevent third parties from seeking a business combination with 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market for our common stock may not be maintained.</w:t>
      </w:r>
    </w:p>
    <w:p>
      <w:pPr>
        <w:spacing w:after="0" w:line="13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Prior to our IPO in October 2015, there had been no public market for shares of our common stock. Our stock began trading on the Nasdaq Global Select Market in 2015, and we can provide no assurance that we will be able to maintain an active trading market on The Nasdaq Global Select Market or any other exchange in the future. If an active market for our common stock is not maintained, it may be difficult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17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of December 31, 2024, our executive officers, directors, holders of 5% or more of our capital stock based on publicly available filings made with the SEC and their respective affiliates beneficially owned approximately 33% of our outstanding common stock. In addition, in our July 2023 private placement, a certain holder of 5% or more of our capital stock acquired pre-funded warrants and accompanying Tranche Warrants to purchase shares of our common stock. Until fully exercised or expired, the shares issuable upon the exercise of the pre-funded warrants and the Tranche Warrants are not included in the number of our outstanding shares of common stock. If such holder exercises their warrants, then the shares of our capital stock beneficially owned by our executive officers, directors, holders of 5% or more of our capital stock and their respective affiliates would increase significantly.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our stockholders may feel are in their best interest.</w:t>
      </w:r>
    </w:p>
    <w:p>
      <w:pPr>
        <w:spacing w:after="0" w:line="190"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6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spacing w:after="0" w:line="75"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actions by our stockholders by written consent;</w:t>
      </w:r>
    </w:p>
    <w:p>
      <w:pPr>
        <w:spacing w:after="0" w:line="117" w:lineRule="exact"/>
        <w:rPr>
          <w:rFonts w:ascii="Times New Roman" w:cs="Times New Roman" w:eastAsia="Times New Roman" w:hAnsi="Times New Roman"/>
          <w:sz w:val="18"/>
          <w:szCs w:val="18"/>
          <w:color w:val="auto"/>
        </w:rPr>
      </w:pPr>
    </w:p>
    <w:p>
      <w:pPr>
        <w:ind w:left="1020" w:right="80" w:hanging="503"/>
        <w:spacing w:after="0" w:line="258"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which our company is not obligated to call more than once per calendar year, be called only by the chairman of our board of directors, our chief executive officer, our board of directors pursuant to a resolution adopted by a majority of the total number of authorized directors, or, subject to certain conditions, by our secretary at the request of the stockholders holding of record, in the aggregate, shares entitled to cast not less than ten percent of the votes at a meeting of the stockholders (assuming all shares entitled to vote at such meeting were present and voted);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4" w:name="page65"/>
    <w:bookmarkEnd w:id="64"/>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election to our board of directors and for proposing matters that can be acted upon at stockholder meetings;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division of our board of directors into three classes, serving staggered terms of three years each;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with such terms as the board of directors may determine.</w:t>
      </w:r>
    </w:p>
    <w:p>
      <w:pPr>
        <w:spacing w:after="0" w:line="25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as amended, which prohibits a person who owns in excess of 15 percent of our outstanding voting stock from merging or combining with us for a period of three years after the date of the transaction in which the person acquired in excess of 15 percent of our outstanding voting stock, unless the merger or combination is approved in a prescribed manner. These provisions would apply even if the proposed merger or acquisition could be considered beneficial by some stockholders.</w:t>
      </w:r>
    </w:p>
    <w:p>
      <w:pPr>
        <w:spacing w:after="0" w:line="17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new compliance initiatives and corporate governance practices.</w:t>
      </w:r>
    </w:p>
    <w:p>
      <w:pPr>
        <w:spacing w:after="0" w:line="6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increase our legal and financial compliance costs and make some activities more time 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9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4"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13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failure to meet the continued listing requirements of the Nasdaq Global Select Market, including minimum stock price requirements, </w:t>
      </w:r>
      <w:r>
        <w:rPr>
          <w:rFonts w:ascii="Times New Roman" w:cs="Times New Roman" w:eastAsia="Times New Roman" w:hAnsi="Times New Roman"/>
          <w:sz w:val="18"/>
          <w:szCs w:val="18"/>
          <w:b w:val="1"/>
          <w:bCs w:val="1"/>
          <w:color w:val="auto"/>
        </w:rPr>
        <w:t>could result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 a delisting of our common stock.</w:t>
      </w:r>
    </w:p>
    <w:p>
      <w:pPr>
        <w:spacing w:after="0" w:line="15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the Nasdaq Global Select Market (“Nasdaq”), such as the corporate governance requirements or the minimum closing bid price requirement, Nasdaq may take steps to delist our common stock. On February 24, 2025, we received notice from Nasdaq that we failed to meet Nasdaq’s minimum closing bid price requirement of $1.00 per share. We have 180 days to bring our share price above $1.00 for ten consecutive trading days, subject to Nasdaq’s discretion to extend the time for compliance. While we intend to take reasonable action to bring our stock price in compliance, we cannot provide any assurance that we will be able to achieve compliance.</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Such a delisting would likely have a negative effect on the price of our common stock and would impair your ability to sell or purchase our common stock when you wish to do so. In the event of a delisting, any action taken by us to restore compliance with listing requirements may not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significant costs from class action litigation due to our expected stock volatility.</w:t>
      </w:r>
    </w:p>
    <w:p>
      <w:pPr>
        <w:spacing w:after="0" w:line="13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stock price may fluctuate for many reasons, including as a result of public announcements regarding the progress of our development efforts or the development efforts of future collaborators or competitors, the addition or departure of our key personnel, variations in our quarterly operating results and changes in market valuations of biopharmaceutical and biotechnology companies.</w:t>
      </w:r>
    </w:p>
    <w:p>
      <w:pPr>
        <w:spacing w:after="0" w:line="20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This risk is especially relevant to us because biopharmaceutical and biotechnology companies have experienced significant stock price volatility in recent years. When the market price of a stock has been volatile as our stock price may be, holders of that stock have occasionally brought securities class action litigation against the company that issued the stock. For example, in May 2020, a putative securities class action lawsuit was brought against us (“Class Action Lawsuit”). While the Class Action Lawsuit was voluntarily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5" w:name="page66"/>
    <w:bookmarkEnd w:id="65"/>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dismissed without prejudice by the plaintiff and his attorneys in January 2021, a similar lawsuit or another lawsuit could be filed in the future. Stockholder lawsuits of this type against us, even if it is without merit, could cause us to incur substantial costs defending the lawsuit. The lawsuit could also divert the time and attention of our management.</w:t>
      </w:r>
    </w:p>
    <w:p>
      <w:pPr>
        <w:spacing w:after="0" w:line="172"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amended and restated bylaws provide that, subject to limited exceptions, the Court of Chancery of the State of Delaware will be the sole and exclusive forum for any derivative action or proceeding brought on our behalf, any action asserting a claim of breach of a fiduciary duty owed by any of our directors, officers or other employees to us or our stockholders, any action asserting a claim against us arising pursuant to any provision of the Delaware General Corporation Law, as amended, our amended and restated certificate of incorporation or our amended and restated bylaws, any action to interpret, apply, enforce or determine the validity of our amended and restated certificate of incorporation or our amended and restated bylaws or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3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future pandemic could adversely impact our business, including our research, development, including clinical trials, manufacturing and financial condition.</w:t>
      </w:r>
    </w:p>
    <w:p>
      <w:pPr>
        <w:spacing w:after="0" w:line="6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impact of future pandemics could severely impact the business, research, development and manufacturing for us and our partners including ongoing or planned clinical trials for CX-2051, CX-904 and CX-801, and any clinical trials of our partners. For example, in December 2019, a novel strain of coronavirus, COVID-19, was reported to have surfaced in Wuhan, China, and spread to multiple countries, including the United States and European and Asia-Pacific countries. As a result, our operations and the operations of our partners were impacted for a substantial period of time. Future pandemics may incur similar or more severe disruptions and impacts. These disruptions and impacts may include:</w:t>
      </w:r>
    </w:p>
    <w:p>
      <w:pPr>
        <w:spacing w:after="0" w:line="75"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research activities or obtaining necessary supplies to enable research;</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for any clinical trials we or our partners decide to initiate, including CX-2051 and CX-801, including difficulties in recruiting clinical site investigators and clinical site staff and clinical trial enrollment;</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or our partners’ clinical trial sites and hospital staff supporting the conduct of our or our partners’ clinical trials;</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monitoring, due to limitations on travel imposed or recommended by federal or state governments, employers and others;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interpreting clinical data due to patients being infected by pandemic disease;</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employee resources that would otherwise be focused on the conduct of our clinical trials or the clinical trials of our partners, including because of sickness of employees or their families or the desire of employees to avoid contact with large groups of people;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approval from local regulatory authorities to initiate our or our partners’ planned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clinical sites receiving the supplies and materials needed to conduct our or our partners’ clinical trials;</w:t>
      </w:r>
    </w:p>
    <w:p>
      <w:pPr>
        <w:spacing w:after="0" w:line="11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in manufacturing or global shipping that may affect the timely delivery or transport of research materials or clinical trial materials, such as investigational drug product used in our or our partners’ clinical trials;</w:t>
      </w:r>
    </w:p>
    <w:p>
      <w:pPr>
        <w:spacing w:after="0" w:line="53" w:lineRule="exact"/>
        <w:rPr>
          <w:rFonts w:ascii="Times New Roman" w:cs="Times New Roman" w:eastAsia="Times New Roman" w:hAnsi="Times New Roman"/>
          <w:sz w:val="18"/>
          <w:szCs w:val="18"/>
          <w:color w:val="auto"/>
        </w:rPr>
      </w:pPr>
    </w:p>
    <w:p>
      <w:pPr>
        <w:ind w:left="1020" w:right="160" w:hanging="503"/>
        <w:spacing w:after="0" w:line="312" w:lineRule="auto"/>
        <w:tabs>
          <w:tab w:leader="none" w:pos="10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local regulations as part of a response to a pandemic outbreak which may require us or our partners to change the ways in which clinical trials are conducted, which may result in unexpected costs, or cause us or our partners to discontinue the clinical trials altogether;</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6" w:name="page67"/>
    <w:bookmarkEnd w:id="66"/>
    <w:p>
      <w:pPr>
        <w:ind w:left="1020" w:right="26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accept data from clinical trials in affected geographies outside the United States.</w:t>
      </w:r>
    </w:p>
    <w:p>
      <w:pPr>
        <w:spacing w:after="0" w:line="25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cannot be certain of the impact of any future pandemic on our business or make any assurance that research, development or manufacturing of our product candidates will not be delayed, discontinued or otherwise impacted.</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Any of the potential business, research and clinical impacts arising as a result of any pandemic could cause us to default on our obligations to our collaborative partners, including our specific research and development obligations, potentially resulting in termination of one or more collaborations, and could materially and adversely affect our business, financial condition, results of operation and prospects.</w:t>
      </w:r>
    </w:p>
    <w:p>
      <w:pPr>
        <w:spacing w:after="0" w:line="20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 addition, a pandemic may negatively impact the trading price of shares of our common stock and could further severely impact our ability to raise additional capital on a timely basis or at 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U.S. and multi-national financial market conditions may adversely affect our business and financial position.</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maintains the majority of its cash and cash equivalents in accounts with major U.S. and multi-national financial institutions, and our deposits at certain of these institutions may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assets or form strategic alliances in the future, and we may not realize the benefits of such acquisitions</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we continue to mature our PROBODY platform and our clinical stage pipeline, we may seek to acquire and/or in-license other oncology products, product candidates, programs or companies that we consider complimentary to our efforts. Such efforts may never result in a transaction and any future growth through acquisition or in-licensing will depend upon the availability of suitable products, product candidates, programs or companies for acquisition or in-licensing on acceptable prices, terms and conditions. Even if appropriate opportunities are available, we may not be able to acquire rights to them on acceptable terms, or at all. The competition to acquire or in-license rights to promising products, product candidates, programs and companies is fierce, and many of our competitors are large, multinational pharmaceutical and biotechnology companies with considerably more financial, development and commercialization resources, personnel, and experience than we have. In order to compete successfully in the current business climate, we may have to pay higher prices for assets than may have been paid historically, which may make it more difficult for us to realize an adequate return on any acquisition. In addition, even if we succeed in identifying promising products, product candidates, programs or companies, we may not have the ability to develop, obtain regulatory approval for and commercialize such opportunities, or the financial resources necessary to pursue them.</w:t>
      </w:r>
    </w:p>
    <w:p>
      <w:pPr>
        <w:spacing w:after="0" w:line="2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Even if we are able to successfully identify and acquire or in-license new products, product candidates, programs or companies, we may not be able to successfully manage the risks associated with integrating any products, product candidates, programs or companies into our business or the risks arising from anticipated and unanticipated problems in connection with an acquisition or in-licensing. Further, while we seek to mitigate risks and liabilities of potential acquisitions through, among other things, due diligence, there may be risks and liabilities that such due diligence efforts fail to discover, that are not disclosed to us, or that we inadequately assess. Any failure in identifying and managing these risks and uncertainties effectively would have a material adverse effect on our business. In any event, we may not be able to realize the anticipated benefits of any acquisition or in-licensing for a variety of reasons, including the possibility that a product candidate fails to advance to clinical development, proves not to be safe or effective in clinical trials, or fails to reach its forecasted commercial potential or that the integration of a product, product candidate, program or company gives rise to unforeseen difficulties and expenditures. Any failure in identifying and managing these risks and uncertainties would have a material adverse effect on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acquisitions create other uncertainties and risks, particularly when the acquisition takes the form of a merger or other business consolidation.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encounter unexpected difficulties, or incur unexpected costs, in connection with transition activities and integration efforts, which include:</w:t>
      </w:r>
    </w:p>
    <w:p>
      <w:pPr>
        <w:spacing w:after="0" w:line="99"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acquisition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incur substantial debt or engage in dilutive issuances of equity securities to pay for acquisitions;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our historical business and our activities under our collaboration agreements;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strain on, and need to expand, our existing operational, technical, financial and administrative infrastructure;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experience in late-stage product development and commercialization;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in assimilating employees and corporate cultures;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in hiring qualified personnel and establishing necessary development and/or commercialization capabilities;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retain key management and other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challenges in controlling additional costs and expenses in connection with and as a result of the acquisition;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write down assets or recognize impairment charges;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to integration of operations and corporate and administrative infrastructures;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unanticipated liabilities for activities of or related to the acquired business or its operations, products or product candidates.</w:t>
      </w:r>
    </w:p>
    <w:p>
      <w:pPr>
        <w:spacing w:after="0" w:line="25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we fail to integrate or otherwise manage an acquired business successfully and in a timely manner, resulting operating inefficiencies could increase our costs more than we planned, could negatively impact the market price of our common stock and could otherwise distract us from execution of our strategy. Failure to maintain effective financial controls and reporting systems and procedures could also impact our ability to produce timely and accurate financial statements.</w:t>
      </w:r>
    </w:p>
    <w:p>
      <w:pPr>
        <w:spacing w:after="0" w:line="17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6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future growth may depend, in part, on our ability to develop and commercialize our product candidates in foreign markets for which we may rely on collaboration with third parties.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the reduced protection of intellectual property rights in some foreign countries. We may need to rely on third parties to market, distribute and sell our products in foreign markets.</w:t>
      </w:r>
    </w:p>
    <w:p>
      <w:pPr>
        <w:spacing w:after="0" w:line="18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or those of our CROs or other contractors or consultants we may utilize, may fail, suffer disruptions or suffer security breaches, which could result in a material disruption of our product development programs.</w:t>
      </w:r>
    </w:p>
    <w:p>
      <w:pPr>
        <w:spacing w:after="0" w:line="6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increasingly dependent on information technology systems and infrastructure, including mobile technologies, to operate our business. In the ordinary course of our business, we collect and store confidential and sensitive electronic information on our networks and in our data centers. This information includes, among other things, our intellectual property and proprietary information, the confidential information of our collaborators and licensees, clinical trial data, and the personal information of our employees (collectively, “Confidential Information”). It is important to our operations and business strategy that this Confidential Information remains secure and is perceived to be secure. Our information technology and other internal infrastructure systems and those of our CROs and contractors and consultants are vulnerable to damage and interruption from computer viruses, unauthorized access, natural disasters, terrorism, war, telecommunication and electrical failures, hacking, cyberattacks, phishing attacks and other social engineering schemes, malicious code, employee theft or misuse, human error, fraud, denial or degradation of service attacks, sophisticated nation-state and nation-state-supported actors or unauthorized access or use by persons inside our organization, or persons with access to systems inside our organization. A system interruption or security breach that leads to disclosure or modification of or prevents access to personally identifiable information or other protected information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personal data, resulting in increased costs or loss of revenue. Similarly, the loss of clinical trial data from completed or ongoing or planned clinical trials could result in delays in our regulatory approval efforts and significantly increase our costs to recover or reproduce the data.</w:t>
      </w:r>
    </w:p>
    <w:p>
      <w:pPr>
        <w:spacing w:after="0" w:line="22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Attacks upon information technology systems are also increasing in their frequency, levels of persistence, sophistication and intensity, and are being conducted by sophisticated and organized groups and individuals with a wide range of motives and expertise. As a result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68" w:name="page69"/>
    <w:bookmarkEnd w:id="68"/>
    <w:p>
      <w:pPr>
        <w:spacing w:after="0" w:line="254" w:lineRule="auto"/>
        <w:rPr>
          <w:sz w:val="20"/>
          <w:szCs w:val="20"/>
          <w:color w:val="auto"/>
        </w:rPr>
      </w:pPr>
      <w:r>
        <w:rPr>
          <w:rFonts w:ascii="Times New Roman" w:cs="Times New Roman" w:eastAsia="Times New Roman" w:hAnsi="Times New Roman"/>
          <w:sz w:val="18"/>
          <w:szCs w:val="18"/>
          <w:color w:val="auto"/>
        </w:rPr>
        <w:t>of our continued hybrid working environment, we may also face increased cybersecurity risks due to our dependency on remote working technology and electronic monitoring of clinical trial sites,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To the extent that any disruption or security breach were to result in a loss of, or damage to, our data, or inappropriate disclosure of Confidential Information, we could incur liability, recovery of our data could take a prolonged period of time, and the development of our research or product candidates could be delayed.</w:t>
      </w:r>
    </w:p>
    <w:p>
      <w:pPr>
        <w:spacing w:after="0" w:line="21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There can be no assurance that our and our third-party service providers’ risk management program and processes, including policies, controls or procedures, will be fully implemented, complied with or effective in protecting our systems, networks and Confidential Information. We and certain of our service providers are from time to time subject to cyberattacks and security incidents. While we do not believe that we have experienced any significant system failure, accident or security breach to date, if such an event were to occur and cause interruptions in our operations, it could result in a material disruption of our development programs and our business operations, whether due to a loss, corruption or unauthorized disclosure of Confidential Information or other similar disruptions. It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If a security breach or other incident were to result in the unauthorized access to or unauthorized use, disclosure, release or other processing of personal information, it may be necessary to notify individuals, governmental authorities, supervisory bodies, the media and other parties pursuant to privacy and security laws. To the extent that any disruption or security breach were to result in a loss of, or damage to, our data or systems, or inappropriate disclosure of Confidential Information, we could incur liability, including litigation exposure, penalties and fines, we could become the subject of regulatory action or investigation, our competitive position could be harmed and the further development and commercialization of our products and services could be delayed. Furthermore, federal, state and international laws and regulations can expose us to enforcement actions and investigations by regulatory authorities, and potentially result in regulatory penalties, fines and significant legal liability, if our information technology security efforts fail.</w:t>
      </w:r>
    </w:p>
    <w:p>
      <w:pPr>
        <w:spacing w:after="0" w:line="220"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As cyber threats continue to evolve, we may be required to expend significant additional resources to continue to modify or enhance our protective measures or to investigate and remediate any information security vulnerabilities. While we have implemented security measures to protect our data security and information technology systems, such measures may not prevent such events. Further, our insurance coverage may not be sufficient to cover the financial, legal, business or reputational losses that may result from an interruption or breach of our systems. Significant disruptions of our information technology systems or breaches of data security could have a material adverse effect on our business, financial condition and results of operations.</w:t>
      </w:r>
    </w:p>
    <w:p>
      <w:pPr>
        <w:spacing w:after="0" w:line="16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ongoing armed conflict between Russia and Ukraine or other international conflicts could adversely affect our business, financial condition, and results of operations.</w:t>
      </w:r>
    </w:p>
    <w:p>
      <w:pPr>
        <w:spacing w:after="0" w:line="5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February 24, 2022, Russian military forces launched a military action in Ukraine, and sustained conflict and disruption in the region is likely. The length, impact, and outcome of this ongoing military conflict is highly unpredictable, and could lead to significant market and other disruptions, including significant volatility in commodity prices and supply of energy resources, instability in financial markets, supply chain interruptions, political and social instability, trade disputes or trade barriers, changes in consumer or purchaser preferences, as well as an increase in cyberattacks and espionage.</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Russia’s recognition of two separatist republics in the Donetsk and Luhansk regions of Ukraine and subsequent military action against Ukraine have led to substantial expansion of sanction programs imposed by the United States, the European Union, the United Kingdom, Canada, Switzerland, Japan, and other countries against Russia, Belarus, the Crimea Region of Ukraine, the so-called Donetsk People’s Republic, and the so-called Luhansk People’s Republic, including, among others:</w:t>
      </w:r>
    </w:p>
    <w:p>
      <w:pPr>
        <w:spacing w:after="0" w:line="72" w:lineRule="exact"/>
        <w:rPr>
          <w:sz w:val="20"/>
          <w:szCs w:val="20"/>
          <w:color w:val="auto"/>
        </w:rPr>
      </w:pPr>
    </w:p>
    <w:p>
      <w:pPr>
        <w:ind w:left="1020" w:right="14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sanctions against some of the largest state-owned and private Russian financial institutions (and their subsequent removal from the Society for Worldwide Interbank Financial Telecommunication (SWIFT) payment system) and certain Russian businesses, some of which have significant financial and trade ties to the European Union;</w:t>
      </w:r>
    </w:p>
    <w:p>
      <w:pPr>
        <w:spacing w:after="0" w:line="6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sanctions against Russian and Belarusian individuals, including the Russian President, other politicians, and those with government connections or involved in Russian military activities;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9" w:name="page70"/>
    <w:bookmarkEnd w:id="69"/>
    <w:p>
      <w:pPr>
        <w:ind w:left="1020" w:right="36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of Russia’s foreign currency reserves as well as expansion of sectoral sanctions and export and trade restrictions, limitations on investments and access to capital markets, and bans on various Russian imports.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 The situation is rapidly evolving, additional sanctions by Russia on the one hand, and by the other countries on the other hand, could adversely affect the global economy, financial markets, energy supply and prices, certain critical materials and metals, supply chains, and global logistics and could adversely affect our business, financial condition, and results of operations.</w:t>
      </w:r>
    </w:p>
    <w:p>
      <w:pPr>
        <w:spacing w:after="0" w:line="2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actively monitoring the situation in Ukraine and Russia and assessing its impact on our business, including our business partners and customers. To date we have not experienced any material interruptions in our infrastructure, supplies, technology systems, or networks needed to support our operations. We have no way to predict the progress or outcome of the military conflict in Ukraine or its impacts in Ukraine, Russia, Belarus, Europe, or the U.S. The extent and duration of the military action, sanctions, and resulting market disruptions could be significant and could potentially have substantial impact on the global economy and our business for an unknown period of time.</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Additionally, other armed conflicts that arise from time to time, including the current conflict between Israel and Hamas, have the potential to cause global impacts that could adversely affect the global economy, financial markets, energy supply and prices, certain critical materials and metals, supply chains, and global logistics and could adversely affect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comply with laws regulating the protection of the environment and health and human safety, our business could be adversely affected.</w:t>
      </w:r>
    </w:p>
    <w:p>
      <w:pPr>
        <w:spacing w:after="0" w:line="13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research and development activities involve the use of hazardous materials and various chemicals. We maintain quantities of various flammable and toxic chemicals in our facilities in South San Francisco, California that are required for our research and development activities. We are subject to federal, state and local laws and regulations governing the use, manufacture, storage, handling and disposal of these hazardous materials. We believe our procedures for storing, handling and disposing these materials in our South San Francisco facilities comply with the relevant guidelines of South San Francisco, the state of California and the Occupational Safety and Health Administration of the U.S. Department of Labor.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animals and biohazardous materials. 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Additional federal, state and local laws and regulations affecting our operations may be adopted in the future. We may incur substantial costs to comply with, and substantial fines or penalties if we violate, any of these laws or regulations.</w:t>
      </w:r>
    </w:p>
    <w:p>
      <w:pPr>
        <w:spacing w:after="0" w:line="193"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or foreign tax laws or regulations that are applied adversely to us may have a material adverse effect on our business, cash flow, financial condition or results of operations.</w:t>
      </w:r>
    </w:p>
    <w:p>
      <w:pPr>
        <w:spacing w:after="0" w:line="6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and financial condition. Further, existing tax laws, statutes, rules, regulations or ordinances could be interpreted, changed, modified or applied adversely to us. For example, legislation enacted in 2017, informally titled the Tax Cuts and Jobs Act (the “Tax Act”), enacted many significant changes to the U.S. tax laws. Future guidance from the Internal Revenue Service and other tax authorities with respect to the Tax Act may affect us, and certain aspects of the Tax Act could be repealed or modified in future legislation. Changes in applicable tax rules, including changes to corporate tax rates, the realization of net deferred tax assets relating to our operations, the taxation of foreign earnings, and the deductibility of expenses under future reform legislation could have a material impact on the value of our deferred tax assets, could result in significant one-time charges, and could increase our future tax expense.</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adverse or misleading opinions regarding our stock, our stock price and trading volume could decline.</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0" w:name="page71"/>
    <w:bookmarkEnd w:id="70"/>
    <w:p>
      <w:pPr>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Cybersecurity Risk Management and Strategy</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 and utilize outside contractors to assist us in building and supporting our program.</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design and assess our program based on the National Institute of Standards and Technology Cybersecurity Framework (NIST CSF). This does not imply that we meet any particular technical standards, specifications, or requirements, only that we use the NIST CSF as a guide to help us identify, assess, and manage cybersecurity risks relevant to our business.</w:t>
      </w:r>
    </w:p>
    <w:p>
      <w:pPr>
        <w:spacing w:after="0" w:line="17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risk management program, and shares common methodologies, reporting channels and governance processes that apply across the risk management program to other legal, compliance, strategic, operational, and financial risk areas.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elements of our cybersecurity risk management program includes but are not limited to the following:</w:t>
      </w:r>
    </w:p>
    <w:p>
      <w:pPr>
        <w:spacing w:after="0" w:line="117"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risks from cybersecurity threats to our critical systems and information;</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principally responsible for managing (1) our cybersecurity risk assessment processes, (2) our security controls, and (3) our response to cybersecurity incidents;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processes;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including incident response personnel, and senior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 and</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for key service providers, suppliers, and vendors based on our assessment of their criticality to our operations and respective risk profiles.</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For more information, see the section titled “Risk Factor— Our information technology systems, or those of our CROs or other contractors or consultants we may utilize, may fail, suffer disruptions or suffer security breaches, which could result in a material disruption of our product development programs.”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Cybersecurity Governance</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to the Audit Committee (the “Committee”) oversight of cybersecurity risks, including oversight of management’s implementation of our cybersecurity risk management program.</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Committee receives quarterly reports from management on our cybersecurity risks. In addition, management updates the Committee, where it deems appropriate, regarding any cybersecurity incidents it considers to be significant or potentially significant.</w:t>
      </w:r>
    </w:p>
    <w:p>
      <w:pPr>
        <w:spacing w:after="0" w:line="16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Committee reports to the full Board regarding its activities, including those related to cybersecurity. The full Board also receives briefings from management on our cyber risk management program. Board members receive presentations on cybersecurity topics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71" w:name="page72"/>
    <w:bookmarkEnd w:id="71"/>
    <w:p>
      <w:pPr>
        <w:ind w:right="740"/>
        <w:spacing w:after="0" w:line="282" w:lineRule="auto"/>
        <w:rPr>
          <w:sz w:val="20"/>
          <w:szCs w:val="20"/>
          <w:color w:val="auto"/>
        </w:rPr>
      </w:pPr>
      <w:r>
        <w:rPr>
          <w:rFonts w:ascii="Times New Roman" w:cs="Times New Roman" w:eastAsia="Times New Roman" w:hAnsi="Times New Roman"/>
          <w:sz w:val="18"/>
          <w:szCs w:val="18"/>
          <w:color w:val="auto"/>
        </w:rPr>
        <w:t>from management and, where applicable, external experts, as part of our efforts to keep the Board updated on topics that impact similarly-sized biopharmaceutical public companies.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Director of Information Technology Infrastructure and Operations, who reports to the Chief Financial Officer, is primarily responsible for assessing and managing material risks from cybersecurity threats. Our Director of Information Technology Infrastructure and Operations has primary responsibility for our overall cybersecurity risk management program and supervises our retained external cybersecurity resources. Our Director of Information Technology Infrastructure and Operations' experience includes information systems architecture, operations, cybersecurity, and data privacy protection.</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management team takes steps to stay informed about and monitor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information technology environment.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21"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Our principal executive office is currently located in South San Francisco, California, and consists of approximately 76,000 square feet of office and research and development space, all of which is located in a single building, under a lease that expires in October 2026. We believe that our existing facilities are sufficient for our current needs.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On March 4, 2020, Vytacera Bio, LLC (“Vytacera”) filed a patent infringement lawsuit against us in the U.S. District Court for the District of Delaware. The lawsuit alleged that our use, offers to sell, and/or sales of the PROBODY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technology platform for basic research applications constituted infringement. The complaint sought unspecified monetary damages. In September 2022, we filed a motion to dismiss the case. On October 17, 2024, the Court dismissed the case and on October 28, 2024, the Court ordered the case to be closed.</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85" w:right="49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222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r>
        <w:rPr>
          <w:rFonts w:ascii="Times New Roman" w:cs="Times New Roman" w:eastAsia="Times New Roman" w:hAnsi="Times New Roman"/>
          <w:sz w:val="18"/>
          <w:szCs w:val="18"/>
          <w:b w:val="1"/>
          <w:bCs w:val="1"/>
          <w:color w:val="auto"/>
        </w:rPr>
        <w:t xml:space="preserve"> Market Information for Common Stock</w:t>
      </w:r>
    </w:p>
    <w:p>
      <w:pPr>
        <w:ind w:right="100"/>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under the symbol “CTMX” since our initial public offering in October 2015. Prior to that time, there was no public market for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February 28, 2025, there were approximately 20 stockholders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currently intend to retain future earnings, if any, for use in operation of our business and to fund future growth. We have never declared or paid any cash dividends on our capital stock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regarding equity compensation plans is incorporated by reference to the information set forth in PART III. Item 12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Registered Securities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7"/>
          <w:szCs w:val="17"/>
          <w:i w:val="1"/>
          <w:iCs w:val="1"/>
          <w:color w:val="auto"/>
        </w:rPr>
        <w:t>The following discussion should be read in conjunction with the attached financial statements and notes thereto. This Annual Report on Form 10-K, including the following sections, contains forward-looking statements within the meaning of the federal securities laws. These statements are subject to risks and uncertainties that could cause actual results and events to differ materially from those expressed or implied by such forward-looking statements. For a detailed discussion of these risks and uncertainties, see the “Risk Factors” section in Item 1A of this Annual Report on Form 10-K. We caution the reader not to place undue reliance on these forward-looking statements, which reflect management’s analysis only as of the date of this Form 10-K. We undertake no obligation to update forward-looking statements, which reflect events or circumstances occurring after the date of this Form 10-K.</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We are a clinical-stage, oncology-focused biopharmaceutical company focused on developing novel, conditionally activated, masked biologics designed to be preferentially unmasked and activated in the tumor microenvironment. We aim to build a commercial enterprise to maximize our impact on the treatment of cancer. By pioneering a novel class of localized biologic drug candidates, powered by our PROBODY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therapeutic technology platform, we are a leader in the field of masked, conditionally activated oncology therapeutics and have established biologics localization as a strategic area of research and development in the biopharmaceutical industry. Our vision is to transform lives with safer, more effective therapies with the goal to address major unmet needs in oncology.</w:t>
      </w:r>
    </w:p>
    <w:p>
      <w:pPr>
        <w:spacing w:after="0" w:line="2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proprietary, versatile, multi-modality PROBODY technology platform is designed to enable conditional activation of potent masked biologic therapeutic candidates within the tumor microenvironment, while minimizing drug activity in healthy tissues and circulation. Our platform is built on a strong foundation of tumor biology expertise, including deep knowledge of tumor-associated enzymes known as proteases. Proteases are tightly controlled in normal tissues but often dysregulated and active in tumor microenvironments where they play important roles in cancer cell migration, invasion and metastasis. Leveraging our deep scientific knowledge, we conceived of and constructed our PROBODY therapeutic platform which allows us to genetically engineer biologic therapeutic candidates to contain protease-cleavable masks. Our masking strategy is designed to reduce binding of biologic therapeutics to their targets until the mask is removed by proteases in the tumor microenvironment, providing more selective targeting of the tumor.</w:t>
      </w:r>
    </w:p>
    <w:p>
      <w:pPr>
        <w:spacing w:after="0" w:line="21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employing our leading, masking platform technology to address some of the biggest challenges in oncology biologics research and development. These include the validation of potential new targets for antibody-drug conjugates (“ADCs”), opening therapeutic window for novel T-cell engagers (“TCEs”) targeting solid tumors, and increasing the therapeutic index for immune modulators such as cytokines. We are also exploring the potential for our PROBODY platform in preclinical research in areas outside of oncology, including in our collaboration with Moderna.</w:t>
      </w:r>
    </w:p>
    <w:p>
      <w:pPr>
        <w:spacing w:after="0" w:line="22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We have utilized our PROBODY therapeutic platform and masking technology to build a promising, broad pipeline of potential first-in-class and best-in-class clinical-stage molecules. These are CX-2051, an investigational, conditionally activated ADC targeting epithelial cell adhesion molecule (“EpCAM”), CX-801, an investigational, masked version of interferon alpha-2b (“IFNα2b”) and CX-904, a conditionally activated, PROBODY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TCE, targeting the epidermal growth factor receptor (“EGFR”) on tumor cells and the CD3 receptor on T cells. Our current clinical-stage molecules address targets or mechanisms that have been previously validated as having anti-cancer activity but have been limited in their utilization due to systemic toxicities. We have incorporated our significant, multi-modality masking, conditional activation expertise and clinical learnings to optimize predicted therapeutic index and the clinical potential of these promising agents through tumor localized, conditional activation.</w:t>
      </w:r>
    </w:p>
    <w:p>
      <w:pPr>
        <w:spacing w:after="0" w:line="2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CX-2051, a conditionally activated, PROBODY ADC, is directed toward the epithelial cell adhesion molecule (EpCAM). High expression of EpCAM has been documented in many tumor types, including CRC. The CX-2051 payload, a next generation topoisomerase-1 inhibitor payload licensed from AbbVie (formerly ImmunoGen), is tailored to specific EpCAM-expressing indications, including colorectal cancer, and includes a payload-antibody linker designed to drive bystander effect, contributing to anti-tumor activity. The design of CX-2051 is intended to optimize the therapeutic index for the systemic treatment of EpCAM-expressing epithelial cancers where previous industry efforts targeting EpCAM have not been successful due to dose-limiting toxicities. CX-2051 has demonstrated a wide predicted therapeutic index and strong preclinical activity and tolerability in multiple preclinical models, including colorectal cancer.</w:t>
      </w:r>
    </w:p>
    <w:p>
      <w:pPr>
        <w:spacing w:after="0" w:line="21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IND for CX-2051 was allowed to proceed by the FDA in January 2024 and Phase 1 clinical initiation in EpCAM expressing solid tumors, including a primary initial focus in CRC commenced in April 2024. As o</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March 2025, the Phase 1 study has reached the seventh dose escalation cohort. In Phase 1 dose escalation to date, CX-2051 has demonstrated a favorable tolerability profile and attained doses predicted to be therapeutically active. In the Phase 1 study, EpCAM expression levels are being assessed retrospectively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-173990</wp:posOffset>
            </wp:positionV>
            <wp:extent cx="285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4" w:name="page75"/>
    <w:bookmarkEnd w:id="74"/>
    <w:p>
      <w:pPr>
        <w:ind w:right="20"/>
        <w:spacing w:after="0" w:line="282" w:lineRule="auto"/>
        <w:rPr>
          <w:sz w:val="20"/>
          <w:szCs w:val="20"/>
          <w:color w:val="auto"/>
        </w:rPr>
      </w:pPr>
      <w:r>
        <w:rPr>
          <w:rFonts w:ascii="Times New Roman" w:cs="Times New Roman" w:eastAsia="Times New Roman" w:hAnsi="Times New Roman"/>
          <w:sz w:val="18"/>
          <w:szCs w:val="18"/>
          <w:color w:val="auto"/>
        </w:rPr>
        <w:t>and are anticipated to be high in the majority of CRC patients. The CX-2051 Phase 1 study has reached the seventh dose level with CX-2051 initial Phase 1 data in advanced metastatic CRC expected in the first half of 2025.</w:t>
      </w:r>
    </w:p>
    <w:p>
      <w:pPr>
        <w:spacing w:after="0" w:line="18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CX-801 is our interferon ("IFN") alpha-2b PROBODY. IFNα2b provides a potentially superior approach to activating anti-tumor immune responses than other cytokines. CX-801 is a dually masked, conditionally activated version of IFNα2b that has the potential to become a cornerstone of combination therapy for a wide range of tumor types. The IND for CX-801 was allowed to proceed by the FDA in January 2024, and in the third quarter of 2024 the first patient was dosed in the CX-801 Phase 1 dose escalation study in solid tumors. The Phase 1 dose escalation study is focused on patients with advanced melanoma. In Phase 1 dose escalation, the study will evaluate safety, translational biomarkers and signs of clinical activity for CX-801 monotherapy and in combination with KEYTRUDA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 second quarter of 2024, CytomX announced a clinical collaboration with Merck to supply KEYTRUDA for evaluation of its combination with CX-801 in the Phase 1 study. The Phase 1 study is currently in the fourth monotherapy dose escalation cohort where the dose of CX-801 exceeds the approved dose of the unmasked peginterferon alfa-2b (SYLATRON™). Initial Phase 1a translational data in advanced melanoma is expected in the second half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-773430</wp:posOffset>
            </wp:positionV>
            <wp:extent cx="8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1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2022, we advanced our first TCE into the clinic. CX-904, which was partnered with Amgen, is a conditionally activated TCE against EGFR and CD3. In preclinical studies, CytomX’s PROBODY EGFRxCD3 TCE demonstrated anti-tumor activity and better tolerability when compared to TCEs without PROBODY masking. In May 2022, the first patient was dosed in a Phase 1 study evaluating CX-904 as a treatment for patients with advanced solid tumors.</w:t>
      </w:r>
    </w:p>
    <w:p>
      <w:pPr>
        <w:spacing w:after="0" w:line="24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May 8, 2024, we reported initial Phase 1a data for CX-904 based on an April 16, 2024 data cutoff. As of the data cutoff, the CX-904-101 study had enrolled 35 patients with advanced metastatic solid tumor types that are generally known to express EGFR, including pancreatic, CRC, non-small cell lung cancer (NSCLC), head and neck squamous cell carcinoma (HNSCC), gastric, and esophageal cancers. Patients enrolled in the study were heavily pre-treated and had a median of 4 prior lines of therapy. 19 patients were enrolled into initial non-step dosing cohorts with target doses ranging from 0.007 mg to 6 mg, and 16 patients were subsequently enrolled into step-dosing cohorts with target doses ranging from 5 mg to 10 mg and with tocilizumab prophylaxis. As of the April 16, 2024 data cutoff, enrollment into a cohort with a target dose of 15 mg was ongoing.</w:t>
      </w:r>
    </w:p>
    <w:p>
      <w:pPr>
        <w:spacing w:after="0" w:line="2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the cutoff date, CX-904 demonstrated a favorable safety profile. There were no observed cases of cytokine release syndrome (CRS) of any grade in step-dosing cohorts as of the cutoff date. In non-step dosing cohorts, only Grade 1 CRS was observed in patients treated at the highest dose of 6 mg. Overall, the most common treatment-related adverse events (TRAEs) were rash, arthralgia, arthritis, pruritis, and vomiting, the majority of which were low grade, being observed in 14 (40%), 13 (37%), 5 (14%), 5 (14%) and 5 (14%) of patients, respectively. Grade 3 adverse events were tenosynovitis (n=1), arthralgia (n=2), arthritis (n=1), rash (n=1).</w:t>
      </w:r>
    </w:p>
    <w:p>
      <w:pPr>
        <w:spacing w:after="0" w:line="2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of the April 16, 2024 data cutoff, 8 patients had measurable tumor reduction per RECIST 1.1, including 2 of 6 efficacy-evaluable patients (33%) with pancreatic cancer with confirmed partial responses. All 6 efficacy-evaluable patients with pancreatic cancer achieved disease control (objective response or stable disease). For the two patients with a confirmed partial response, one patient (6 mg target dose) achieved an 83% tumor reduction. A second patient (5 mg target dose) with a confirmed response achieved a 51% tumor reduction and remained on study treatment as of the data cutoff. In addition, a third pancreatic cancer patient maintained stable disease with no evidence of tumor growth through 3.5 months of study treatment, and remained on treatment as of the data cutoff.</w:t>
      </w:r>
    </w:p>
    <w:p>
      <w:pPr>
        <w:spacing w:after="0" w:line="25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Preliminary pharmacokinetic and pharmacodynamic data were consistent with the PROBODY TCE mechanism of action, including maintained masking in circulation, and CD8+ T-cell margination and tumor infiltration.</w:t>
      </w:r>
    </w:p>
    <w:p>
      <w:pPr>
        <w:spacing w:after="0" w:line="24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the end of 2024, the Phase 1 study of CX-904 had enrolled over 70 patients. The 15 mg target step-dose level had been cleared and the maximum tolerated dose had not been reached. Patient enrollment in 2025 had prioritized escalation to higher dose levels. However, in March 2025, based on CX-904 clinical observations to-date as well as CytomX pipeline priorities, CytomX and Amgen jointly decided to not further develop the CX-904 program.</w:t>
      </w:r>
    </w:p>
    <w:p>
      <w:pPr>
        <w:spacing w:after="0" w:line="20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are also continuously engaged in drug discovery efforts towards the generation of new clinical candidates across multiple modalities for the treatment of cancer, including additional ADCs, Cytokines, TCEs, and mRNAs reflecting the versatility of our PROBODY platform.</w:t>
      </w:r>
    </w:p>
    <w:p>
      <w:pPr>
        <w:spacing w:after="0" w:line="24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do not have any products approved for sale, and we continue to incur significant research and development and general administrative expenses related to our operations. As of December 31, 2024 and 2023, we had an accumulated deficit of $691.6 million and $723.4 million, respectively.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75" w:name="page76"/>
    <w:bookmarkEnd w:id="75"/>
    <w:p>
      <w:pPr>
        <w:spacing w:after="0" w:line="258" w:lineRule="auto"/>
        <w:rPr>
          <w:sz w:val="20"/>
          <w:szCs w:val="20"/>
          <w:color w:val="auto"/>
        </w:rPr>
      </w:pPr>
      <w:r>
        <w:rPr>
          <w:rFonts w:ascii="Times New Roman" w:cs="Times New Roman" w:eastAsia="Times New Roman" w:hAnsi="Times New Roman"/>
          <w:sz w:val="18"/>
          <w:szCs w:val="18"/>
          <w:color w:val="auto"/>
        </w:rPr>
        <w:t>Global health authorities, including the FDA, regulate many aspects of a product candidate’s life cycle, including research and development and preclinical and clinical testing. We will need to commit significant time, resources, and funding to develop our wholly-owned and partnered product candidates in clinical trials. We are unable to provide the nature, timing, and estimated costs of the efforts necessary to complete the development of our product candidates because, among other reasons, of regulatory uncertainty, manufacturing limitations, and the pace of enrollment of our clinical trials, which is a function of many factors, including the availability and proximity of patients with the relevant condition.</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currently have no manufacturing capabilities and do not intend to establish any such capabilities in the near term. As such, we are dependent on third parties to supply our product candidates according to our specifications, in sufficient quantities, on time, in compliance with appropriate regulatory standards and at competitive prices.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2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January 6, 2025, the Company announced a restructuring plan (the “2025 Restructuring Plan”) to streamline its organization and prioritize CX-2051 and its activities to support its research collaborations. The restructuring plan will result in a reduction to its workforce by approximately 40% and is expected to be substantially completed in the first quarter of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revenue to date has been primarily derived from non-refundable license payments, milestone payments and reimbursements for research and development expenses under our research, collaboration, and license agreements. We recognize revenue from upfront payments over the term of our estimated period of performance under the agreement using an input method for the entire performance obligation. In applying the input method of revenue recognition, we use actual full-time equivalent (FTE) hours incurred relative to estimated total FTE hours expected to be incurred for each combined performance obligation over the estimated research service period of each collaboration target. In addition to receiving upfront payments, we are entitled to variable payments related to research and development services provided and may be entitled to milestone and other contingent payments upon achieving predefined objectives. Revenue from variable payments related to research and development or milestones and other contingent payments, when it is probable that there will not be a significant revenue reversal, is also recognized over the performance period based on a similar method.</w:t>
      </w:r>
    </w:p>
    <w:p>
      <w:pPr>
        <w:spacing w:after="0" w:line="2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For the foreseeable future, we do not expect to generate any revenue from the sale of products unless and until such time as our product candidates have advanced through clinical development and obtained regulatory approval. We expect that any revenue we generate in the foreseeable future will fluctuate from year to year as a result of the timing and amount of milestones and other payments from our collaboration agreements with Amgen, Astellas, Bristol Myers Squibb, Regeneron, Moderna and any other collaboration partners, and as a result of the fluctuations in the research and development expenses we incur in the performance of assigned activities under these agreements.</w:t>
      </w:r>
    </w:p>
    <w:p>
      <w:pPr>
        <w:spacing w:after="0" w:line="22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AbbVie, one of our previous collaboration partners, entered into a license agreement with Seagen Inc. (“SGEN”) to license certain intellectual property rights. As part of the collaboration agreement with AbbVie, we received a sublicense to these intellectual property rights and therefore paid SGEN sublicense fees. These sublicense fees were treated as reductions to the transaction price and combined with the performance obligation to which they relate. Milestone payments, when considered probable of being reached and when a significant revenue reversal would not be probable of occurring, are also recorded net of the associated sublicense fees and included in the transaction price.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costs incurred to conduct research, such as the discovery and development of our product candidates, clinical development, including activities with third parties, such as contract research organizations (“CRO”) and contract development and manufacturing organizations (“CMO”), and the manufacture of drug products used in clinical trials, as well as the development of product candidates pursuant to our research, collaboration and license agreements. Research and development expenses include personnel costs, including stock-based compensation expense, contractor services, laboratory materials and supplies, depreciation and maintenance of research equipment, and an allocation of related facilities costs. We expense research and development costs as incurred.</w:t>
      </w:r>
    </w:p>
    <w:p>
      <w:pPr>
        <w:spacing w:after="0" w:line="22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expect our research and development expenses could vary substantially in the future as we prioritize our pipeline opportunities, advance our product candidates through clinical trials, initiate additional clinical trials, and pursue regulatory approval of our product candidates. The process of conducting the necessary clinical research to obtain regulatory approval is costly and time-consuming. The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26" w:right="379" w:bottom="1440" w:gutter="0" w:footer="0" w:header="0"/>
        </w:sectPr>
      </w:pPr>
    </w:p>
    <w:bookmarkStart w:id="76" w:name="page77"/>
    <w:bookmarkEnd w:id="76"/>
    <w:p>
      <w:pPr>
        <w:ind w:right="60"/>
        <w:spacing w:after="0" w:line="258" w:lineRule="auto"/>
        <w:rPr>
          <w:sz w:val="20"/>
          <w:szCs w:val="20"/>
          <w:color w:val="auto"/>
        </w:rPr>
      </w:pPr>
      <w:r>
        <w:rPr>
          <w:rFonts w:ascii="Times New Roman" w:cs="Times New Roman" w:eastAsia="Times New Roman" w:hAnsi="Times New Roman"/>
          <w:sz w:val="18"/>
          <w:szCs w:val="18"/>
          <w:color w:val="auto"/>
        </w:rPr>
        <w:t>actual probability of success for our product candidates may be affected by a variety of factors including: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 or when and to what extent we will generate revenue from the commercialization and sale of our product candidates.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personnel costs, expenses for outside professional services and other allocated expenses. Personnel costs consist of salaries, bonuses, benefits and stock-based compensation. Outside professional services consist of accounting and audit services, legal and other consulting fees. Allocated expenses primarily consist of rent expense related to our office and information technology related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Interest income primarily consists of interest income from our cash equivalents and investments, and accretion of discounts or amortization of premiums on our investments.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consists primarily of gains and losses resulting from changes to currency exchange rates.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Income taxes are recorded in accordance with ASC 740, Accounting for Income Taxes, or ASC 740, which provides for deferred taxes using an asset and liability approach. We recognize deferred tax assets and liabilities for the expected future tax consequences of events that have been included in our financial statements or tax returns. We determine our deferred tax assets and liabilities based on differences between the financial reporting and tax bases of assets and liabilities, which are measured using the enacted tax rates and laws that will be in effect when the differences are expected to reverse. Valuation allowances are provided, if based upon the weight of available evidence, it is more likely than not that some or all of the deferred tax assets will not be realized.</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also account for uncertain tax positions in accordance with the provisions of ASC 740. When uncertain tax positions exist,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The state of California contested our tax position on revenue apportionment for upfront and milestone payments resulting from our collaboration and licensing agreements for the years 2017 and 2018. We received a proposed assessment in September 2023 and filed a protest to contest the proposed assessment in November 2023. We recorded an uncertain tax position of $4.1 million and $3.9 million in long term liabilities for the proposed tax assessment, penalties and interest through December 31, 2024 and 2023,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Years Ended December 31, 2024 and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revenue by collaboration partner during the respective periods: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AbbVie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(3,688 )</w:t>
            </w: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Amgen</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(2,685 )</w:t>
            </w: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Astellas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29,378</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24,453</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Bristol Myers Squibb</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77,960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28,660</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Regeneron</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7,194</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Moderna</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16,881</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10,840</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6,041</w:t>
            </w:r>
          </w:p>
        </w:tc>
        <w:tc>
          <w:tcPr>
            <w:tcW w:w="100" w:type="dxa"/>
            <w:vAlign w:val="bottom"/>
          </w:tcPr>
          <w:p>
            <w:pPr>
              <w:spacing w:after="0"/>
              <w:rPr>
                <w:sz w:val="18"/>
                <w:szCs w:val="18"/>
                <w:color w:val="auto"/>
              </w:rPr>
            </w:pPr>
          </w:p>
        </w:tc>
      </w:tr>
      <w:tr>
        <w:trPr>
          <w:trHeight w:val="249"/>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138,103</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101,214</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36,889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revenue of $36.9 million for 2024 compared to 2023 was primarily due to:</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77" w:name="page78"/>
    <w:bookmarkEnd w:id="77"/>
    <w:p>
      <w:pPr>
        <w:ind w:left="1020" w:hanging="503"/>
        <w:spacing w:after="0" w:line="261"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revenue under the BMS Agreement driven by higher percentage of completion of the existing targets. The contractual research term under the BMS agreement concludes in the second quarter of 2025, at which point the performance obligation and corresponding revenue recognition are expected to be complete and BMS will be responsible for the future research and development of the collaboration programs;</w:t>
      </w:r>
    </w:p>
    <w:p>
      <w:pPr>
        <w:spacing w:after="0" w:line="71"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revenue under the Regeneron Agreement due to increased preclinical work and a higher percentage completion in the second full year of the collaboration which commenced preclinical research in 2023;</w:t>
      </w:r>
    </w:p>
    <w:p>
      <w:pPr>
        <w:spacing w:after="0" w:line="5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revenue under the Moderna Agreement due to increased preclinical work and a higher percentage of completion in the second full year of the collaborations which commenced in 2023. The $9.3 million of remaining Moderna deferred revenue is expected to be recognized by 2027, principally in 2026 and 2027 due to Moderna's budget considerations in 2025;</w:t>
      </w:r>
    </w:p>
    <w:p>
      <w:pPr>
        <w:spacing w:after="0" w:line="67" w:lineRule="exact"/>
        <w:rPr>
          <w:rFonts w:ascii="Times New Roman" w:cs="Times New Roman" w:eastAsia="Times New Roman" w:hAnsi="Times New Roman"/>
          <w:sz w:val="18"/>
          <w:szCs w:val="18"/>
          <w:color w:val="auto"/>
        </w:rPr>
      </w:pPr>
    </w:p>
    <w:p>
      <w:pPr>
        <w:ind w:left="1020" w:right="60" w:hanging="503"/>
        <w:spacing w:after="0" w:line="258"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revenue under the Astellas Agreement primarily driven by two milestone payments of $5.0 million each, triggered in March 2024. One was related to the nomination of a second clinical candidate while the other was related to the milestone achievement of GLP toxicology study initiation for the first clinical candidate. Astellas revenue in the first quarter of 2023 included the $5.0 million milestone for the first clinical candidate nomination achieved in the collaboration. In the first quarter of 2025, Astellas initiated GLP toxicology studies for the second collaboration target nominated triggering a $5.0 million milestone payment to CytomX in the first quarter of 2025;</w:t>
      </w:r>
    </w:p>
    <w:p>
      <w:pPr>
        <w:spacing w:after="0" w:line="75"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revenue under the Amgen Agreement primarily due to an increase in projected hours to completion. In March 2025, Amgen terminated its license to the EGFR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revenue under the AbbVie Agreement due to termination of the agreement in March 2023.</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by program incurred during the respective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External costs incurred by product candidate (target):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58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CX-904 (EGFRxCD3)</w:t>
            </w:r>
          </w:p>
        </w:tc>
        <w:tc>
          <w:tcPr>
            <w:tcW w:w="82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CX-2051 (EpCAM)</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17,846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CX-801 (IFNα2b)</w:t>
            </w:r>
          </w:p>
        </w:tc>
        <w:tc>
          <w:tcPr>
            <w:tcW w:w="8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11,620</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(9,115 )</w:t>
            </w: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CX-2029 (CD71)</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(1,937 )</w:t>
            </w: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wholly owned and partnered programs</w:t>
            </w:r>
          </w:p>
        </w:tc>
        <w:tc>
          <w:tcPr>
            <w:tcW w:w="8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6,490</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research and development expenses</w:t>
            </w: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16,288</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9,906</w:t>
            </w: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external costs</w:t>
            </w:r>
          </w:p>
        </w:tc>
        <w:tc>
          <w:tcPr>
            <w:tcW w:w="8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51,201</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43,380</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costs</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32,181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(2,119 )</w:t>
            </w:r>
          </w:p>
        </w:tc>
        <w:tc>
          <w:tcPr>
            <w:tcW w:w="0" w:type="dxa"/>
            <w:vAlign w:val="bottom"/>
          </w:tcPr>
          <w:p>
            <w:pPr>
              <w:spacing w:after="0"/>
              <w:rPr>
                <w:sz w:val="1"/>
                <w:szCs w:val="1"/>
                <w:color w:val="auto"/>
              </w:rPr>
            </w:pPr>
          </w:p>
        </w:tc>
      </w:tr>
      <w:tr>
        <w:trPr>
          <w:trHeight w:val="249"/>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20" w:type="dxa"/>
            <w:vAlign w:val="bottom"/>
            <w:tcBorders>
              <w:top w:val="single" w:sz="8" w:color="auto"/>
              <w:bottom w:val="single" w:sz="8" w:color="auto"/>
            </w:tcBorders>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83,382</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77,680</w:t>
            </w:r>
          </w:p>
        </w:tc>
        <w:tc>
          <w:tcPr>
            <w:tcW w:w="3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5,702</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-25400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-8255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increased by $5.7 million for 2024, compared to 2023 primarily driven by</w:t>
      </w:r>
    </w:p>
    <w:p>
      <w:pPr>
        <w:spacing w:after="0" w:line="333" w:lineRule="exact"/>
        <w:rPr>
          <w:sz w:val="20"/>
          <w:szCs w:val="20"/>
          <w:color w:val="auto"/>
        </w:rPr>
      </w:pPr>
    </w:p>
    <w:p>
      <w:pPr>
        <w:ind w:left="1020" w:right="8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$5.0 million milestone payment to AbbVie (formerly ImmunoGen) in the current period, included in the general research and development expenses, for dosing the first patient for CX-2051 in Phase 1 under the ImmunoGen 2019 License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manufacturing and clinical related activities for the CX-2051 program and clinical trial activities for the CX-904 program;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consulting expenses, offset by</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manufacturing activities and laboratory contract services for the CX-801 program and winding down of clinical study activities related to legacy programs, including CX-2029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personnel related expenses.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8" w:name="page79"/>
    <w:bookmarkEnd w:id="78"/>
    <w:p>
      <w:pPr>
        <w:ind w:right="360"/>
        <w:spacing w:after="0" w:line="282" w:lineRule="auto"/>
        <w:rPr>
          <w:sz w:val="20"/>
          <w:szCs w:val="20"/>
          <w:color w:val="auto"/>
        </w:rPr>
      </w:pPr>
      <w:r>
        <w:rPr>
          <w:rFonts w:ascii="Times New Roman" w:cs="Times New Roman" w:eastAsia="Times New Roman" w:hAnsi="Times New Roman"/>
          <w:sz w:val="18"/>
          <w:szCs w:val="18"/>
          <w:color w:val="auto"/>
        </w:rPr>
        <w:t>Due to the 2025 Restructuring Plan to streamline the organization and reduce our workforce by approximately 40%, internal research and development costs are expected to be lower in 2025.</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62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8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2"/>
                <w:szCs w:val="12"/>
                <w:color w:val="auto"/>
              </w:rPr>
            </w:pPr>
          </w:p>
        </w:tc>
      </w:tr>
      <w:tr>
        <w:trPr>
          <w:trHeight w:val="142"/>
        </w:trPr>
        <w:tc>
          <w:tcPr>
            <w:tcW w:w="6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29,726</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30,018</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(292 )</w:t>
            </w:r>
          </w:p>
        </w:tc>
      </w:tr>
    </w:tbl>
    <w:p>
      <w:pPr>
        <w:spacing w:after="0" w:line="22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by $0.3 million for 2024, compared to 2023 primarily due to lower personnel related expenses and lower rent as a result of partial sublease of the Company’s headquarters which started in March 2023, partially offset by higher professional services and consulting spend supporting areas including intellectual property and internal controls. Due to the 2025 Restructuring Plan to streamline the organization and reduce our workforce by approximately 40%, general and administrative expenses are expected to be lower in 2025.</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Income (Expense), Net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6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7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2"/>
                <w:szCs w:val="12"/>
                <w:color w:val="auto"/>
              </w:rPr>
            </w:pPr>
          </w:p>
        </w:tc>
      </w:tr>
      <w:tr>
        <w:trPr>
          <w:trHeight w:val="142"/>
        </w:trPr>
        <w:tc>
          <w:tcPr>
            <w:tcW w:w="6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86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10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9,837</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(2,701 )</w:t>
            </w: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(30 )</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r>
      <w:tr>
        <w:trPr>
          <w:trHeight w:val="20"/>
        </w:trPr>
        <w:tc>
          <w:tcPr>
            <w:tcW w:w="66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interest income and other expense</w:t>
            </w:r>
          </w:p>
        </w:tc>
        <w:tc>
          <w:tcPr>
            <w:tcW w:w="86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9,807</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(2,709 )</w:t>
            </w: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3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Interest income decreased by $2.7 million during 2024 compared to 2023. The decrease was primarily driven by lower interest rates and the lower cash and cash equivalents and short-term investments position as compared to 2023.</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920" w:type="dxa"/>
            <w:vAlign w:val="bottom"/>
            <w:tcBorders>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2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(3,668 )</w:t>
            </w:r>
          </w:p>
        </w:tc>
      </w:tr>
    </w:tbl>
    <w:p>
      <w:pPr>
        <w:spacing w:after="0" w:line="30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$0.2 million tax provision represented the interest accrued for 2024, related to the proposed assessment received from the state of California for the years 2017 and 2018. The $3.9 million tax provision for 2023 represented the uncertain tax position related to such proposed assessment, including penalties and interest through December 31, 2023.</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11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As of December 31, 2024, we had cash, cash equivalents and short-term investments of $100.6 million and an accumulated deficit of $691.6 million, compared to cash, cash equivalents and investments of $174.5 million and an accumulated deficit of $723.4 million as of December 31, 2023. To date, we have financed our operations primarily through sales of our common stock in conjunction with the IPO, subsequent stock offerings and through our at-the-market offering, sales of our convertible preferred securities prior to our IPO, payments received under our collaboration agreements and proceeds from private placements of our common stock, warrants and pre-funded warrants. In July 2023, we completed a private placement and issued pre-funded warrants to purchase an aggregate of 14,423,077 shares of common stock, accompanying Tranche 1 warrants to purchase up to 5,769,231 shares of common stock and accompanying Tranche 2 warrants to purchase up to 5,769,231 shares of common stock, at a combined price of $2.08 per share. We received gross proceeds of approximately $30.0 million. In March 2024, we achieved a clinical candidate milestone for a second collaboration target as well as the GLP toxicology studies milestone for the first collaboration target nominated in January 2023 under the Astellas Agreement. We collected the two milestone payments totaling $10.0 million in April 2024.</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9" w:name="page80"/>
    <w:bookmarkEnd w:id="79"/>
    <w:p>
      <w:pPr>
        <w:ind w:right="320"/>
        <w:spacing w:after="0" w:line="266" w:lineRule="auto"/>
        <w:rPr>
          <w:sz w:val="20"/>
          <w:szCs w:val="20"/>
          <w:color w:val="auto"/>
        </w:rPr>
      </w:pPr>
      <w:r>
        <w:rPr>
          <w:rFonts w:ascii="Times New Roman" w:cs="Times New Roman" w:eastAsia="Times New Roman" w:hAnsi="Times New Roman"/>
          <w:sz w:val="18"/>
          <w:szCs w:val="18"/>
          <w:color w:val="auto"/>
        </w:rPr>
        <w:t>In 2024, we sold 3,925,202 shares at a weighted average price of $1.8 per share under our at-the-market ("ATM") offering and received net proceeds of approximately $6.9 million after deducting the 3.0% sales commission and related issuance cost. As of December 31, 2024, $56.2 million remained available for sale under the Sales Agreement.</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January 6, 2025, we announced the 2025 Restructuring Plan to streamline our organization and prioritize CX-2051 investment and activities to support our research collaborations. The restructuring plan will result in a reduction to our workforce by approximately 40% and is expected to be substantially completed in the first quarter of 2025.</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Based upon our current operating plan, we expect our existing capital resources will be sufficient to fund operations into the second quarter of 2026. However, if the anticipated operating results are not achieved in future periods, our planned expenditures may need to be reduced in order to extend the time period over which the then-available resources would be able to fund the operations. The amounts and timing of our actual expenditures depend on numerous factors, including the progress of our preclinical and clinical development efforts, the results of any clinical trials and other studies, our operating costs and expenditures and other factors described under the caption “Risk Factors” in this Annual Report on Form 10-K. The cost and timing of developing our product candidates is highly uncertain and subject to substantial risks and changes. As such, we may alter our expenditures as a result of contingencies such as the failure of one or all of our product candidates currently in clinical development, the acceleration of one or all of our product candidates in clinical development, the initiating of clinical trials for additional product candidates, the identification of more promising product candidates in our research efforts or unexpected operating costs and expenditures. We will need to raise additional funds in the future. There can be no assurance, however, that such efforts will be successful; or if they are successful, that the terms and conditions of such financing will be favorable to us.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Statement of 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52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72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7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60" w:type="dxa"/>
            <w:vAlign w:val="bottom"/>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w w:val="99"/>
              </w:rPr>
              <w:t>(86,231 )</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(56,035 )</w:t>
            </w:r>
          </w:p>
        </w:tc>
      </w:tr>
      <w:tr>
        <w:trPr>
          <w:trHeight w:val="216"/>
        </w:trPr>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99,700</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(150,674 )</w:t>
            </w:r>
          </w:p>
        </w:tc>
      </w:tr>
      <w:tr>
        <w:trPr>
          <w:trHeight w:val="216"/>
        </w:trPr>
        <w:tc>
          <w:tcPr>
            <w:tcW w:w="77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7,522</w:t>
            </w:r>
          </w:p>
        </w:tc>
        <w:tc>
          <w:tcPr>
            <w:tcW w:w="2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20,991</w:t>
            </w:r>
          </w:p>
        </w:tc>
        <w:tc>
          <w:tcPr>
            <w:tcW w:w="28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(176,479 )</w:t>
            </w:r>
          </w:p>
        </w:tc>
      </w:tr>
      <w:tr>
        <w:trPr>
          <w:trHeight w:val="20"/>
        </w:trPr>
        <w:tc>
          <w:tcPr>
            <w:tcW w:w="7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2024</w:t>
      </w:r>
    </w:p>
    <w:p>
      <w:pPr>
        <w:spacing w:after="0" w:line="1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cash used in operating activities was $86.2 million, which consisted of a net income of $31.9 million and non-cash charges of $8.3 million, adjusted by a net decrease of $126.4 million relating to the change of our net operating assets and liabilities, The non-cash charges primarily consisted of $7.7 million in stock-based compensation, $4.1 million in non-cash lease expense, $1.7 million in depreciation and amortization and $0.1 million impairment loss, partially offset by $5.3 million in net accretion of discounts on our investments.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our net operating assets and liabilities was primarily due to:</w:t>
      </w:r>
    </w:p>
    <w:p>
      <w:pPr>
        <w:spacing w:after="0" w:line="117" w:lineRule="exact"/>
        <w:rPr>
          <w:sz w:val="20"/>
          <w:szCs w:val="20"/>
          <w:color w:val="auto"/>
        </w:rPr>
      </w:pPr>
    </w:p>
    <w:p>
      <w:pPr>
        <w:ind w:left="1020" w:right="40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decrease of $118.3 million in deferred revenue resulting from the continued recognition of deferred revenue from existing and new customers;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$9.9 million in accounts payable, accrued and other long-term liabilities primarily due to timing of payments; offset by</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$1.8 million in cash flows from accounts receivable, prepaid and other current assets primarily due to decrease in advance payments.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2023</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cash used in operating activities was $$56.0 million, which consisted of a net loss of $0.6 million and a net decrease of $62.4 million relating to the change of our net operating assets and liabilities, offset by non-cash charges of $7.0 million. The non-cash charges primarily consisted of $8.6 million in stock-based compensation, $3.7 million in non-cash lease expense and $2.1 million in depreciation, amortization, and impairment charges, offset by $7.4 million in net accretion of discounts on our investments.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The change in our net operating assets and liabilities was primarily due to:</w:t>
      </w:r>
    </w:p>
    <w:p>
      <w:pPr>
        <w:spacing w:after="0" w:line="117" w:lineRule="exact"/>
        <w:rPr>
          <w:sz w:val="20"/>
          <w:szCs w:val="20"/>
          <w:color w:val="auto"/>
        </w:rPr>
      </w:pPr>
    </w:p>
    <w:p>
      <w:pPr>
        <w:ind w:left="1020" w:right="46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decrease of $89.0 million in deferred revenue resulting from the continued recognition of deferred revenue from existing and new customers;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$8.5 million in accounts payable, accrued and other long-term liabilities primarily due to decrease of payroll-related expenses, restructuring related expenses, and laboratory contract services; offset by</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$32.6 million in cash flows from accounts receivable primarily related to the receipt of the $35.0 million upfront payment and prepaid research under the Moderna agreement entered into in December 2022.</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$2.5 million in cashflows from prepaid and other current assets primarily due to a decrease in advance payments to our third party manufacturing vendors and timing of payments.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1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During year ended December 31, 2024, cash provided by investing activities was $99.7 million, which consisted of $255.5 million of proceeds from the maturities of short term investments partially offset by $155.5 million used in the purchase of short-term investments and $0.3 million of capital expenditures used to purchase property and equipment.</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year ended December 31, 2023, cash provided by investing activities was $150.7 million, which consisted of $424.8 million used in the purchase of short-term investments and $0.8 million of capital expenditures used to purchase property and equipment, partially offset by $275.0 million in proceeds received upon the maturity of marketable securities .</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cash provided by financing activities consisted of $6.9 million of net proceeds from issuance of common stock, net of issuance cost, and $0.6 million of proceeds from the exercise of stock options and employee stock purchases under the employee stock purchase plan (“ESPP”).</w:t>
      </w:r>
    </w:p>
    <w:p>
      <w:pPr>
        <w:spacing w:after="0" w:line="6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cash provided by financing activities consisted of $29.7 million of net proceeds from issuance of pre-funded warrants and warrants and $0.6 million of proceeds from the exercise of stock options and employee stock purchases under the ESPP.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that become due within the next year (in thousands):</w:t>
      </w:r>
    </w:p>
    <w:p>
      <w:pPr>
        <w:spacing w:after="0" w:line="219" w:lineRule="exact"/>
        <w:rPr>
          <w:sz w:val="20"/>
          <w:szCs w:val="20"/>
          <w:color w:val="auto"/>
        </w:rPr>
      </w:pPr>
    </w:p>
    <w:tbl>
      <w:tblPr>
        <w:tblLayout w:type="fixed"/>
        <w:tblInd w:w="1420" w:type="dxa"/>
        <w:tblCellMar>
          <w:top w:w="0" w:type="dxa"/>
          <w:left w:w="0" w:type="dxa"/>
          <w:bottom w:w="0" w:type="dxa"/>
          <w:right w:w="0" w:type="dxa"/>
        </w:tblCellMar>
      </w:tblPr>
      <w:tr>
        <w:trPr>
          <w:trHeight w:val="173"/>
        </w:trPr>
        <w:tc>
          <w:tcPr>
            <w:tcW w:w="5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3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Payments Due by</w:t>
            </w:r>
          </w:p>
        </w:tc>
      </w:tr>
      <w:tr>
        <w:trPr>
          <w:trHeight w:val="142"/>
        </w:trPr>
        <w:tc>
          <w:tcPr>
            <w:tcW w:w="5640" w:type="dxa"/>
            <w:vAlign w:val="bottom"/>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2240" w:type="dxa"/>
            <w:vAlign w:val="bottom"/>
            <w:tcBorders>
              <w:top w:val="single" w:sz="8" w:color="auto"/>
              <w:bottom w:val="single" w:sz="8" w:color="auto"/>
            </w:tcBorders>
          </w:tcPr>
          <w:p>
            <w:pPr>
              <w:jc w:val="right"/>
              <w:ind w:right="11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210"/>
        </w:trPr>
        <w:tc>
          <w:tcPr>
            <w:tcW w:w="564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24"/>
                <w:szCs w:val="24"/>
                <w:color w:val="auto"/>
                <w:vertAlign w:val="superscript"/>
              </w:rPr>
              <w:t>(1)</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80" w:type="dxa"/>
            <w:vAlign w:val="bottom"/>
            <w:shd w:val="clear" w:color="auto" w:fill="CFF0FC"/>
          </w:tcPr>
          <w:p>
            <w:pPr>
              <w:spacing w:after="0"/>
              <w:rPr>
                <w:sz w:val="18"/>
                <w:szCs w:val="18"/>
                <w:color w:val="auto"/>
              </w:rPr>
            </w:pPr>
          </w:p>
        </w:tc>
      </w:tr>
      <w:tr>
        <w:trPr>
          <w:trHeight w:val="216"/>
        </w:trPr>
        <w:tc>
          <w:tcPr>
            <w:tcW w:w="56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Royalty obligations</w:t>
            </w:r>
            <w:r>
              <w:rPr>
                <w:rFonts w:ascii="Times New Roman" w:cs="Times New Roman" w:eastAsia="Times New Roman" w:hAnsi="Times New Roman"/>
                <w:sz w:val="24"/>
                <w:szCs w:val="24"/>
                <w:color w:val="auto"/>
                <w:vertAlign w:val="superscript"/>
              </w:rPr>
              <w:t>(2)</w:t>
            </w:r>
          </w:p>
        </w:tc>
        <w:tc>
          <w:tcPr>
            <w:tcW w:w="46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8"/>
                <w:szCs w:val="18"/>
                <w:color w:val="auto"/>
              </w:rPr>
            </w:pPr>
          </w:p>
        </w:tc>
      </w:tr>
      <w:tr>
        <w:trPr>
          <w:trHeight w:val="216"/>
        </w:trPr>
        <w:tc>
          <w:tcPr>
            <w:tcW w:w="56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License maintenance fees</w:t>
            </w:r>
            <w:r>
              <w:rPr>
                <w:rFonts w:ascii="Times New Roman" w:cs="Times New Roman" w:eastAsia="Times New Roman" w:hAnsi="Times New Roman"/>
                <w:sz w:val="24"/>
                <w:szCs w:val="24"/>
                <w:color w:val="auto"/>
                <w:vertAlign w:val="superscript"/>
              </w:rPr>
              <w:t>(3)</w:t>
            </w:r>
          </w:p>
        </w:tc>
        <w:tc>
          <w:tcPr>
            <w:tcW w:w="46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80" w:type="dxa"/>
            <w:vAlign w:val="bottom"/>
            <w:shd w:val="clear" w:color="auto" w:fill="CFF0FC"/>
          </w:tcPr>
          <w:p>
            <w:pPr>
              <w:spacing w:after="0"/>
              <w:rPr>
                <w:sz w:val="18"/>
                <w:szCs w:val="18"/>
                <w:color w:val="auto"/>
              </w:rPr>
            </w:pPr>
          </w:p>
        </w:tc>
      </w:tr>
      <w:tr>
        <w:trPr>
          <w:trHeight w:val="216"/>
        </w:trPr>
        <w:tc>
          <w:tcPr>
            <w:tcW w:w="56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Milestone Payments </w:t>
            </w:r>
            <w:r>
              <w:rPr>
                <w:rFonts w:ascii="Times New Roman" w:cs="Times New Roman" w:eastAsia="Times New Roman" w:hAnsi="Times New Roman"/>
                <w:sz w:val="24"/>
                <w:szCs w:val="24"/>
                <w:color w:val="auto"/>
                <w:vertAlign w:val="superscript"/>
              </w:rPr>
              <w:t>(4)</w:t>
            </w:r>
          </w:p>
        </w:tc>
        <w:tc>
          <w:tcPr>
            <w:tcW w:w="4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Pr>
          <w:p>
            <w:pPr>
              <w:spacing w:after="0"/>
              <w:rPr>
                <w:sz w:val="18"/>
                <w:szCs w:val="18"/>
                <w:color w:val="auto"/>
              </w:rPr>
            </w:pPr>
          </w:p>
        </w:tc>
      </w:tr>
      <w:tr>
        <w:trPr>
          <w:trHeight w:val="250"/>
        </w:trPr>
        <w:tc>
          <w:tcPr>
            <w:tcW w:w="56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7,154</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-24765</wp:posOffset>
            </wp:positionV>
            <wp:extent cx="514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514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11912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64" w:lineRule="exact"/>
        <w:rPr>
          <w:sz w:val="20"/>
          <w:szCs w:val="20"/>
          <w:color w:val="auto"/>
        </w:rPr>
      </w:pPr>
    </w:p>
    <w:p>
      <w:pPr>
        <w:ind w:right="20" w:firstLine="8"/>
        <w:spacing w:after="0" w:line="306" w:lineRule="auto"/>
        <w:tabs>
          <w:tab w:leader="none" w:pos="170" w:val="left"/>
        </w:tabs>
        <w:numPr>
          <w:ilvl w:val="0"/>
          <w:numId w:val="4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We lease our current facility under a long-term operating lease, which expires in 2026. The lease provides us with one option to extend the lease term for a period of five years at the then fair market rental value.</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81" w:name="page82"/>
    <w:bookmarkEnd w:id="81"/>
    <w:p>
      <w:pPr>
        <w:ind w:right="160" w:firstLine="8"/>
        <w:spacing w:after="0" w:line="283" w:lineRule="auto"/>
        <w:tabs>
          <w:tab w:leader="none" w:pos="170" w:val="left"/>
        </w:tabs>
        <w:numPr>
          <w:ilvl w:val="0"/>
          <w:numId w:val="5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We have minimum royalty obligations under the terms of certain exclusive licensed patent rights. The royalty obligations are cancellable any time by giving notice to the licensor, with the termination being effective 60 days after giving notice. See Part II. Item 8. Financial Statements and Supplementary Data, Note 9 - “License Agreement" in the accompanying Notes to the financial statements for more information. Sublicense fees payable to UCSB for potential milestones that are probable to be earned by the Company in 2025 are not included.</w:t>
      </w:r>
    </w:p>
    <w:p>
      <w:pPr>
        <w:ind w:right="140" w:firstLine="8"/>
        <w:spacing w:after="0" w:line="265" w:lineRule="auto"/>
        <w:tabs>
          <w:tab w:leader="none" w:pos="170" w:val="left"/>
        </w:tabs>
        <w:numPr>
          <w:ilvl w:val="0"/>
          <w:numId w:val="5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We have annual license maintenance fees under the terms of certain license agreement with UCSB and SGEN. See Part II. Item 8. Financial Statements and Supplementary Data, Note 9 - “License Agreement” in the accompanying Notes to the financial statements for more information.</w:t>
      </w:r>
    </w:p>
    <w:p>
      <w:pPr>
        <w:spacing w:after="0" w:line="1" w:lineRule="exact"/>
        <w:rPr>
          <w:rFonts w:ascii="Times New Roman" w:cs="Times New Roman" w:eastAsia="Times New Roman" w:hAnsi="Times New Roman"/>
          <w:sz w:val="20"/>
          <w:szCs w:val="20"/>
          <w:color w:val="auto"/>
          <w:vertAlign w:val="superscript"/>
        </w:rPr>
      </w:pPr>
    </w:p>
    <w:p>
      <w:pPr>
        <w:ind w:right="120" w:firstLine="8"/>
        <w:spacing w:after="0" w:line="291" w:lineRule="auto"/>
        <w:tabs>
          <w:tab w:leader="none" w:pos="170" w:val="left"/>
        </w:tabs>
        <w:numPr>
          <w:ilvl w:val="0"/>
          <w:numId w:val="5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We have development milestone payments under the terms of certain license agreements. A development milestone is payable upon initiation of GLP toxicology studies for a nominated collaboration target, which we expect to occur in the first quarter of 2025. See Part II. Item 8. Financial Statements and Supplementary Data, Note 9 - “License Agreement" in the accompanying Notes to the financial statements for more information.</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enter into agreements in the normal course of business with CROs for clinical trials and with vendors for pre-clinical studies and other services and products for operating purposes, which are cancelable at any time by us, generally upon 30 to 60 days prior written notice. These payments are not included in the above table of contractual obligations. The above table also excludes unrecognized tax benefits and related interest and penalties of $4.1 million as of December 31,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one primary business activity and operate as one reportable segment.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3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United States generally accepted accounting principles (“U.S. GAAP”). The preparation of these financial statements requires our management to make judgments and estimates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3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recognize revenue when our customer obtains control of the promised goods or services, in an amount that reflects the consideration which we have received or expect to receive in exchange for those goods or services.</w:t>
      </w:r>
    </w:p>
    <w:p>
      <w:pPr>
        <w:spacing w:after="0" w:line="20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revenues are primarily derived through our license, research, development and commercialization agreements. The terms of these types of agreements may include (i) licenses for our technology or programs, (ii) research and development services, and (iii) services or obligations in connection with participation in research or steering committees. Payments to us under these arrangements typically include one or more of the following: non-refundable upfront and license fees, research funding, milestone and other contingent payments to us for the achievement of defined collaboration objectives and certain preclinical, clinical, regulatory and sales-based events, as well as royalties on sales of any commercialized products. We assess whether the promises in our arrangements with customers are considered as distinct performance obligations that should be accounted for separately. Judgment is required to determine whether the license to our intellectual property is distinct from the research and development services or participation on steering committees.</w:t>
      </w:r>
    </w:p>
    <w:p>
      <w:pPr>
        <w:spacing w:after="0" w:line="2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collaboration and license agreements may include contingent payments related to specified research, development and regulatory milestones. Such milestone payments are typically payable under the collaborations when the collaboration partner claims or selects a target, or initiates or advances a covered product candidate in preclinical or clinical development, upon submission for marketing approval of a covered product with regulatory authorities; or upon receipt of actual marketing approvals of a covered product or for additional indications. To date, we have concluded that these contingent payments should be fully constrained until the conditions are met. At each reporting date, we re-evaluate whether the milestones are considered probable of being achieved and estimate the amount to be included in the transaction price by using the most likely amount method. If it is probable that a significant revenue reversal would not occur, the associated milestone value is included in the transaction price in such period of determination.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82" w:name="page83"/>
    <w:bookmarkEnd w:id="82"/>
    <w:p>
      <w:pPr>
        <w:ind w:right="340"/>
        <w:spacing w:after="0" w:line="258" w:lineRule="auto"/>
        <w:rPr>
          <w:sz w:val="20"/>
          <w:szCs w:val="20"/>
          <w:color w:val="auto"/>
        </w:rPr>
      </w:pPr>
      <w:r>
        <w:rPr>
          <w:rFonts w:ascii="Times New Roman" w:cs="Times New Roman" w:eastAsia="Times New Roman" w:hAnsi="Times New Roman"/>
          <w:sz w:val="18"/>
          <w:szCs w:val="18"/>
          <w:color w:val="auto"/>
        </w:rPr>
        <w:t>Our collaboration and license agreements may also include contingent payments related to sales-based milestones. Sales-based milestones are typically payable when annual sales of a covered product reach specified levels. Sales-based milestones are recognized at the later of when the associated performance obligation has been satisfied or when the sales occur. Unlike other contingency payments, such as regulatory milestones, sales-based milestones are not included in the transaction price based on estimates at the inception of the contract, but rather, are included when the sales or usage occur. As of December 31, 2024, no sales-based milestones have been recognized.</w:t>
      </w:r>
    </w:p>
    <w:p>
      <w:pPr>
        <w:spacing w:after="0" w:line="2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transaction price in each arrangement is allocated to the identified performance obligations based on the relative standalone selling price (“SSP”) of each distinct performance obligation, which requires judgment. In instances where SSP is not directly observable, such as when a license or service is not sold separately, SSP is determined using information that may include market conditions and other observable inputs. Due to the early stage of our licensed technology, the license of such technology is typically combined with research and development services and steering committee participation as one performance obligation. In the event that we receive non-cash consideration such as consideration in the form of a research license and research support services from the counterparty, the transaction price of a non-monetary exchange that has commercial substance is estimated based on the fair value of the non-cash consideration received, which may be determined through a valuation analysis.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Most of our collaboration arrangements are related to delivering a combined performance obligation satisfied over time. Revenue is recognized over the estimated research period using an input measure based on our actual full-time employee ("FTE") hours incurred as a percentage of projected FTE hours for completing the performance obligation. We evaluate the measure of progress each reporting period and, if necessary, we adjust the measure of performance and related revenue recognition. There have been changes in estimates of research service periods and/or the related estimated FTE hours-to-completion of certain of our research development programs in each reporting period. For example, changes in our estimated research service period resulted in recognition of higher total revenue of $27.4 million for certain programs in aggregate and lower total revenue of $9.5 million for other programs in aggregate, for 2024, as compared to the estimates in place at the end of 2023. Such adjustments have impacted and will continue to impact the amounts and timing of our revenue recognized.</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Any consideration payable to our customers is treated as a reduction to the transaction price and revenue, unless the payment to the customer is in exchange for distinct good and services.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We record accrued liabilities for estimated costs of research, preclinical and clinical studies and contract manufacturing activities, which are a significant component of research and development expenses. A substantial portion of our ongoing research and development activities is conducted by third-party service providers, including CROs. Our contracts with CROs generally include pass-through costs, such as regulatory expenses, investigator fees, travel costs and other miscellaneous costs. The financial terms of these contracts are subject to negotiations, which vary from contract to contract and may result in payments that do not match the periods over which materials or services are provided to us under such contracts. We accrue the costs incurred under agreements with these third parties based on actual work completed in accordance with the respective agreements. In the event we make advance payments, they are recorded as prepaid expenses and recognized as the services are performed. We determine the estimated costs through discussions with internal personnel and external service providers as to the progress of stage of completion of the services and the agreed-upon fees to be paid for such services.</w:t>
      </w:r>
    </w:p>
    <w:p>
      <w:pPr>
        <w:spacing w:after="0" w:line="19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make significant judgments and estimates in determining the accrual balance in each reporting period. As actual costs become known, we adjust our accruals. Although we do not expect our estimates to be materially different than the actual amounts incurred, such estimates for the status and timing of services performed relative to the actual status and timing of services performed may vary and could result in us reporting amounts that are too high or too low in any one period. Our accrual is dependent, in part, upon the receipt of timely and accurate reporting from CROs and other third-party vendors. Variations in the assumptions used to estimate accruals including, but not limited to, the number of patients enrolled, the rate of patient enrollment and the actual services performed, may vary from our estimates, resulting in adjustments to clinical trial expenses in future periods.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file income taxes in the U.S. federal jurisdiction, the state of California and various other U.S. states. The state of California contested our tax position on revenue apportionment for upfront and milestone payments resulting from our collaboration and licensing agreements for the years 2017 and 2018. In September 2023, we received a Notice of Proposed Assessment (“NOPA”) from the Franchise Tax Board. We recorded an uncertain tax position of $4.1 million in long term liabilities for the proposed tax assessment, penalties and interest through December 31, 2024. Additional utilization of carryforward attributes and indirect federal tax effects of the assessment would result in a reduction in deferred tax assets of $5.1 million. We filed a protest to contest the proposed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83" w:name="page84"/>
    <w:bookmarkEnd w:id="83"/>
    <w:p>
      <w:pPr>
        <w:ind w:right="140"/>
        <w:spacing w:after="0" w:line="282" w:lineRule="auto"/>
        <w:rPr>
          <w:sz w:val="20"/>
          <w:szCs w:val="20"/>
          <w:color w:val="auto"/>
        </w:rPr>
      </w:pPr>
      <w:r>
        <w:rPr>
          <w:rFonts w:ascii="Times New Roman" w:cs="Times New Roman" w:eastAsia="Times New Roman" w:hAnsi="Times New Roman"/>
          <w:sz w:val="18"/>
          <w:szCs w:val="18"/>
          <w:color w:val="auto"/>
        </w:rPr>
        <w:t>assessment in November 2023. Due to the ongoing nature of the examination and discussions with the state of California, we are unable to estimate a date by which this matter will be resolved.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Securities Exchange Act of 1934, or the Exchange Act, and are not required to provide the information under this item.</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17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INDEX TO AUDITED FINANCIAL STATEMENTS</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107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rPr>
              <w:t>Reports of Independent Registered Public Accounting Firm (PCAOB ID: 42)</w:t>
            </w: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700" w:type="dxa"/>
            <w:vAlign w:val="bottom"/>
            <w:gridSpan w:val="8"/>
            <w:vMerge w:val="continue"/>
          </w:tcPr>
          <w:p>
            <w:pPr>
              <w:spacing w:after="0"/>
              <w:rPr>
                <w:sz w:val="14"/>
                <w:szCs w:val="14"/>
                <w:color w:val="auto"/>
              </w:rPr>
            </w:pPr>
          </w:p>
        </w:tc>
        <w:tc>
          <w:tcPr>
            <w:tcW w:w="5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84</w:t>
            </w:r>
          </w:p>
        </w:tc>
        <w:tc>
          <w:tcPr>
            <w:tcW w:w="0" w:type="dxa"/>
            <w:vAlign w:val="bottom"/>
          </w:tcPr>
          <w:p>
            <w:pPr>
              <w:spacing w:after="0"/>
              <w:rPr>
                <w:sz w:val="1"/>
                <w:szCs w:val="1"/>
                <w:color w:val="auto"/>
              </w:rPr>
            </w:pPr>
          </w:p>
        </w:tc>
      </w:tr>
      <w:tr>
        <w:trPr>
          <w:trHeight w:val="434"/>
        </w:trPr>
        <w:tc>
          <w:tcPr>
            <w:tcW w:w="55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5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40" w:type="dxa"/>
            <w:vAlign w:val="bottom"/>
          </w:tcPr>
          <w:p>
            <w:pPr>
              <w:spacing w:after="0"/>
              <w:rPr>
                <w:sz w:val="16"/>
                <w:szCs w:val="16"/>
                <w:color w:val="auto"/>
              </w:rPr>
            </w:pPr>
          </w:p>
        </w:tc>
        <w:tc>
          <w:tcPr>
            <w:tcW w:w="1026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FF"/>
              </w:rPr>
              <w:t>Balance Sheets</w:t>
            </w:r>
          </w:p>
        </w:tc>
        <w:tc>
          <w:tcPr>
            <w:tcW w:w="5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87</w:t>
            </w:r>
          </w:p>
        </w:tc>
        <w:tc>
          <w:tcPr>
            <w:tcW w:w="0" w:type="dxa"/>
            <w:vAlign w:val="bottom"/>
          </w:tcPr>
          <w:p>
            <w:pPr>
              <w:spacing w:after="0"/>
              <w:rPr>
                <w:sz w:val="1"/>
                <w:szCs w:val="1"/>
                <w:color w:val="auto"/>
              </w:rPr>
            </w:pP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2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Statements of Operations and Comprehensive Income (Loss)</w:t>
            </w:r>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88</w:t>
            </w:r>
          </w:p>
        </w:tc>
        <w:tc>
          <w:tcPr>
            <w:tcW w:w="0" w:type="dxa"/>
            <w:vAlign w:val="bottom"/>
          </w:tcPr>
          <w:p>
            <w:pPr>
              <w:spacing w:after="0"/>
              <w:rPr>
                <w:sz w:val="1"/>
                <w:szCs w:val="1"/>
                <w:color w:val="auto"/>
              </w:rPr>
            </w:pP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2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Statements of Stockholders’ Deficit</w:t>
            </w:r>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89</w:t>
            </w:r>
          </w:p>
        </w:tc>
        <w:tc>
          <w:tcPr>
            <w:tcW w:w="0" w:type="dxa"/>
            <w:vAlign w:val="bottom"/>
          </w:tcPr>
          <w:p>
            <w:pPr>
              <w:spacing w:after="0"/>
              <w:rPr>
                <w:sz w:val="1"/>
                <w:szCs w:val="1"/>
                <w:color w:val="auto"/>
              </w:rPr>
            </w:pP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7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2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Statements of Cash Flows</w:t>
            </w:r>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90</w:t>
            </w:r>
          </w:p>
        </w:tc>
        <w:tc>
          <w:tcPr>
            <w:tcW w:w="0" w:type="dxa"/>
            <w:vAlign w:val="bottom"/>
          </w:tcPr>
          <w:p>
            <w:pPr>
              <w:spacing w:after="0"/>
              <w:rPr>
                <w:sz w:val="1"/>
                <w:szCs w:val="1"/>
                <w:color w:val="auto"/>
              </w:rPr>
            </w:pP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10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2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Notes to Financial Statements</w:t>
            </w:r>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91</w:t>
            </w:r>
          </w:p>
        </w:tc>
        <w:tc>
          <w:tcPr>
            <w:tcW w:w="0" w:type="dxa"/>
            <w:vAlign w:val="bottom"/>
          </w:tcPr>
          <w:p>
            <w:pPr>
              <w:spacing w:after="0"/>
              <w:rPr>
                <w:sz w:val="1"/>
                <w:szCs w:val="1"/>
                <w:color w:val="auto"/>
              </w:rPr>
            </w:pP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85" w:name="page86"/>
    <w:bookmarkEnd w:id="85"/>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 CytomX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CytomX Therapeutics, Inc. (the Company) as of December 31, 2024 and 2023, the related statements of operations and comprehensive income (loss), stockholders’ deficit and cash flows for the years then ended, and the related notes (collectively referred to as the “financial statements”). In our opinion, the financial statements present fairly, in all material respects, the financial position of the Company at December 31, 2024 and 2023, and the results of its operations and its cash flows for the years then ended, in conformity with U.S. generally accepted accounting principles.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March 6, 2025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86" w:name="page87"/>
    <w:bookmarkEnd w:id="86"/>
    <w:p>
      <w:pPr>
        <w:spacing w:after="0" w:line="326"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Accounting for revenue and collaboration agreements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recorded revenue from collaboration agreements of $138.1 million for the year ended December 31, 2024. As described in Note 2 to the financial statements, the terms of the Company’s collaboration agreements may include licenses for the Company’s technology or programs, research and development services, and services or obligations in connection with participation in research or steering committees. Amounts received under these arrangements typically include nonrefundable upfront payments and license fees, research funding, milestone and other contingent payments for the achievement of defined collaboration objectives and certain preclinical, clinical, regulatory and sales-based events, as well as royalties on sales of any commercialized products.</w:t>
      </w:r>
    </w:p>
    <w:p>
      <w:pPr>
        <w:spacing w:after="0" w:line="18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Auditing the Company’s accounting for revenue from collaboration agreements was complex and required significant judgments primarily in evaluating estimates of the total expected inputs (hours) under the input method for revenue recognized over time.</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the controls over the determination of the actual hours incurred for each performance obligation for the period, management’s estimate of the total expected hours to be incurred for each performance obligation, and the calculation and recognition of revenue for each performance obligation.</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To test the recognition of revenue from collaboration agreements, our audit procedures included, among others, testing a sample of cash receipts, confirming a sample of receivables, reviewing management’s analysis for accuracy and completeness by agreeing data to the underlying contract, inspecting research or steering committee minutes, testing the application of the input method for the recognition of revenue, including testing the actual hours incurred and management’s estimate of the total hours to be incurred for each performance obligation for revenue recognized over time.</w:t>
      </w:r>
    </w:p>
    <w:p>
      <w:pPr>
        <w:spacing w:after="0" w:line="200" w:lineRule="exact"/>
        <w:rPr>
          <w:sz w:val="20"/>
          <w:szCs w:val="20"/>
          <w:color w:val="auto"/>
        </w:rPr>
      </w:pPr>
    </w:p>
    <w:p>
      <w:pPr>
        <w:sectPr>
          <w:pgSz w:w="11900" w:h="16838" w:orient="portrait"/>
          <w:cols w:equalWidth="0" w:num="2">
            <w:col w:w="1420" w:space="660"/>
            <w:col w:w="8740"/>
          </w:cols>
          <w:pgMar w:left="660" w:top="1413"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March 6, 2025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660" w:top="1413" w:right="419" w:bottom="1440" w:gutter="0" w:footer="0" w:header="0"/>
          <w:type w:val="continuous"/>
        </w:sectPr>
      </w:pPr>
    </w:p>
    <w:bookmarkStart w:id="87" w:name="page88"/>
    <w:bookmarkEnd w:id="87"/>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CytomX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CytomX Therapeutics, Inc.’s internal control over financial reporting as of December 31, 2024, based on criteria established in Internal Control—Integrated Framework issued by the Committee of Sponsoring Organizations of the Treadway Commission (2013 framework) (the COSO criteria). In our opinion, CytomX Therapeutics, Inc. (the Company) maintained, in all material respects, effective internal control over financial reporting as of December 31, 2024, based on the COSO criteria.</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balance sheets of the Company as of December 31, 2024 and 2023, the related statements of operations and comprehensive income (loss), stockholders’ deficit and cash flows for the years then ended, and the related notes and our report dated March 6, 2025 expressed an unqualified opinion thereon.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38,052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62,571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157,338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100" w:type="dxa"/>
            <w:vAlign w:val="bottom"/>
          </w:tcPr>
          <w:p>
            <w:pPr>
              <w:spacing w:after="0"/>
              <w:rPr>
                <w:sz w:val="18"/>
                <w:szCs w:val="18"/>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107,305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182,936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12,220</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120,533</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201,792</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 short term</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revenues, current portion</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67,201</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132,267</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85,772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155,913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80,048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long term</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100" w:type="dxa"/>
            <w:vAlign w:val="bottom"/>
          </w:tcPr>
          <w:p>
            <w:pPr>
              <w:spacing w:after="0"/>
              <w:rPr>
                <w:sz w:val="18"/>
                <w:szCs w:val="18"/>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120,989</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249,239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Convertible preferred stock, $0.00001 par value; 10,000,000 shares authorized and</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shares issued and outstanding</w:t>
            </w:r>
          </w:p>
        </w:tc>
        <w:tc>
          <w:tcPr>
            <w:tcW w:w="2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$0.00001 par value; 300,000,000 and 150,000,000 shares authorized,</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and 80,099,889 and 67,310,838 shares issued and outstanding at December 31, 2024</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and 2023, respectively</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0"/>
                <w:szCs w:val="20"/>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691,095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675,905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(691,579 )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(723,448 )</w:t>
            </w:r>
          </w:p>
        </w:tc>
      </w:tr>
      <w:tr>
        <w:trPr>
          <w:trHeight w:val="20"/>
        </w:trPr>
        <w:tc>
          <w:tcPr>
            <w:tcW w:w="7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(456 )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(47,447 )</w:t>
            </w:r>
          </w:p>
        </w:tc>
      </w:tr>
      <w:tr>
        <w:trPr>
          <w:trHeight w:val="210"/>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120,533</w:t>
            </w: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201,792</w:t>
            </w:r>
          </w:p>
        </w:tc>
        <w:tc>
          <w:tcPr>
            <w:tcW w:w="100" w:type="dxa"/>
            <w:vAlign w:val="bottom"/>
            <w:tcBorders>
              <w:top w:val="single" w:sz="8" w:color="CFF0FC"/>
            </w:tcBorders>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-3385820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-3385820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6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7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138,103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101,214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83,382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77,680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30,018</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113,108</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107,698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(6,484 )</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(38 )</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(30 )</w:t>
            </w: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31,869</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(569 )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(loss) on available-for-sale investments, net of tax</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(68 )</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18"/>
                <w:szCs w:val="18"/>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(484 )</w:t>
            </w: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 per share:</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(0.01 )</w:t>
            </w: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720" w:type="dxa"/>
            <w:vAlign w:val="bottom"/>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0.38</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(0.01 )</w:t>
            </w:r>
          </w:p>
        </w:tc>
      </w:tr>
      <w:tr>
        <w:trPr>
          <w:trHeight w:val="21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Shares used to compute net income (loss) per share</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60"/>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84,439,303</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73,808,237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6"/>
        </w:trPr>
        <w:tc>
          <w:tcPr>
            <w:tcW w:w="772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84,745,116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73,808,237</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-2236470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-1113790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-505460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-487680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 INC.</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STATEMENTS OF STOCKHOLDERS' DEFICIT</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2"/>
        </w:trPr>
        <w:tc>
          <w:tcPr>
            <w:tcW w:w="4160" w:type="dxa"/>
            <w:vAlign w:val="bottom"/>
          </w:tcPr>
          <w:p>
            <w:pPr>
              <w:spacing w:after="0"/>
              <w:rPr>
                <w:sz w:val="17"/>
                <w:szCs w:val="17"/>
                <w:color w:val="auto"/>
              </w:rPr>
            </w:pPr>
          </w:p>
        </w:tc>
        <w:tc>
          <w:tcPr>
            <w:tcW w:w="2000" w:type="dxa"/>
            <w:vAlign w:val="bottom"/>
            <w:gridSpan w:val="3"/>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Comprehensi</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60" w:type="dxa"/>
            <w:vAlign w:val="bottom"/>
          </w:tcPr>
          <w:p>
            <w:pPr>
              <w:spacing w:after="0"/>
              <w:rPr>
                <w:sz w:val="17"/>
                <w:szCs w:val="17"/>
                <w:color w:val="auto"/>
              </w:rPr>
            </w:pPr>
          </w:p>
        </w:tc>
        <w:tc>
          <w:tcPr>
            <w:tcW w:w="2000" w:type="dxa"/>
            <w:vAlign w:val="bottom"/>
            <w:tcBorders>
              <w:bottom w:val="single" w:sz="8" w:color="auto"/>
            </w:tcBorders>
            <w:gridSpan w:val="3"/>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2"/>
              </w:rPr>
              <w:t>ve</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80"/>
        </w:trPr>
        <w:tc>
          <w:tcPr>
            <w:tcW w:w="4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3"/>
          </w:tcPr>
          <w:p>
            <w:pPr>
              <w:jc w:val="center"/>
              <w:ind w:right="220"/>
              <w:spacing w:after="0" w:line="181" w:lineRule="exact"/>
              <w:rPr>
                <w:sz w:val="20"/>
                <w:szCs w:val="20"/>
                <w:color w:val="auto"/>
              </w:rPr>
            </w:pPr>
            <w:r>
              <w:rPr>
                <w:rFonts w:ascii="Times New Roman" w:cs="Times New Roman" w:eastAsia="Times New Roman" w:hAnsi="Times New Roman"/>
                <w:sz w:val="16"/>
                <w:szCs w:val="16"/>
                <w:b w:val="1"/>
                <w:bCs w:val="1"/>
                <w:color w:val="auto"/>
              </w:rPr>
              <w:t>Income/(Loss</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160" w:type="dxa"/>
            <w:vAlign w:val="bottom"/>
          </w:tcPr>
          <w:p>
            <w:pPr>
              <w:spacing w:after="0"/>
              <w:rPr>
                <w:sz w:val="18"/>
                <w:szCs w:val="18"/>
                <w:color w:val="auto"/>
              </w:rPr>
            </w:pPr>
          </w:p>
        </w:tc>
        <w:tc>
          <w:tcPr>
            <w:tcW w:w="10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66,228,046</w:t>
            </w:r>
          </w:p>
        </w:tc>
        <w:tc>
          <w:tcPr>
            <w:tcW w:w="1000" w:type="dxa"/>
            <w:vAlign w:val="bottom"/>
            <w:gridSpan w:val="2"/>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637,117</w:t>
            </w:r>
          </w:p>
        </w:tc>
        <w:tc>
          <w:tcPr>
            <w:tcW w:w="4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(722,879 )</w:t>
            </w: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(85,751 )</w:t>
            </w:r>
          </w:p>
        </w:tc>
        <w:tc>
          <w:tcPr>
            <w:tcW w:w="0" w:type="dxa"/>
            <w:vAlign w:val="bottom"/>
          </w:tcPr>
          <w:p>
            <w:pPr>
              <w:spacing w:after="0"/>
              <w:rPr>
                <w:sz w:val="1"/>
                <w:szCs w:val="1"/>
                <w:color w:val="auto"/>
              </w:rPr>
            </w:pPr>
          </w:p>
        </w:tc>
      </w:tr>
      <w:tr>
        <w:trPr>
          <w:trHeight w:val="20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 and release of RSUs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675,864</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the Employee Stock</w:t>
            </w: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 Plan</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406,928</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pre-funded warrants and warrants, net of issuance</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29,669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8,558</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8,558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(569 )</w:t>
            </w: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(569 )</w:t>
            </w:r>
          </w:p>
        </w:tc>
        <w:tc>
          <w:tcPr>
            <w:tcW w:w="0" w:type="dxa"/>
            <w:vAlign w:val="bottom"/>
          </w:tcPr>
          <w:p>
            <w:pPr>
              <w:spacing w:after="0"/>
              <w:rPr>
                <w:sz w:val="1"/>
                <w:szCs w:val="1"/>
                <w:color w:val="auto"/>
              </w:rPr>
            </w:pPr>
          </w:p>
        </w:tc>
      </w:tr>
      <w:tr>
        <w:trPr>
          <w:trHeight w:val="20"/>
        </w:trPr>
        <w:tc>
          <w:tcPr>
            <w:tcW w:w="41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67,310,838</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675,905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(723,448 )</w:t>
            </w:r>
          </w:p>
        </w:tc>
        <w:tc>
          <w:tcPr>
            <w:tcW w:w="18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(47,447 )</w:t>
            </w:r>
          </w:p>
        </w:tc>
        <w:tc>
          <w:tcPr>
            <w:tcW w:w="0" w:type="dxa"/>
            <w:vAlign w:val="bottom"/>
          </w:tcPr>
          <w:p>
            <w:pPr>
              <w:spacing w:after="0"/>
              <w:rPr>
                <w:sz w:val="1"/>
                <w:szCs w:val="1"/>
                <w:color w:val="auto"/>
              </w:rPr>
            </w:pPr>
          </w:p>
        </w:tc>
      </w:tr>
      <w:tr>
        <w:trPr>
          <w:trHeight w:val="203"/>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stock options and release of RSUs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980,552</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the Employee Stock</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Plan</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383,346</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the Open Market Sale</w:t>
            </w: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Agreement, net of issuance cost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3,925,202</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6,909</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6,909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pre-funded warrants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7,499,951</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7,668</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7,668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(68 )</w:t>
            </w:r>
          </w:p>
        </w:tc>
        <w:tc>
          <w:tcPr>
            <w:tcW w:w="16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(68 )</w:t>
            </w:r>
          </w:p>
        </w:tc>
        <w:tc>
          <w:tcPr>
            <w:tcW w:w="0" w:type="dxa"/>
            <w:vAlign w:val="bottom"/>
          </w:tcPr>
          <w:p>
            <w:pPr>
              <w:spacing w:after="0"/>
              <w:rPr>
                <w:sz w:val="1"/>
                <w:szCs w:val="1"/>
                <w:color w:val="auto"/>
              </w:rPr>
            </w:pPr>
          </w:p>
        </w:tc>
      </w:tr>
      <w:tr>
        <w:trPr>
          <w:trHeight w:val="202"/>
        </w:trPr>
        <w:tc>
          <w:tcPr>
            <w:tcW w:w="4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31,869</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31,869</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80,099,889</w:t>
            </w:r>
          </w:p>
        </w:tc>
        <w:tc>
          <w:tcPr>
            <w:tcW w:w="1000" w:type="dxa"/>
            <w:vAlign w:val="bottom"/>
            <w:gridSpan w:val="2"/>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691,095</w:t>
            </w:r>
          </w:p>
        </w:tc>
        <w:tc>
          <w:tcPr>
            <w:tcW w:w="4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2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(691,579 )</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(456 )</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-1456690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-1456690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-1456690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-1456690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-1456690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-1456690</wp:posOffset>
            </wp:positionV>
            <wp:extent cx="77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-162560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-162560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-162560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-162560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-162560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83"/>
        </w:trPr>
        <w:tc>
          <w:tcPr>
            <w:tcW w:w="78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r>
      <w:tr>
        <w:trPr>
          <w:trHeight w:val="196"/>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7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 (loss)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31,869</w:t>
            </w:r>
          </w:p>
        </w:tc>
        <w:tc>
          <w:tcPr>
            <w:tcW w:w="220" w:type="dxa"/>
            <w:vAlign w:val="bottom"/>
          </w:tcPr>
          <w:p>
            <w:pPr>
              <w:spacing w:after="0"/>
              <w:rPr>
                <w:sz w:val="17"/>
                <w:szCs w:val="17"/>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(569 )</w:t>
            </w:r>
          </w:p>
        </w:tc>
      </w:tr>
      <w:tr>
        <w:trPr>
          <w:trHeight w:val="203"/>
        </w:trPr>
        <w:tc>
          <w:tcPr>
            <w:tcW w:w="7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(loss) to net cash used in operating activities:</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78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220" w:type="dxa"/>
            <w:vAlign w:val="bottom"/>
          </w:tcPr>
          <w:p>
            <w:pPr>
              <w:spacing w:after="0"/>
              <w:rPr>
                <w:sz w:val="17"/>
                <w:szCs w:val="17"/>
                <w:color w:val="auto"/>
              </w:rPr>
            </w:pPr>
          </w:p>
        </w:tc>
      </w:tr>
      <w:tr>
        <w:trPr>
          <w:trHeight w:val="203"/>
        </w:trPr>
        <w:tc>
          <w:tcPr>
            <w:tcW w:w="78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220" w:type="dxa"/>
            <w:vAlign w:val="bottom"/>
            <w:shd w:val="clear" w:color="auto" w:fill="CFF0FC"/>
          </w:tcPr>
          <w:p>
            <w:pPr>
              <w:spacing w:after="0"/>
              <w:rPr>
                <w:sz w:val="17"/>
                <w:szCs w:val="17"/>
                <w:color w:val="auto"/>
              </w:rPr>
            </w:pPr>
          </w:p>
        </w:tc>
      </w:tr>
      <w:tr>
        <w:trPr>
          <w:trHeight w:val="203"/>
        </w:trPr>
        <w:tc>
          <w:tcPr>
            <w:tcW w:w="78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Impairment loss on machinery and equipment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8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Accretion of discounts on short-term investments</w:t>
            </w: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(5,311 )</w:t>
            </w: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(7,419 )</w:t>
            </w:r>
          </w:p>
        </w:tc>
      </w:tr>
      <w:tr>
        <w:trPr>
          <w:trHeight w:val="203"/>
        </w:trPr>
        <w:tc>
          <w:tcPr>
            <w:tcW w:w="78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7,668</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8,558</w:t>
            </w:r>
          </w:p>
        </w:tc>
        <w:tc>
          <w:tcPr>
            <w:tcW w:w="220" w:type="dxa"/>
            <w:vAlign w:val="bottom"/>
          </w:tcPr>
          <w:p>
            <w:pPr>
              <w:spacing w:after="0"/>
              <w:rPr>
                <w:sz w:val="17"/>
                <w:szCs w:val="17"/>
                <w:color w:val="auto"/>
              </w:rPr>
            </w:pPr>
          </w:p>
        </w:tc>
      </w:tr>
      <w:tr>
        <w:trPr>
          <w:trHeight w:val="203"/>
        </w:trPr>
        <w:tc>
          <w:tcPr>
            <w:tcW w:w="78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Non-cash lease expense</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4,084</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3,729</w:t>
            </w:r>
          </w:p>
        </w:tc>
        <w:tc>
          <w:tcPr>
            <w:tcW w:w="220" w:type="dxa"/>
            <w:vAlign w:val="bottom"/>
            <w:shd w:val="clear" w:color="auto" w:fill="CFF0FC"/>
          </w:tcPr>
          <w:p>
            <w:pPr>
              <w:spacing w:after="0"/>
              <w:rPr>
                <w:sz w:val="17"/>
                <w:szCs w:val="17"/>
                <w:color w:val="auto"/>
              </w:rPr>
            </w:pPr>
          </w:p>
        </w:tc>
      </w:tr>
      <w:tr>
        <w:trPr>
          <w:trHeight w:val="203"/>
        </w:trPr>
        <w:tc>
          <w:tcPr>
            <w:tcW w:w="78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78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32,554</w:t>
            </w:r>
          </w:p>
        </w:tc>
        <w:tc>
          <w:tcPr>
            <w:tcW w:w="220" w:type="dxa"/>
            <w:vAlign w:val="bottom"/>
            <w:shd w:val="clear" w:color="auto" w:fill="CFF0FC"/>
          </w:tcPr>
          <w:p>
            <w:pPr>
              <w:spacing w:after="0"/>
              <w:rPr>
                <w:sz w:val="17"/>
                <w:szCs w:val="17"/>
                <w:color w:val="auto"/>
              </w:rPr>
            </w:pPr>
          </w:p>
        </w:tc>
      </w:tr>
      <w:tr>
        <w:trPr>
          <w:trHeight w:val="203"/>
        </w:trPr>
        <w:tc>
          <w:tcPr>
            <w:tcW w:w="78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2,415</w:t>
            </w:r>
          </w:p>
        </w:tc>
        <w:tc>
          <w:tcPr>
            <w:tcW w:w="220" w:type="dxa"/>
            <w:vAlign w:val="bottom"/>
          </w:tcPr>
          <w:p>
            <w:pPr>
              <w:spacing w:after="0"/>
              <w:rPr>
                <w:sz w:val="17"/>
                <w:szCs w:val="17"/>
                <w:color w:val="auto"/>
              </w:rPr>
            </w:pPr>
          </w:p>
        </w:tc>
      </w:tr>
      <w:tr>
        <w:trPr>
          <w:trHeight w:val="203"/>
        </w:trPr>
        <w:tc>
          <w:tcPr>
            <w:tcW w:w="78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(297 )</w:t>
            </w: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(1,426 )</w:t>
            </w:r>
          </w:p>
        </w:tc>
      </w:tr>
      <w:tr>
        <w:trPr>
          <w:trHeight w:val="203"/>
        </w:trPr>
        <w:tc>
          <w:tcPr>
            <w:tcW w:w="78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Accrued liabilities and other long-term liabilities</w:t>
            </w:r>
          </w:p>
        </w:tc>
        <w:tc>
          <w:tcPr>
            <w:tcW w:w="3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(9,628 )</w:t>
            </w:r>
          </w:p>
        </w:tc>
        <w:tc>
          <w:tcPr>
            <w:tcW w:w="34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(7,041 )</w:t>
            </w:r>
          </w:p>
        </w:tc>
      </w:tr>
      <w:tr>
        <w:trPr>
          <w:trHeight w:val="203"/>
        </w:trPr>
        <w:tc>
          <w:tcPr>
            <w:tcW w:w="78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Deferred revenue</w:t>
            </w: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(118,252 )</w:t>
            </w: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(89,011 )</w:t>
            </w:r>
          </w:p>
        </w:tc>
      </w:tr>
      <w:tr>
        <w:trPr>
          <w:trHeight w:val="20"/>
        </w:trPr>
        <w:tc>
          <w:tcPr>
            <w:tcW w:w="78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196"/>
        </w:trPr>
        <w:tc>
          <w:tcPr>
            <w:tcW w:w="78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(86,231 )</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(56,035 )</w:t>
            </w:r>
          </w:p>
        </w:tc>
      </w:tr>
      <w:tr>
        <w:trPr>
          <w:trHeight w:val="196"/>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7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(310 )</w:t>
            </w:r>
          </w:p>
        </w:tc>
        <w:tc>
          <w:tcPr>
            <w:tcW w:w="34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(840 )</w:t>
            </w:r>
          </w:p>
        </w:tc>
      </w:tr>
      <w:tr>
        <w:trPr>
          <w:trHeight w:val="203"/>
        </w:trPr>
        <w:tc>
          <w:tcPr>
            <w:tcW w:w="7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Purchases of short term investments</w:t>
            </w: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(155,490 )</w:t>
            </w: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(424,834 )</w:t>
            </w:r>
          </w:p>
        </w:tc>
      </w:tr>
      <w:tr>
        <w:trPr>
          <w:trHeight w:val="203"/>
        </w:trPr>
        <w:tc>
          <w:tcPr>
            <w:tcW w:w="7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Maturities of short term investments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255,500</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220" w:type="dxa"/>
            <w:vAlign w:val="bottom"/>
          </w:tcPr>
          <w:p>
            <w:pPr>
              <w:spacing w:after="0"/>
              <w:rPr>
                <w:sz w:val="17"/>
                <w:szCs w:val="17"/>
                <w:color w:val="auto"/>
              </w:rPr>
            </w:pPr>
          </w:p>
        </w:tc>
      </w:tr>
      <w:tr>
        <w:trPr>
          <w:trHeight w:val="196"/>
        </w:trPr>
        <w:tc>
          <w:tcPr>
            <w:tcW w:w="78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99,700</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(150,674 )</w:t>
            </w:r>
          </w:p>
        </w:tc>
      </w:tr>
      <w:tr>
        <w:trPr>
          <w:trHeight w:val="196"/>
        </w:trPr>
        <w:tc>
          <w:tcPr>
            <w:tcW w:w="78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r>
      <w:tr>
        <w:trPr>
          <w:trHeight w:val="203"/>
        </w:trPr>
        <w:tc>
          <w:tcPr>
            <w:tcW w:w="7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issuance of pre-funded warrants and warrants, net of issuance cost</w:t>
            </w: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29,669</w:t>
            </w:r>
          </w:p>
        </w:tc>
        <w:tc>
          <w:tcPr>
            <w:tcW w:w="220" w:type="dxa"/>
            <w:vAlign w:val="bottom"/>
            <w:shd w:val="clear" w:color="auto" w:fill="CFF0FC"/>
          </w:tcPr>
          <w:p>
            <w:pPr>
              <w:spacing w:after="0"/>
              <w:rPr>
                <w:sz w:val="17"/>
                <w:szCs w:val="17"/>
                <w:color w:val="auto"/>
              </w:rPr>
            </w:pPr>
          </w:p>
        </w:tc>
      </w:tr>
      <w:tr>
        <w:trPr>
          <w:trHeight w:val="203"/>
        </w:trPr>
        <w:tc>
          <w:tcPr>
            <w:tcW w:w="7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issuance of common stock, net of issuance cost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6,909</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78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employee stock purchase plan and exercise of stock options</w:t>
            </w:r>
          </w:p>
        </w:tc>
        <w:tc>
          <w:tcPr>
            <w:tcW w:w="3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220" w:type="dxa"/>
            <w:vAlign w:val="bottom"/>
            <w:tcBorders>
              <w:bottom w:val="single" w:sz="8" w:color="CFF0FC"/>
            </w:tcBorders>
            <w:shd w:val="clear" w:color="auto" w:fill="CFF0FC"/>
          </w:tcPr>
          <w:p>
            <w:pPr>
              <w:spacing w:after="0"/>
              <w:rPr>
                <w:sz w:val="17"/>
                <w:szCs w:val="17"/>
                <w:color w:val="auto"/>
              </w:rPr>
            </w:pPr>
          </w:p>
        </w:tc>
      </w:tr>
      <w:tr>
        <w:trPr>
          <w:trHeight w:val="196"/>
        </w:trPr>
        <w:tc>
          <w:tcPr>
            <w:tcW w:w="78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7,522</w:t>
            </w:r>
          </w:p>
        </w:tc>
        <w:tc>
          <w:tcPr>
            <w:tcW w:w="220" w:type="dxa"/>
            <w:vAlign w:val="bottom"/>
          </w:tcPr>
          <w:p>
            <w:pPr>
              <w:spacing w:after="0"/>
              <w:rPr>
                <w:sz w:val="17"/>
                <w:szCs w:val="17"/>
                <w:color w:val="auto"/>
              </w:rPr>
            </w:pP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30,230</w:t>
            </w:r>
          </w:p>
        </w:tc>
        <w:tc>
          <w:tcPr>
            <w:tcW w:w="220" w:type="dxa"/>
            <w:vAlign w:val="bottom"/>
          </w:tcPr>
          <w:p>
            <w:pPr>
              <w:spacing w:after="0"/>
              <w:rPr>
                <w:sz w:val="17"/>
                <w:szCs w:val="17"/>
                <w:color w:val="auto"/>
              </w:rPr>
            </w:pPr>
          </w:p>
        </w:tc>
      </w:tr>
      <w:tr>
        <w:trPr>
          <w:trHeight w:val="196"/>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20,991</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(176,479 )</w:t>
            </w:r>
          </w:p>
        </w:tc>
      </w:tr>
      <w:tr>
        <w:trPr>
          <w:trHeight w:val="203"/>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year</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18,088</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194,567</w:t>
            </w:r>
          </w:p>
        </w:tc>
        <w:tc>
          <w:tcPr>
            <w:tcW w:w="220" w:type="dxa"/>
            <w:vAlign w:val="bottom"/>
          </w:tcPr>
          <w:p>
            <w:pPr>
              <w:spacing w:after="0"/>
              <w:rPr>
                <w:sz w:val="17"/>
                <w:szCs w:val="17"/>
                <w:color w:val="auto"/>
              </w:rPr>
            </w:pPr>
          </w:p>
        </w:tc>
      </w:tr>
      <w:tr>
        <w:trPr>
          <w:trHeight w:val="236"/>
        </w:trPr>
        <w:tc>
          <w:tcPr>
            <w:tcW w:w="7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year</w:t>
            </w: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39,079</w:t>
            </w:r>
          </w:p>
        </w:tc>
        <w:tc>
          <w:tcPr>
            <w:tcW w:w="2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18,088</w:t>
            </w:r>
          </w:p>
        </w:tc>
        <w:tc>
          <w:tcPr>
            <w:tcW w:w="220" w:type="dxa"/>
            <w:vAlign w:val="bottom"/>
            <w:tcBorders>
              <w:bottom w:val="single" w:sz="8" w:color="CFF0FC"/>
            </w:tcBorders>
            <w:shd w:val="clear" w:color="auto" w:fill="CFF0FC"/>
          </w:tcPr>
          <w:p>
            <w:pPr>
              <w:spacing w:after="0"/>
              <w:rPr>
                <w:sz w:val="20"/>
                <w:szCs w:val="20"/>
                <w:color w:val="auto"/>
              </w:rPr>
            </w:pPr>
          </w:p>
        </w:tc>
      </w:tr>
      <w:tr>
        <w:trPr>
          <w:trHeight w:val="183"/>
        </w:trPr>
        <w:tc>
          <w:tcPr>
            <w:tcW w:w="7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03"/>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investing items:</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10"/>
        </w:trPr>
        <w:tc>
          <w:tcPr>
            <w:tcW w:w="7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 in accounts payable and accrued liabilities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tcPr>
          <w:p>
            <w:pPr>
              <w:spacing w:after="0"/>
              <w:rPr>
                <w:sz w:val="18"/>
                <w:szCs w:val="18"/>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-2275840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-2275840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-1478915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-1478915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-955675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-955675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-415925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-398780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-415925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-398780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121"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CytomX Therapeutics, Inc. (the “Company”) is a clinical-stage, oncology-focused biopharmaceutical company developing potent biologics designed to remain masked and inactive in healthy tissue and to be unmasked and preferentially activated in the tumor microenvironment. The Company aims to build a commercial enterprise to maximize its impact on the treatment of cancer. The Company is advancing potential first-in-class and best-in-class therapeutics created using its PROBODY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therapeutic technology platform that could meaningfully improve outcomes for cancer patients. Its proprietary and unique PROBODY technology platform is designed to enable “conditional activation” of masked antibody-based drugs in the tumor microenvironment across multiple therapeutic modalities. The Company is located in South San Francisco, California and was incorporated in the state of Delaware in September 2010.</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conformity with accounting principles generally accepted in the United States of America (“U.S. GAAP”).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U.S. GAAP requires management to make estimates and assumptions that affect the reported amounts of assets and liabilities, disclosure of contingent liabilities at the date of the financial statements and reported amounts of revenues and expenses during the reporting periods. Actual results could differ from those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biopharmaceutical companies in the early stage, including, but not limited to, the need to obtain adequate additional funding, possible failure of preclinical testing or clinical trials, the need to obtain marketing approval for its product candidates, competitors developing new technological innovations, the need to successfully commercialize and gain market acceptance of the Company’s products, and protection of proprietary technology. If the Company does not successfully obtain regulatory approval, commercialize or partner any of its product candidates, it will be unable to generate revenue from product sales or achieve profitability.</w:t>
      </w:r>
    </w:p>
    <w:p>
      <w:pPr>
        <w:spacing w:after="0" w:line="183"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of cash and cash equivalents, short-term investments and accounts receivable. Substantially all the Company’s cash is held by one financial institution. Such deposits may, at times, exceed federally insured limits. The Company invests its cash equivalents in highly rated money market funds and its short-term investments in U.S. Treasury securities.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three months or less at the date of purchase to be cash equivalents. Restricted cash represents a standby letter of credit issued pursuant to an office lease and value added tax return.</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balance sheets that sum to the total of the amounts shown in the statements of cash flows: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0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4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142"/>
        </w:trPr>
        <w:tc>
          <w:tcPr>
            <w:tcW w:w="40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86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2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38,052</w:t>
            </w:r>
          </w:p>
        </w:tc>
        <w:tc>
          <w:tcPr>
            <w:tcW w:w="8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17,171</w:t>
            </w:r>
          </w:p>
        </w:tc>
        <w:tc>
          <w:tcPr>
            <w:tcW w:w="120" w:type="dxa"/>
            <w:vAlign w:val="bottom"/>
            <w:shd w:val="clear" w:color="auto" w:fill="CFF0FC"/>
          </w:tcPr>
          <w:p>
            <w:pPr>
              <w:spacing w:after="0"/>
              <w:rPr>
                <w:sz w:val="18"/>
                <w:szCs w:val="18"/>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 non-current assets</w:t>
            </w:r>
          </w:p>
        </w:tc>
        <w:tc>
          <w:tcPr>
            <w:tcW w:w="33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4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20" w:type="dxa"/>
            <w:vAlign w:val="bottom"/>
          </w:tcPr>
          <w:p>
            <w:pPr>
              <w:spacing w:after="0"/>
              <w:rPr>
                <w:sz w:val="18"/>
                <w:szCs w:val="18"/>
                <w:color w:val="auto"/>
              </w:rPr>
            </w:pPr>
          </w:p>
        </w:tc>
      </w:tr>
      <w:tr>
        <w:trPr>
          <w:trHeight w:val="249"/>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2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39,079</w:t>
            </w:r>
          </w:p>
        </w:tc>
        <w:tc>
          <w:tcPr>
            <w:tcW w:w="8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18,088</w:t>
            </w:r>
          </w:p>
        </w:tc>
        <w:tc>
          <w:tcPr>
            <w:tcW w:w="120" w:type="dxa"/>
            <w:vAlign w:val="bottom"/>
            <w:shd w:val="clear" w:color="auto" w:fill="CFF0FC"/>
          </w:tcPr>
          <w:p>
            <w:pPr>
              <w:spacing w:after="0"/>
              <w:rPr>
                <w:sz w:val="21"/>
                <w:szCs w:val="21"/>
                <w:color w:val="auto"/>
              </w:rPr>
            </w:pPr>
          </w:p>
        </w:tc>
      </w:tr>
      <w:tr>
        <w:trPr>
          <w:trHeight w:val="588"/>
        </w:trPr>
        <w:tc>
          <w:tcPr>
            <w:tcW w:w="4060" w:type="dxa"/>
            <w:vAlign w:val="bottom"/>
            <w:tcBorders>
              <w:top w:val="single" w:sz="8" w:color="CFF0FC"/>
            </w:tcBorders>
          </w:tcPr>
          <w:p>
            <w:pPr>
              <w:spacing w:after="0"/>
              <w:rPr>
                <w:sz w:val="24"/>
                <w:szCs w:val="24"/>
                <w:color w:val="auto"/>
              </w:rPr>
            </w:pPr>
          </w:p>
        </w:tc>
        <w:tc>
          <w:tcPr>
            <w:tcW w:w="3380" w:type="dxa"/>
            <w:vAlign w:val="bottom"/>
            <w:tcBorders>
              <w:top w:val="single" w:sz="8" w:color="CFF0FC"/>
            </w:tcBorders>
          </w:tcPr>
          <w:p>
            <w:pPr>
              <w:jc w:val="right"/>
              <w:ind w:right="1630"/>
              <w:spacing w:after="0"/>
              <w:rPr>
                <w:sz w:val="20"/>
                <w:szCs w:val="20"/>
                <w:color w:val="auto"/>
              </w:rPr>
            </w:pPr>
            <w:r>
              <w:rPr>
                <w:rFonts w:ascii="Times New Roman" w:cs="Times New Roman" w:eastAsia="Times New Roman" w:hAnsi="Times New Roman"/>
                <w:sz w:val="18"/>
                <w:szCs w:val="18"/>
                <w:color w:val="auto"/>
              </w:rPr>
              <w:t>91</w:t>
            </w:r>
          </w:p>
        </w:tc>
        <w:tc>
          <w:tcPr>
            <w:tcW w:w="10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Borders>
              <w:top w:val="single" w:sz="8" w:color="CFF0FC"/>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763"/>
        </w:trPr>
        <w:tc>
          <w:tcPr>
            <w:tcW w:w="406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-908050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-890905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-908050</wp:posOffset>
            </wp:positionV>
            <wp:extent cx="7747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-890905</wp:posOffset>
            </wp:positionV>
            <wp:extent cx="7747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All investments have been classified as available-for-sale (“AFS”) and are carried at fair value as determined based upon quoted market prices or pricing models for similar securities at period end. Investments that are required for use in current operations and that mature in less than 12 months are classified as short-term investments in the accompanying balance sheets. The amortized cost of securities is adjusted for amortization of premiums and accretion of discounts to maturity. Dividend and interest income are recognized when earned. Realized gains and losses are included in earnings and are derived using the specific identification method for determining the cost of securities sold.</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assesses impairment of its AFS debt securities investments at each reporting period. Unrealized gains resulting from the excess of the fair value over the amortized cost basis of an investment are reported as a component of accumulated other comprehensive income (loss), net of tax. Unrealized losses or impairments resulting from the fair value of the AFS debt security being below the amortized cost basis are evaluated, using the discounted cash flow model, for identification of credit losses and non-credit related losses. Any credit losses are charged to earnings against the allowance for credit losses of the security, limited to the difference between the fair value and the amortized cost basis of the security. Any difference between the fair value of the security and the amortized cost basis, less the allowance for credit losses, are reported in other comprehensive income (loss). Expected cash inflows due to improvements in credit are recognized through a reversal of the allowance for credit losses subject to the total allowance previously recognized.</w:t>
      </w:r>
    </w:p>
    <w:p>
      <w:pPr>
        <w:spacing w:after="0" w:line="200" w:lineRule="exact"/>
        <w:rPr>
          <w:sz w:val="20"/>
          <w:szCs w:val="20"/>
          <w:color w:val="auto"/>
        </w:rPr>
      </w:pPr>
    </w:p>
    <w:p>
      <w:pPr>
        <w:spacing w:after="0" w:line="20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In the event of impairment of any security, if management (i) has the intent to sell such security or (ii) will more-likely-than-not be required to sell such security before recovery of its amortized cost basis, such AFS debt security’s amortized cost basis will be written down to its fair value through earnings along with any existing allowance for credit losses.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net of accumulated depreciation and amortization. Depreciation is provided using the straight-line method over the estimated useful lives of the respective assets. The useful lives of property and equipment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6800" w:type="dxa"/>
            <w:vAlign w:val="bottom"/>
            <w:shd w:val="clear" w:color="auto" w:fill="CFF0FC"/>
          </w:tcPr>
          <w:p>
            <w:pPr>
              <w:ind w:left="192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68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6800" w:type="dxa"/>
            <w:vAlign w:val="bottom"/>
            <w:shd w:val="clear" w:color="auto" w:fill="CFF0FC"/>
          </w:tcPr>
          <w:p>
            <w:pPr>
              <w:ind w:left="1920"/>
              <w:spacing w:after="0"/>
              <w:rPr>
                <w:sz w:val="20"/>
                <w:szCs w:val="20"/>
                <w:color w:val="auto"/>
              </w:rPr>
            </w:pPr>
            <w:r>
              <w:rPr>
                <w:rFonts w:ascii="Times New Roman" w:cs="Times New Roman" w:eastAsia="Times New Roman" w:hAnsi="Times New Roman"/>
                <w:sz w:val="18"/>
                <w:szCs w:val="18"/>
                <w:color w:val="auto"/>
              </w:rPr>
              <w:t>3 years</w:t>
            </w:r>
          </w:p>
        </w:tc>
      </w:tr>
      <w:tr>
        <w:trPr>
          <w:trHeight w:val="23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68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Shorter of remaining lease term or estimated life of the assets</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Maintenance and repairs that do not extend the life or improve the asset are expensed when incurred.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Goodwill represents the excess of the purchase price paid over the fair value of tangible and identifiable intangible assets acquired in business combinations. Goodwill and other intangible assets with indefinite lives are not amortized, but are assigned to reporting units and tested for impairment annually, or whenever there is an impairment indicator. Intangible assets are comprised of in-process research and development. The Company assesses impairment indicators annually as of December 31 or more frequently, if a change in circumstances or the occurrence of events suggests the remaining value may not be recoverable. Intangible assets that are not deemed to have an indefinite life are amortized over their estimated useful lives. There was no impairment of goodwill or intangible assets identified during the years ended December 31, 2024 and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an asset (or asset group) may not be recoverable and prior to any goodwill impairment test. An impairment loss is recognized when the total of estimated undiscounted future cash flows expected to result from the use of the asset (or asset group) and its eventual disposition is less than its carrying amount. Impairment, if any, would be assessed using discounted cash flows or other appropriate measures of fair value. During the years ended December 31, 2024 and 2023, the Company recorded impairment loss of $0.1 million and $0 for long-lived assets.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Company’s revenues are primarily derived through its license, research, development and commercialization agreements. The terms of these types of agreements may include (i) licenses for the Company’s technology or programs, (ii) research and development services, and (iii) services or obligations in connection with participation in research or steering committees. Payments to the Company under these arrangements typically include one or more of the following: nonrefundable upfront and license fees, research funding, milestone and other contingent payments to the Company for the achievement of defined collaboration objectives and certain preclinical, clinical, regulatory and sales-based events, as well as royalties on sales of any commercialized products.</w:t>
      </w:r>
    </w:p>
    <w:p>
      <w:pPr>
        <w:spacing w:after="0" w:line="18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assesses whether the promises in its arrangements with customers are distinct performance obligations that should be accounted for separately. Judgment is required to determine whether the license to the Company’s intellectual property is distinct from the research and development services or participation on steering committees.</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Company’s collaboration and license agreements may include contingent payments related to specified research, development and regulatory milestones. Such milestone payments are typically payable under the collaborations when the collaboration partner claims or selects a target, or initiates or advances a covered product candidate in preclinical or clinical development, upon submission for marketing approval of a covered product with regulatory authorities, or upon receipt of actual marketing approvals of a covered product or for additional indications. Milestone payments that are not within the control of the Company or the licensee, such as regulatory approvals, are not considered probable of being achieved until those approvals are received. At each reporting date, the Company re-evaluates whether the milestones are considered probable of being achieved and estimates the amount to be included in the transaction price by using the most likely amount method. If it is probable that a significant revenue reversal would not occur, the associated milestone value is included in the transaction price in such period of determination.</w:t>
      </w:r>
    </w:p>
    <w:p>
      <w:pPr>
        <w:spacing w:after="0" w:line="19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collaboration and license agreements may also include contingent payments related to sales-based milestones. Sales-based milestones are typically payable when annual sales of a covered product reach specified levels. Sales-based milestones are recognized at the later of when the associated performance obligation has been satisfied or when the sales occur. Unlike other contingency payments, such as regulatory milestones, sales-based milestones are not included in the transaction price based on estimates at the inception of the contract; instead, they are included when the sales or usage occur.</w:t>
      </w:r>
    </w:p>
    <w:p>
      <w:pPr>
        <w:spacing w:after="0" w:line="18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transaction price in each arrangement is allocated to the identified performance obligations based on the relative standalone selling price (“SSP”) of each distinct performance obligation, which requires judgment. In instances where SSP is not directly observable, such as when a license or service is not sold separately, SSP is determined using information that may include market conditions and other observable inputs. Due to the early stage of the Company’s licensed technology, the license of such technology is typically combined with research and development services and steering committee participation as one performance obligation. In the event that the Company receives non-cash consideration such as consideration in the form of a research license and research support services from the counterparty, the transaction price of a non-monetary exchange that has commercial substance is estimated based on the fair value of the non-cash consideration received, which may be determined through a valuation analysis.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certain cases, the Company’s performance creates an asset that does not have an alternative use to the customer and the Company has an enforceable right to payment at all times for performance completed to date. In these cases,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1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Any consideration payable to the Company’s customers is treated as a reduction to the transaction price and revenue, unless the payment to the customer is in exchange for distinct good and services.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Comprehensive income (loss) represents all changes in stockholders’ equity (deficit) except those resulting from distributions to stockholders. The Company’s non-credit related unrealized gains and losses on investments during the period represent the component of other comprehensive income (loss) that is excluded from the reported net loss.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Customer payments are recorded as deferred revenue upon receipt or when due and may require deferral of revenue recognition to a future period until the Company satisfies its performance obligations under these arrangements. Amounts payable to the Company are recorded as accounts receivable when the Company’s right to consideration is unconditional.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records accrued liabilities for estimated costs of research and development activities conducted by third-party service providers, which include the conduct of preclinical and clinical studies, and contract manufacturing activities. The Company records the estimated costs of research and development activities based upon the estimated amount of services provided but not yet invoiced, and includes these costs in accrued liabilities in the balance sheets and within research and development expense in the statements of operations. These costs are a significant component of the Company’s research and development expenses. The Company accrues for these costs based on factors such as estimates of the work completed and in accordance with agreements established with its third-party service providers under the service agreements. The Company makes significant judgments and estimates in determining the accrued liabilities balance in each reporting period. As actual costs become known, the Company adjusts its accrued liabilities. The Company has not experienced any material differences between accrued costs and actual costs incurred. However, the status and timing of actual services performed may vary from the Company’s estimates, resulting in adjustments to expense in future periods. Changes in these estimates that result in material changes to the Company’s accruals could materially affect the Company’s results of operations.</w:t>
      </w:r>
    </w:p>
    <w:p>
      <w:pPr>
        <w:spacing w:after="0" w:line="1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include costs directly attributable to the conduct of research and development programs, including the cost of salaries, payroll taxes, employee benefits, materials, supplies, depreciation on and maintenance of research equipment, the cost of services provided by outside contractors, and the allocated portions of facility costs, such as rent, utilities, insurance, repairs and maintenance, depreciation, and general support services. All costs associated with research and development are expensed as incurred.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 measures compensation expense for all stock-based payment awards, including employee stock options, restricted stock units ("RSUs"), and employee stock purchases related to Employee Stock Purchase Plan ("ESPP") based on estimated fair values of the award at the grant date, and recognizes compensation expense over the requisite service vesting period. Stock options forfeitures are accounted for in the period in which they occur.</w:t>
      </w:r>
    </w:p>
    <w:p>
      <w:pPr>
        <w:spacing w:after="0" w:line="176"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To determine the fair value of a stock option award on the grant date, the Company uses the Black-Scholes option pricing model which consist of estimating variables such as the following. These estimates involve inherent uncertainties and the application of judgment.</w:t>
      </w:r>
    </w:p>
    <w:p>
      <w:pPr>
        <w:spacing w:after="0" w:line="160"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of stock options represents the period that the stock options are expected to remain outstanding and is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historical exercise experience with previously issued employee and board of directors' option grants. The expected term of the ESPP shares is equal to the six-month look-back period.</w:t>
      </w:r>
    </w:p>
    <w:p>
      <w:pPr>
        <w:spacing w:after="0" w:line="173"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expected stock price volatility for the Company’s stock options is based on the historical stock price volatility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commensurate with the estimated expected term of the stock awards. Volatility for ESPP shares is equal to the Company’s historical volatility over a six-month offering period.</w:t>
      </w:r>
    </w:p>
    <w:p>
      <w:pPr>
        <w:spacing w:after="0" w:line="17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U.S. Treasury yield with a maturity equal to the expected term of the stock options in effect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time of grant.</w:t>
      </w:r>
    </w:p>
    <w:p>
      <w:pPr>
        <w:spacing w:after="0" w:line="158"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 yield. </w:t>
      </w:r>
      <w:r>
        <w:rPr>
          <w:rFonts w:ascii="Times New Roman" w:cs="Times New Roman" w:eastAsia="Times New Roman" w:hAnsi="Times New Roman"/>
          <w:sz w:val="18"/>
          <w:szCs w:val="18"/>
          <w:color w:val="auto"/>
        </w:rPr>
        <w:t>The expected dividend is assumed to be zero as the Company has never paid dividends and has no current plan to pay any dividends on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w:t>
      </w:r>
    </w:p>
    <w:p>
      <w:pPr>
        <w:spacing w:after="0" w:line="16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 measures its restricted stock unit awards based on the market price of the Company’s common shares on the date of grant. Share-based compensation expense for performance-based awards is recognized when it becomes probable that the performance condition will be met. The Company reassesses the estimated probability at each reporting period, and if it is determined at a future date that a performance condition is probable of being achieved, the Company will recognize a cumulative catch-up adjustment and record the remaining expense ratably over the remaining requisite service period.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using an asset and liability approach. Deferred tax assets and liabilities reflect the net tax effects of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Company records a valuation allowance to reduce its deferred tax assets to reflect the net amount that it believes as more likely than not to be realized. Realization of the deferred tax assets is dependent on the generation of future taxable income, the amount and timing of which are uncertain. The valuation allowance requires an assessment of both positive and negative evidence when determining whether it is more likely than not that deferred tax assets are recoverable. Based upon the weight of available evidence at December 31, 2024, the Company continues to maintain a full valuation allowance against all of its deferred tax assets.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recognizes the tax effects of an uncertain tax position only if it is more likely than not that it will be sustained based solely on its technical merits as of the reporting date and only in an amount more likely than not that it will be sustained upon review by the tax authorities. The Company evaluates uncertain tax positions on a quarterly basis and adjust the liability for changes in facts and circumstances, such as new regulations or interpretations by the taxing authorities, new information obtained during a tax examination, significant amendment to an existing tax law, or resolution of an examination. To the extent that the final tax outcome of these matters is different than the amounts recorded, such differences will impact the income tax provision in the period in which such determination is made. The resolution of its uncertain income tax positions is dependent on uncontrollable factors such as law changes, new case law, and the willingness of the income tax authorities to settle, including the timing thereof and other factors. Interest and/or penalties related to income tax matters are recognized as a component of income tax expense.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Operating leases are recorded as operating lease right-of-use (“ROU”) assets and operating lease liabilities in the Company’s balance sheet. ROU assets represent the Company’s right to use an underlying asset for the lease term and lease liabilities represent its obligation to make lease payments arising from the lease. Operating lease ROU assets and liabilities are recognized at commencement date based on the present value of lease payments over the lease term. The Company uses an implicit rate when readily available, or its incremental borrowing rate based on the information available at lease commencement date in determining the present value of lease payments. The operating lease ROU assets also include any lease prepayments made and reduced by lease incentives. The Company’s lease terms may include options to extend the lease when it is reasonably certain that such option will be exercised. Lease expenses are recognized on a straight-line basis over the lease term. The Company elected the short-term lease recognition exemption. The Company’s operating lease arrangement includes lease and non-lease components which are generally accounted for separately.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("ASU 2024-03"), which enhances transparency in income statement disclosures. ASU 2024-03 requires entities to disclose detailed information about specific components of income statement expenses, such as employee compensation, depreciation, and amortization, as well as other significant expense categories. The objective is to provide financial statement users with greater insight into the nature and variability of expenses, improving their ability to analyze financial performance and make informed decisions. This update applies to all entities, with public entities required to provide both quantitative and qualitative disclosures, while private entities may follow simplified disclosure requirements. The amendments are effective for fiscal years beginning after December 15, 2025, with early adoption permitted.</w:t>
      </w:r>
    </w:p>
    <w:p>
      <w:pPr>
        <w:spacing w:after="0" w:line="8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enhances transparency in income tax disclosures. ASU 2023-09 require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ASU 2023-09 also requires entities to disclose their income tax payments to international, federal, state and local jurisdictions, among other changes. The Company will adopt the ASU for its 2025 Form 10-K on a prospective basis. The Company is evaluating the impact on its financial statements.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Income (Loss) Per Share</w:t>
      </w:r>
    </w:p>
    <w:p>
      <w:pPr>
        <w:spacing w:after="0" w:line="243"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Basic net income (loss) per share is calculated by dividing the net income (loss) by the weighted-average number of shares of common stock outstanding for the period. Diluted net income (loss) per share is calculated using the weighted-average number of common shares outstanding, plus potential dilutive common stock during the period. Diluted net loss per share is the same as basic net loss per share in the period when the effect of the potentially dilutive securities is anti-dilutive. The pre-funded warrants are included in both the basic and diluted EPS calculation.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income (loss) per share: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9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120" w:type="dxa"/>
            <w:vAlign w:val="bottom"/>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31,869</w:t>
            </w:r>
          </w:p>
        </w:tc>
        <w:tc>
          <w:tcPr>
            <w:tcW w:w="106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(569 )</w:t>
            </w:r>
          </w:p>
        </w:tc>
        <w:tc>
          <w:tcPr>
            <w:tcW w:w="0" w:type="dxa"/>
            <w:vAlign w:val="bottom"/>
          </w:tcPr>
          <w:p>
            <w:pPr>
              <w:spacing w:after="0"/>
              <w:rPr>
                <w:sz w:val="1"/>
                <w:szCs w:val="1"/>
                <w:color w:val="auto"/>
              </w:rPr>
            </w:pPr>
          </w:p>
        </w:tc>
      </w:tr>
      <w:tr>
        <w:trPr>
          <w:trHeight w:val="237"/>
        </w:trPr>
        <w:tc>
          <w:tcPr>
            <w:tcW w:w="694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77,516,177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66,655,971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Weighted-average pre-funded warrants</w:t>
            </w:r>
          </w:p>
        </w:tc>
        <w:tc>
          <w:tcPr>
            <w:tcW w:w="1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6,923,126</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7,152,266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94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Weighted-average common shares outstanding used to calculate basic net income (loss) per</w:t>
            </w:r>
          </w:p>
        </w:tc>
        <w:tc>
          <w:tcPr>
            <w:tcW w:w="112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6"/>
              </w:rPr>
              <w:t>84,439,303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73,808,237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9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share</w:t>
            </w:r>
          </w:p>
        </w:tc>
        <w:tc>
          <w:tcPr>
            <w:tcW w:w="1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9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Weighted-average common shares outstanding used to calculate basic net income (loss)</w:t>
            </w:r>
          </w:p>
        </w:tc>
        <w:tc>
          <w:tcPr>
            <w:tcW w:w="1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 share</w:t>
            </w:r>
          </w:p>
        </w:tc>
        <w:tc>
          <w:tcPr>
            <w:tcW w:w="1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84,439,303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73,808,237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Effect of potentially dilutive securities:</w:t>
            </w:r>
          </w:p>
        </w:tc>
        <w:tc>
          <w:tcPr>
            <w:tcW w:w="1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Stock options, ESPP &amp; RSUs</w:t>
            </w:r>
          </w:p>
        </w:tc>
        <w:tc>
          <w:tcPr>
            <w:tcW w:w="1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6940" w:type="dxa"/>
            <w:vAlign w:val="bottom"/>
            <w:shd w:val="clear" w:color="auto" w:fill="CFF0FC"/>
          </w:tcPr>
          <w:p>
            <w:pPr>
              <w:ind w:left="120"/>
              <w:spacing w:after="0" w:line="191" w:lineRule="exact"/>
              <w:rPr>
                <w:sz w:val="20"/>
                <w:szCs w:val="20"/>
                <w:color w:val="auto"/>
              </w:rPr>
            </w:pPr>
            <w:r>
              <w:rPr>
                <w:rFonts w:ascii="Times New Roman" w:cs="Times New Roman" w:eastAsia="Times New Roman" w:hAnsi="Times New Roman"/>
                <w:sz w:val="18"/>
                <w:szCs w:val="18"/>
                <w:color w:val="auto"/>
              </w:rPr>
              <w:t>Weighted-average common shares outstanding used to calculate diluted net income (loss)</w:t>
            </w:r>
          </w:p>
        </w:tc>
        <w:tc>
          <w:tcPr>
            <w:tcW w:w="112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84,745,116</w:t>
            </w:r>
          </w:p>
        </w:tc>
        <w:tc>
          <w:tcPr>
            <w:tcW w:w="100" w:type="dxa"/>
            <w:vAlign w:val="bottom"/>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2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73,808,237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40" w:type="dxa"/>
            <w:vAlign w:val="bottom"/>
            <w:tcBorders>
              <w:bottom w:val="single" w:sz="8" w:color="CFF0FC"/>
            </w:tcBorders>
            <w:shd w:val="clear" w:color="auto" w:fill="CFF0FC"/>
          </w:tcPr>
          <w:p>
            <w:pPr>
              <w:ind w:left="120"/>
              <w:spacing w:after="0" w:line="194" w:lineRule="exact"/>
              <w:rPr>
                <w:sz w:val="20"/>
                <w:szCs w:val="20"/>
                <w:color w:val="auto"/>
              </w:rPr>
            </w:pPr>
            <w:r>
              <w:rPr>
                <w:rFonts w:ascii="Times New Roman" w:cs="Times New Roman" w:eastAsia="Times New Roman" w:hAnsi="Times New Roman"/>
                <w:sz w:val="18"/>
                <w:szCs w:val="18"/>
                <w:color w:val="auto"/>
              </w:rPr>
              <w:t>per share</w:t>
            </w:r>
          </w:p>
        </w:tc>
        <w:tc>
          <w:tcPr>
            <w:tcW w:w="11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 basic and diluted</w:t>
            </w:r>
          </w:p>
        </w:tc>
        <w:tc>
          <w:tcPr>
            <w:tcW w:w="1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6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(0.01 )</w:t>
            </w:r>
          </w:p>
        </w:tc>
        <w:tc>
          <w:tcPr>
            <w:tcW w:w="0" w:type="dxa"/>
            <w:vAlign w:val="bottom"/>
          </w:tcPr>
          <w:p>
            <w:pPr>
              <w:spacing w:after="0"/>
              <w:rPr>
                <w:sz w:val="1"/>
                <w:szCs w:val="1"/>
                <w:color w:val="auto"/>
              </w:rPr>
            </w:pPr>
          </w:p>
        </w:tc>
      </w:tr>
      <w:tr>
        <w:trPr>
          <w:trHeight w:val="243"/>
        </w:trPr>
        <w:tc>
          <w:tcPr>
            <w:tcW w:w="6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120" w:type="dxa"/>
            <w:vAlign w:val="bottom"/>
            <w:shd w:val="clear" w:color="auto" w:fill="CFF0FC"/>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shd w:val="clear" w:color="auto" w:fill="CFF0FC"/>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-1876425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-607695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-590550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weighted-average outstanding shares of potentially dilutive securities are excluded from the computation of diluted net loss per share for the periods presented, because including them would have been anti-dilutive:</w:t>
      </w:r>
    </w:p>
    <w:p>
      <w:pPr>
        <w:spacing w:after="0" w:line="169"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00" w:type="dxa"/>
            <w:vAlign w:val="bottom"/>
          </w:tcPr>
          <w:p>
            <w:pPr>
              <w:spacing w:after="0"/>
              <w:rPr>
                <w:sz w:val="13"/>
                <w:szCs w:val="13"/>
                <w:color w:val="auto"/>
              </w:rPr>
            </w:pP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120" w:type="dxa"/>
            <w:vAlign w:val="bottom"/>
            <w:tcBorders>
              <w:top w:val="single" w:sz="8" w:color="auto"/>
              <w:bottom w:val="single" w:sz="8" w:color="auto"/>
            </w:tcBorders>
          </w:tcPr>
          <w:p>
            <w:pPr>
              <w:jc w:val="right"/>
              <w:ind w:right="839"/>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3"/>
                <w:szCs w:val="13"/>
                <w:color w:val="auto"/>
              </w:rPr>
            </w:pPr>
          </w:p>
        </w:tc>
      </w:tr>
      <w:tr>
        <w:trPr>
          <w:trHeight w:val="209"/>
        </w:trPr>
        <w:tc>
          <w:tcPr>
            <w:tcW w:w="78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and ESPP to purchase common stock</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14,452,982</w:t>
            </w:r>
          </w:p>
        </w:tc>
        <w:tc>
          <w:tcPr>
            <w:tcW w:w="2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13,805,472</w:t>
            </w:r>
          </w:p>
        </w:tc>
        <w:tc>
          <w:tcPr>
            <w:tcW w:w="120" w:type="dxa"/>
            <w:vAlign w:val="bottom"/>
            <w:shd w:val="clear" w:color="auto" w:fill="CFF0FC"/>
          </w:tcPr>
          <w:p>
            <w:pPr>
              <w:spacing w:after="0"/>
              <w:rPr>
                <w:sz w:val="18"/>
                <w:szCs w:val="18"/>
                <w:color w:val="auto"/>
              </w:rPr>
            </w:pPr>
          </w:p>
        </w:tc>
      </w:tr>
      <w:tr>
        <w:trPr>
          <w:trHeight w:val="216"/>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11,538,462</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5,675,167</w:t>
            </w:r>
          </w:p>
        </w:tc>
        <w:tc>
          <w:tcPr>
            <w:tcW w:w="120" w:type="dxa"/>
            <w:vAlign w:val="bottom"/>
          </w:tcPr>
          <w:p>
            <w:pPr>
              <w:spacing w:after="0"/>
              <w:rPr>
                <w:sz w:val="18"/>
                <w:szCs w:val="18"/>
                <w:color w:val="auto"/>
              </w:rPr>
            </w:pPr>
          </w:p>
        </w:tc>
      </w:tr>
      <w:tr>
        <w:trPr>
          <w:trHeight w:val="216"/>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227,925</w:t>
            </w:r>
          </w:p>
        </w:tc>
        <w:tc>
          <w:tcPr>
            <w:tcW w:w="280" w:type="dxa"/>
            <w:vAlign w:val="bottom"/>
            <w:tcBorders>
              <w:bottom w:val="single" w:sz="8" w:color="CFF0FC"/>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1,820,589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26,219,369</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21,301,228</w:t>
            </w:r>
          </w:p>
        </w:tc>
        <w:tc>
          <w:tcPr>
            <w:tcW w:w="120" w:type="dxa"/>
            <w:vAlign w:val="bottom"/>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-170815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 and Investments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accordance with Accounting Standards Codification (“ASC”) 820-10, Fair Value Measurements and Disclosures, the Company determines the fair value of financial and non-financial assets and liabilities using the fair value hierarchy, which establishes three levels of inputs that may be used to measure fair value, as follows:</w:t>
      </w:r>
    </w:p>
    <w:p>
      <w:pPr>
        <w:spacing w:after="0" w:line="68"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Inputs which include quoted prices in active markets for identical assets and liabilities.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66"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5" w:lineRule="exact"/>
        <w:rPr>
          <w:sz w:val="20"/>
          <w:szCs w:val="20"/>
          <w:color w:val="auto"/>
        </w:rPr>
      </w:pPr>
    </w:p>
    <w:p>
      <w:pPr>
        <w:ind w:left="1020" w:right="54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III: Unobservable inputs that are supported by little or no market activity and that are significant to the fair value of the assets or liabilities.</w:t>
      </w:r>
    </w:p>
    <w:p>
      <w:pPr>
        <w:spacing w:after="0" w:line="16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including restricted cash, accounts receivable, accounts payable and accrued liabilities approximate fair value due to their relatively short maturities. The Company’s financial instruments consist of Level I and Level II assets which consist primarily of highly liquid money market funds, some of which are included in restricted cash and U.S. Treasury securities that are included in cash equivalent or short-term investments.</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fair value of the Company’s investments subject to fair value measurements on a recurring basis and the level of inputs used in such measurements: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17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8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jc w:val="center"/>
              <w:ind w:right="117"/>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1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200" w:type="dxa"/>
            <w:vAlign w:val="bottom"/>
          </w:tcPr>
          <w:p>
            <w:pPr>
              <w:spacing w:after="0"/>
              <w:rPr>
                <w:sz w:val="15"/>
                <w:szCs w:val="15"/>
                <w:color w:val="auto"/>
              </w:rPr>
            </w:pPr>
          </w:p>
        </w:tc>
        <w:tc>
          <w:tcPr>
            <w:tcW w:w="10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Level I</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 (money market funds)</w:t>
            </w:r>
          </w:p>
        </w:tc>
        <w:tc>
          <w:tcPr>
            <w:tcW w:w="178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7"/>
              </w:rPr>
              <w:t>Level I</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Level II</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72,503</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9"/>
              </w:rPr>
              <w:t>27</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101,843</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9"/>
              </w:rPr>
              <w:t>27</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5080" w:type="dxa"/>
            <w:vAlign w:val="bottom"/>
            <w:tcBorders>
              <w:top w:val="single" w:sz="8" w:color="CFF0FC"/>
            </w:tcBorders>
          </w:tcPr>
          <w:p>
            <w:pPr>
              <w:spacing w:after="0"/>
              <w:rPr>
                <w:sz w:val="24"/>
                <w:szCs w:val="24"/>
                <w:color w:val="auto"/>
              </w:rPr>
            </w:pPr>
          </w:p>
        </w:tc>
        <w:tc>
          <w:tcPr>
            <w:tcW w:w="1780" w:type="dxa"/>
            <w:vAlign w:val="bottom"/>
            <w:tcBorders>
              <w:top w:val="single" w:sz="8" w:color="CFF0FC"/>
              <w:bottom w:val="single" w:sz="8" w:color="CFF0FC"/>
            </w:tcBorders>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2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FF0FC"/>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Borders>
              <w:top w:val="single" w:sz="8" w:color="CFF0FC"/>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08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jc w:val="center"/>
              <w:ind w:right="117"/>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1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200" w:type="dxa"/>
            <w:vAlign w:val="bottom"/>
          </w:tcPr>
          <w:p>
            <w:pPr>
              <w:spacing w:after="0"/>
              <w:rPr>
                <w:sz w:val="15"/>
                <w:szCs w:val="15"/>
                <w:color w:val="auto"/>
              </w:rPr>
            </w:pPr>
          </w:p>
        </w:tc>
        <w:tc>
          <w:tcPr>
            <w:tcW w:w="10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Level I</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 (money market funds)</w:t>
            </w:r>
          </w:p>
        </w:tc>
        <w:tc>
          <w:tcPr>
            <w:tcW w:w="178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7"/>
              </w:rPr>
              <w:t>Level I</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Level II</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157,243</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9"/>
              </w:rPr>
              <w:t>95</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175,269</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9"/>
              </w:rPr>
              <w:t>95</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175,364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-1293495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-1276985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-1293495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-1276985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-1276985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remaining contractual terms of the U.S. Treasury securities are less than a year.</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7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7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7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6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20" w:type="dxa"/>
            <w:vAlign w:val="bottom"/>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920" w:type="dxa"/>
            <w:vAlign w:val="bottom"/>
            <w:gridSpan w:val="2"/>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14,525</w:t>
            </w: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14,119</w:t>
            </w:r>
          </w:p>
        </w:tc>
        <w:tc>
          <w:tcPr>
            <w:tcW w:w="100" w:type="dxa"/>
            <w:vAlign w:val="bottom"/>
            <w:shd w:val="clear" w:color="auto" w:fill="CFF0FC"/>
          </w:tcPr>
          <w:p>
            <w:pPr>
              <w:spacing w:after="0"/>
              <w:rPr>
                <w:sz w:val="18"/>
                <w:szCs w:val="18"/>
                <w:color w:val="auto"/>
              </w:rPr>
            </w:pP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5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Pr>
          <w:p>
            <w:pPr>
              <w:spacing w:after="0"/>
              <w:rPr>
                <w:sz w:val="18"/>
                <w:szCs w:val="18"/>
                <w:color w:val="auto"/>
              </w:rPr>
            </w:pPr>
          </w:p>
        </w:tc>
      </w:tr>
      <w:tr>
        <w:trPr>
          <w:trHeight w:val="216"/>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5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shd w:val="clear" w:color="auto" w:fill="CFF0FC"/>
          </w:tcPr>
          <w:p>
            <w:pPr>
              <w:spacing w:after="0"/>
              <w:rPr>
                <w:sz w:val="18"/>
                <w:szCs w:val="18"/>
                <w:color w:val="auto"/>
              </w:rPr>
            </w:pP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tcPr>
          <w:p>
            <w:pPr>
              <w:spacing w:after="0"/>
              <w:rPr>
                <w:sz w:val="18"/>
                <w:szCs w:val="18"/>
                <w:color w:val="auto"/>
              </w:rPr>
            </w:pPr>
          </w:p>
        </w:tc>
      </w:tr>
      <w:tr>
        <w:trPr>
          <w:trHeight w:val="216"/>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50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FF0FC"/>
          </w:tcPr>
          <w:p>
            <w:pPr>
              <w:spacing w:after="0"/>
              <w:rPr>
                <w:sz w:val="18"/>
                <w:szCs w:val="18"/>
                <w:color w:val="auto"/>
              </w:rPr>
            </w:pPr>
          </w:p>
        </w:tc>
      </w:tr>
      <w:tr>
        <w:trPr>
          <w:trHeight w:val="210"/>
        </w:trPr>
        <w:tc>
          <w:tcPr>
            <w:tcW w:w="6740" w:type="dxa"/>
            <w:vAlign w:val="bottom"/>
            <w:tcBorders>
              <w:top w:val="single" w:sz="8" w:color="CFF0FC"/>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18,698</w:t>
            </w:r>
          </w:p>
        </w:tc>
        <w:tc>
          <w:tcPr>
            <w:tcW w:w="340" w:type="dxa"/>
            <w:vAlign w:val="bottom"/>
            <w:tcBorders>
              <w:top w:val="single" w:sz="8" w:color="CFF0FC"/>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18,646</w:t>
            </w:r>
          </w:p>
        </w:tc>
        <w:tc>
          <w:tcPr>
            <w:tcW w:w="100" w:type="dxa"/>
            <w:vAlign w:val="bottom"/>
            <w:tcBorders>
              <w:top w:val="single" w:sz="8" w:color="CFF0FC"/>
            </w:tcBorders>
          </w:tcPr>
          <w:p>
            <w:pPr>
              <w:spacing w:after="0"/>
              <w:rPr>
                <w:sz w:val="18"/>
                <w:szCs w:val="18"/>
                <w:color w:val="auto"/>
              </w:rPr>
            </w:pPr>
          </w:p>
        </w:tc>
      </w:tr>
      <w:tr>
        <w:trPr>
          <w:trHeight w:val="216"/>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50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(16,231 )</w:t>
            </w:r>
          </w:p>
        </w:tc>
        <w:tc>
          <w:tcPr>
            <w:tcW w:w="5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(14,688 )</w:t>
            </w:r>
          </w:p>
        </w:tc>
      </w:tr>
      <w:tr>
        <w:trPr>
          <w:trHeight w:val="210"/>
        </w:trPr>
        <w:tc>
          <w:tcPr>
            <w:tcW w:w="6740" w:type="dxa"/>
            <w:vAlign w:val="bottom"/>
            <w:tcBorders>
              <w:top w:val="single" w:sz="8" w:color="CFF0FC"/>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340" w:type="dxa"/>
            <w:vAlign w:val="bottom"/>
            <w:tcBorders>
              <w:top w:val="single" w:sz="8" w:color="CFF0FC"/>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100" w:type="dxa"/>
            <w:vAlign w:val="bottom"/>
            <w:tcBorders>
              <w:top w:val="single" w:sz="8" w:color="CFF0FC"/>
            </w:tcBorders>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-453390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-170815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was $1.6 million and $2.0 million for the years ended December 31, 2024 and 2023,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Intangible Asset</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intangible asset is being amortized over the estimated lives of the patents which average 12 years. The amortization expense for each of the years ended December 31, 2024 and 2023 was $0.1 million.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7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7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6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PROBODY platform intangible asset</w:t>
            </w:r>
          </w:p>
        </w:tc>
        <w:tc>
          <w:tcPr>
            <w:tcW w:w="940" w:type="dxa"/>
            <w:vAlign w:val="bottom"/>
            <w:shd w:val="clear" w:color="auto" w:fill="CFF0FC"/>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shd w:val="clear" w:color="auto" w:fill="CFF0FC"/>
          </w:tcPr>
          <w:p>
            <w:pPr>
              <w:spacing w:after="0"/>
              <w:rPr>
                <w:sz w:val="21"/>
                <w:szCs w:val="21"/>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940" w:type="dxa"/>
            <w:vAlign w:val="bottom"/>
          </w:tcPr>
          <w:p>
            <w:pPr>
              <w:spacing w:after="0"/>
              <w:rPr>
                <w:sz w:val="18"/>
                <w:szCs w:val="18"/>
                <w:color w:val="auto"/>
              </w:rPr>
            </w:pPr>
          </w:p>
        </w:tc>
        <w:tc>
          <w:tcPr>
            <w:tcW w:w="9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(1,167 )</w:t>
            </w:r>
          </w:p>
        </w:tc>
        <w:tc>
          <w:tcPr>
            <w:tcW w:w="9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(1,021 )</w:t>
            </w:r>
          </w:p>
        </w:tc>
      </w:tr>
      <w:tr>
        <w:trPr>
          <w:trHeight w:val="249"/>
        </w:trPr>
        <w:tc>
          <w:tcPr>
            <w:tcW w:w="77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561"/>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Accrued Liabilities</w:t>
            </w: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77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72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2"/>
          </w:tcPr>
          <w:p>
            <w:pPr>
              <w:jc w:val="right"/>
              <w:ind w:right="576"/>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clinical expenses</w:t>
            </w:r>
          </w:p>
        </w:tc>
        <w:tc>
          <w:tcPr>
            <w:tcW w:w="940" w:type="dxa"/>
            <w:vAlign w:val="bottom"/>
            <w:shd w:val="clear" w:color="auto" w:fill="CFF0FC"/>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8,581</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Legal and professional expenses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8"/>
                <w:szCs w:val="18"/>
                <w:color w:val="auto"/>
              </w:rPr>
            </w:pPr>
          </w:p>
        </w:tc>
      </w:tr>
      <w:tr>
        <w:trPr>
          <w:trHeight w:val="249"/>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FF0FC"/>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12,338</w:t>
            </w:r>
          </w:p>
        </w:tc>
        <w:tc>
          <w:tcPr>
            <w:tcW w:w="2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17,599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561"/>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Collaboration and License Agreements</w:t>
            </w: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revenue by collaboration partner:</w:t>
            </w: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7720" w:type="dxa"/>
            <w:vAlign w:val="bottom"/>
          </w:tcPr>
          <w:p>
            <w:pPr>
              <w:spacing w:after="0"/>
              <w:rPr>
                <w:sz w:val="24"/>
                <w:szCs w:val="24"/>
                <w:color w:val="auto"/>
              </w:rPr>
            </w:pPr>
          </w:p>
        </w:tc>
        <w:tc>
          <w:tcPr>
            <w:tcW w:w="2800" w:type="dxa"/>
            <w:vAlign w:val="bottom"/>
            <w:tcBorders>
              <w:bottom w:val="single" w:sz="8" w:color="auto"/>
            </w:tcBorders>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72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2"/>
          </w:tcPr>
          <w:p>
            <w:pPr>
              <w:jc w:val="right"/>
              <w:ind w:right="576"/>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AbbVie</w:t>
            </w:r>
          </w:p>
        </w:tc>
        <w:tc>
          <w:tcPr>
            <w:tcW w:w="940" w:type="dxa"/>
            <w:vAlign w:val="bottom"/>
            <w:shd w:val="clear" w:color="auto" w:fill="CFF0FC"/>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Amgen</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Astellas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29,378</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24,453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Bristol Myers Squibb</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77,960</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Regeneron</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10,830</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Moderna</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16,881</w:t>
            </w:r>
          </w:p>
        </w:tc>
        <w:tc>
          <w:tcPr>
            <w:tcW w:w="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10,840</w:t>
            </w:r>
          </w:p>
        </w:tc>
        <w:tc>
          <w:tcPr>
            <w:tcW w:w="100" w:type="dxa"/>
            <w:vAlign w:val="bottom"/>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940" w:type="dxa"/>
            <w:vAlign w:val="bottom"/>
            <w:tcBorders>
              <w:bottom w:val="single" w:sz="8" w:color="auto"/>
            </w:tcBorders>
            <w:shd w:val="clear" w:color="auto" w:fill="CFF0FC"/>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138,103</w:t>
            </w:r>
          </w:p>
        </w:tc>
        <w:tc>
          <w:tcPr>
            <w:tcW w:w="2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101,214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-3771265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-3754120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-3771265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-3754120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-2039620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-2022475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AbbVie Ireland Unlimited Company</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April 2016, the Company and AbbVie entered into two agreements, a CD71 Co-Development and Licensing Agreement (the “CD71 Agreement”) and a Discovery Collaboration and Licensing Agreement (as amended and restated in June 2019, the “Discovery Agreement” and together with the CD71 Agreement the “AbbVie Agreements”). Under the terms of the CD71 Agreement, the Company and AbbVie were co-developing a conditionally activated antibody-drug conjugate (“ADC”), CX-2029, against CD71, with the Company being responsible for preclinical and early clinical development. AbbVie was to be responsible for later development and commercialization, with global late-stage development costs shared between the two companies.</w:t>
      </w:r>
    </w:p>
    <w:p>
      <w:pPr>
        <w:spacing w:after="0" w:line="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Under the CD71 Agreement, the Company has received in aggregate $100.0 million in upfront and milestone payments. AbbVie had entered into a license agreement with Seattle Genetics, Inc. (“SGEN”) to license certain intellectual property rights pursuant to which the Company was required to pay SGEN sublicense fees for certain milestone achievements and an annual maintenance fee. These sublicense fees were treated as reductions to the transaction price and combined with the performance obligation to which they relate.</w:t>
      </w:r>
    </w:p>
    <w:p>
      <w:pPr>
        <w:spacing w:after="0" w:line="7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March 2023, the Company announced that it would evaluate the potential next steps for CX-2029 following the decision from AbbVie, to not advance CX-2029 into additional clinical studies. As a result of AbbVie’s decision, the 2016 CD71 License and Collaboration Agreement was terminated in May 2023 and the Company re-acquired full rights to CX-2029. The Company has completed the performance obligation under the CD71 Agreement as of March 31, 2023 and recognized the related remaining deferred revenue of $4.0 million in the first quarter of 2023.</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2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the terms of the Discovery Agreement, AbbVie received exclusive worldwide rights to develop and commercialize conditionally activated ADCs against up to two targets, one of which was selected in March 2017. Under the Discovery Agreement, the Company received an upfront payment of $10.0 million for the first target in April 2016 and subsequently received an additional $10.0 million payment triggered by selection of the second target by AbbVie in June 2019. In December 2022, the research on the two discovery targets under the Discovery Agreement concluded with no plans to advance the discovery targets into clinical studies or to pursue new programs. The Discovery Agreement was also terminated and all target rights have reverted back to CytomX.</w:t>
      </w:r>
    </w:p>
    <w:p>
      <w:pPr>
        <w:spacing w:after="0" w:line="18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August 2023, the Company entered into a Transition Agreement (the “Transition Agreement”) with AbbVie Global Enterprises Ltd. ("AbbVie Global", an affiliate entity of AbbVie), pursuant to which the Company regained exclusive worldwide rights to develop CX-2029, a CD71-targeting conditionally activated antibody drug conjugate. The Transition Agreement supersedes the CD71 Agreement that was terminated in May 2023, and grants certain intellectual property rights from AbbVie Global to enable the continued development of CX-2029 by the Company for all human and nonhuman diagnostic, prophylactic, and therapeutic uses. Pursuant to the Transition Agreement, AbbVie Global is eligible to receive tiered sales royalties for CX-2029 ranging from the low-to-mid single digit percentages. In the fourth quarter of 2023, the Company decided to not to make any further substantial investments in the CX-2029 program.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Amgen, Inc.</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September 29, 2017, the Company and Amgen, Inc. (“Amgen”) entered into a Collaboration and License Agreement (the “Amgen Agreement”). Pursuant to the Amgen Agreement, the Company received an upfront payment of $40.0 million in October 2017. Concurrent with the Amgen Agreement, the Company and Amgen entered into a Share Purchase Agreement pursuant to which Amgen purchased 1,156,069 shares of the Company’s common stock at a price of $17.30 per share for total proceeds of $20.0 million.</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October 2021, CytomX and Amgen executed an amendment to the Amgen Agreement primarily to (1) extend the target selection date for Amgen to select its additional targets for research and development, and (2) reduce the total number of milestone events and increase the total amount of milestone payments for EGFR Products. In each of May 2023 and March 2024, CytomX and Amgen executed an amendment to the Amgen Agreement to extend the target selection period for Amgen to select its additional targets, by March 31, 2025 based on the latest extension, for research and development as further discussed below.</w:t>
      </w:r>
    </w:p>
    <w:p>
      <w:pPr>
        <w:spacing w:after="0" w:line="18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Under the terms of the Amgen Agreement, as amended, the Company and Amgen were co-developing a conditionally activated T-cell engager (“TCE”) targeting epidermal growth factor receptor (the “EGFR Products”). The Company was responsible for early-stage development of EGFR Products and Amgen was to be responsible for late-stage development and commercialization of EGFR Products. Following potential advancement beyond early-stage development, the Company had the right to elect to participate financially in the global co-development of EGFR Products with Amgen, during which the Company would have been responsible for a certain percentage of the worldwide development costs for EGFR Products and Amgen would have been responsible for the rest of such costs (the “EGFR Co-Development Option”). If the Company had exercised its EGFR Co-Development Option, the Company would have been entitled to share in somewhat less than 50% of the profit and losses from sales of such EGFR Products in the U.S., subject to certain caps, offsets, and deferrals. If the Company had chosen not to exercise its EGFR Co-Development Option, the Company would not have been responsible for any costs of later stage development. The Company was also eligible to receive up to $460.0 million in development, regulatory, and commercial milestone payments for EGFR Products, and royalties in the low-double-digit to mid-teen percentage of worldwide commercial sales, provided that if the Company had exercised its EGFR Co-Development option, it would have received a profit and loss split of sales in the United States and royalties in the low-double-digit to mid-teen percentage of commercial sales outside of the United States. In January 2022, the IND for the EGFR product (CX-904) was allowed to proceed by the U.S. Food and Drug Administration (“FDA”) and the program progressed into Phase 1 dose escalation. In March 2025, CytomX and Amgen jointly decided to not continue CX-904 development and Amgen terminated its license to the EGFR Products.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2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Amgen also had the right to select a total of up to three targets, including the two additional targets discussed below. The Company and Amgen collaborate in the research and development of conditionally activated T-cell engaging bispecifics therapies directed against such targets. Amgen has selected one such target (the “Amgen Other Product”). If Amgen exercises its option within a specified period of time, it can select two such additional targets (the “Amgen Option Products” and, together with the Amgen Other Product, the “Amgen Products”). Except with respect to preclinical activities to be conducted by CytomX, Amgen will be responsible, at its expense, for the development, manufacture, and commercialization of all Amgen Products. If Amgen exercises all of its options and advances all three of the Amgen Products, CytomX is eligible to receive up to $950.0 million in upfront, development, regulatory, and commercial milestones and tiered high single-digit to low-teen percentage royalties. The Company concluded that, at the inception of the agreement and subsequent amendments, Amgen’s option to select the two additional targets is not a material right and does not represent a performance obligation of the agreement.</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the initiation of the collaboration, CytomX had the option to select from programs specified in the Amgen Agreement, an existing preclinical stage TCE product from the Amgen preclinical pipeline. In March 2018, CytomX selected the program and this program is currently in preclinical development. CytomX is responsible, at its expense, for converting this program to a conditionally activated TCE product, and thereafter, will be responsible for development, manufacturing, and commercialization of the product (“CytomX Product”). Amgen is eligible to receive up to $203.0 million in development, regulatory, and commercial milestone payments for the CytomX Product, and tiered mid-single digit to low double-digit percentage royalties.</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considered the criteria for combining contracts in ASC 606 and determined that the Amgen Agreement and the Purchase Agreement should be combined into one contract. The Company accounted for the Amgen Agreement based on the fair values of the assets and services exchanged.</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each of the EGFR Products and the Amgen Other Products, the Company determined that the respective promised goods and services identified, which are the research, development and commercialization license; the related research and development services and the participation in the joint steering committee and joint research committee, are not distinct. Therefore the identified promised goods and services were combined into one single performance obligation for each of the EGFR Product and the Amgen Other Products.</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Furthermore, the Amgen Other Products are accounted for as a separate performance obligation from the EGFR Products as the nature of the services being performed is not the same and the value that Amgen can derive from one program is not dependent on the success of the other.</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Concurrent with the execution of the Amgen Agreement, the Company entered into a sublicense agreement whereby the Company granted Amgen a sublicense of its rights to one patent family that it co-owns with UCSB, that is exclusively licensed to the Company under the UCSB Agreement covering PROBODY antibodies and other pro-proteins in the fields of therapeutics, in vivo diagnostics and prophylactics. This sublicense was incremental to the patents, patent applications and know-how covering conditionally activated T-cell engaging bispecific molecules that were developed and owned by the Company and licensed to Amgen. Under the UCSB Agreement, as amended, the Company is obligated to make a sublicense payment to UCSB equal to up to 7.5% of certain upfront and milestone payments owed to or received by the Company.</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total transaction price of $51.2 million, consisting of the $40.0 million upfront payment, an estimated fair value of $10.7 million for the CytomX Product and $0.5 million of premium on the sale of the Company’s common stock, was allocated between the two performance obligations based on the relative standalone selling price of each performance obligation. To determine the standalone selling price, the Company used the discounted cash flow method by calculating risk-adjusted net present values of estimated cash flows. The Company determined that the remaining potential milestone payments were fully constrained due to the uncertainty in achieving them as of December 31, 2024.</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Of the $51.2 million total transaction price, the Company allocated $46.4 million to the EGFR Products performance obligation and $4.8 million to the Amgen Other Product performance obligations. The transaction price of each performance obligation was recognized using an input measure. In applying the input method of revenue recognition, the Company uses actual full-time employee ("FTE") hours incurred relative to estimated total FTE hours expected to be incurred for each combined performance obligation over the research service period. At the end of the second quarter of 2019, the Company determined that it would undertake additional testing and assessment of the molecules being evaluated under the EGFR project. As a result, the estimated FTE hours-to-completion and research service period related to the EGFR project were increased to eight years. In the second quarter of 2020, the Company completed the clinical candidate characterization phase and moved into the IND-enabling phase earlier than planned. As a result, the estimated FTE hours-to-completion and research service period related to the EGFR project were decreased from eight to approximately seven years. In the third quarter of 2022, the FDA initiated Project Optimus which is aimed to reform the dose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optimization and dose selection paradigm. As a result, the estimated FTE hours-to-completion and research service period were increased by approximately an additional year.</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$4.8 million transaction price allocated to the Amgen Other Product performance obligation is recognized using estimated FTE hours-to-completion over the estimated research service period of six years.</w:t>
      </w:r>
    </w:p>
    <w:p>
      <w:pPr>
        <w:spacing w:after="0" w:line="162"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The Company evaluates the measure of progress each reporting period using the input method and, if necessary, adjusts the measure of performance and related revenue recognition. As of December 31, 2024 and 2023 deferred revenue related to the EGFR Products performance obligation was $9.7 million and $12.8 million, respectively. Deferred revenue related to the Amgen Other Products performance obligation was immaterial as of December 31, 2024 and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Astellas Pharma Inc.</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and Astellas Pharma, Inc. (“Astellas”) entered into a Collaboration and License Agreement (the “Astellas Agreement”) on March 23, 2020, the effective date, to collaborate on preclinical research activities to discover and develop certain antibody compounds for the treatment of cancer using the Company’s PROBODY therapeutic technology.</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Under the terms of the Astellas Agreement, the Company granted Astellas an exclusive, worldwide right to develop and commercialize PROBODY therapeutics for up to four collaboration targets including one initial target and three additional targets (“Additional Targets”). In addition, Astellas had the right to expand the number of Additional Targets from three up to five (the “Expansion Option”) before the third anniversary of the effective date. Furthermore, for a specified number of targets, at a pre-specified time prior to the initiation of the first pivotal study of a product against such target, the Company may elect to participate in certain development costs and share in the profits generated in the United States with respect to such product (“Cost Share Option”). The Cost Share Option, if exercised, will also provide the option for the Company to co-commercialize such product in the United States. The Company does not consider the Cost Share Option as a performance obligation at the inception of the agreement as participation is at the Company’s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2162175</wp:posOffset>
            </wp:positionH>
            <wp:positionV relativeFrom="paragraph">
              <wp:posOffset>-903605</wp:posOffset>
            </wp:positionV>
            <wp:extent cx="2857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Pursuant to the Astellas Agreement, the consideration from Astellas was comprised of an upfront fee of $80.0 million and total potential contingent payments for development, regulatory and sales milestones of up to an aggregate of approximately $1.6 billion. The Company is also entitled to tiered royalties from high-single digit to mid-teen percentage royalties from potential future sales. Astellas is responsible for all preclinical research costs incurred by either party as set forth in the preclinical research plan and the Company will receive research and development service fees based on a prescribed FTE rate.</w:t>
      </w:r>
    </w:p>
    <w:p>
      <w:pPr>
        <w:spacing w:after="0" w:line="18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determined that the license and expertise related to the development of product candidates should be combined with the research and development services and participation in the joint research committee as one combined performance obligation for each collaboration target. The Company concluded, that at the inception of the agreement, Astellas’ Expansion Option for Additional Targets were not material rights and therefore not considered performance obligations. As such, each option would have been accounted for as a separate arrangement upon exercise.</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initial transaction price of $103.2 million consists of the upfront fee of $80.0 million and estimated research and development fees of $23.2 million. The transaction price was allocated between the four performance obligations based on the relative standalone selling price of each performance obligation, which was deemed to be equal at the inception of the agreement. The Company determined that all potential milestone payments are constrained as of December 31, 2024 due to the significant uncertainty of achievement.</w:t>
      </w:r>
    </w:p>
    <w:p>
      <w:pPr>
        <w:spacing w:after="0" w:line="18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transaction price, as allocated to the combined performance obligation for each target, is recognized using an input measure. In applying the input method of revenue recognition, the Company uses actual FTE hours incurred relative to estimated total FTE hours expected to be incurred over the estimated research service period of each target.</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January 2023, the Company announced that it achieved a clinical candidate milestone under the Astellas Agreement which triggered a $5.0 million milestone payment to the Company which was fully recognized in the first quarter of 2023 as the Company had completed its related performance obligation of the first collaboration target which resulted in the clinical candidate nomination for further development. In March 2024, the Company announced that it achieved the good laboratory practices ("GLPs") toxicology milestone for this candidate which triggered a $5.0 million milestone payment to the Company. The $5.0 million milestone payment was fully recognized in the first quarter of 2024 as the Company had completed its related performance obligation of this first collaboration target. Also, in March 2024, the Company announced that it achieved a clinical candidate milestone for a second collaboration target under the Astellas Agreement which triggered an additional $5.0 million milestone payment to the Company. The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23" w:lineRule="exact"/>
        <w:rPr>
          <w:sz w:val="20"/>
          <w:szCs w:val="20"/>
          <w:color w:val="auto"/>
        </w:rPr>
      </w:pPr>
    </w:p>
    <w:p>
      <w:pPr>
        <w:jc w:val="both"/>
        <w:ind w:right="220"/>
        <w:spacing w:after="0" w:line="282" w:lineRule="auto"/>
        <w:rPr>
          <w:sz w:val="20"/>
          <w:szCs w:val="20"/>
          <w:color w:val="auto"/>
        </w:rPr>
      </w:pPr>
      <w:r>
        <w:rPr>
          <w:rFonts w:ascii="Times New Roman" w:cs="Times New Roman" w:eastAsia="Times New Roman" w:hAnsi="Times New Roman"/>
          <w:sz w:val="18"/>
          <w:szCs w:val="18"/>
          <w:color w:val="auto"/>
        </w:rPr>
        <w:t>$5.0 million milestone payment was fully recognized in the first quarter of 2024 as the Company had completed its related performance obligation of the second collaboration target which resulted in the clinical candidate nomination for further development.</w:t>
      </w:r>
    </w:p>
    <w:p>
      <w:pPr>
        <w:spacing w:after="0" w:line="16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 the first quarter 2025, Astellas initiated GLP toxicology studies for the second collaboration target nominated triggering a $5.0 million milestone payment to CytomX in the first quarter of 2025.</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deferred revenue relating to the Astellas Agreement was $17.4 million and $31.0 million, respectively. The amount due from Astellas under the Astellas Agreement was $1.1 million and $2.2 million as of December 31, 2024 and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Bristol Myers Squibb Company</w:t>
      </w:r>
    </w:p>
    <w:p>
      <w:pPr>
        <w:spacing w:after="0" w:line="12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On May 23, 2014, the Company and Bristol Myers Squibb Company (“Bristol Myers Squibb”) entered into a Collaboration and License Agreement (the “BMS Agreement”) to discover and develop compounds for use in human therapeutics aimed at multiple immuno-oncology targets using the Company’s PROBODY therapeutic technology, including the target CTLA-4. The effective date of the BMS Agreement was July 7, 2014.</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terms of the BMS Agreement, the Company granted Bristol Myers Squibb exclusive worldwide rights to develop and commercialize PROBODY therapeutics for up to four oncology targets. Bristol Myers Squibb had additional rights to substitute up to two collaboration targets within three years of the effective date of the BMS Agreement. These rights expired in May 2017. Each collaboration target had a two-year research term and the two additional targets had to be nominated by Bristol Myers Squibb within five years of the effective date of the BMS Agreement. The research term for each collaboration target could be extended in one year increments up to three times.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Pursuant to the BMS Agreement, the financial consideration from Bristol Myers Squibb was comprised of an upfront payment of $50.0 million and estimated research and development service fees, and the Company was initially entitled to receive contingent payments of up to $25.0 million for additional targets and contingent payments for development, regulatory and sales milestones. In addition, the Company was entitled to royalty payments in the mid-single digits to low double-digit percentages from potential future sales.</w:t>
      </w:r>
    </w:p>
    <w:p>
      <w:pPr>
        <w:spacing w:after="0" w:line="2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March 17, 2017, the Company and Bristol Myers Squibb amended the BMS agreement and entered into Amendment Number 1 to Extend Collaboration and License Agreement (“Amendment 1”). Amendment 1 granted Bristol Myers Squibb exclusive worldwide rights to develop and commercialize PROBODY therapeutics for up to eight additional targets. The effective date of Amendment 1 was April 25, 2017 (“Amendment Effective Date”). Under the terms of Amendment 1, the Company continued to have obligations to Bristol Myers Squibb to discover and conduct preclinical development of PROBODY therapeutics against any targets they chose to select during the research period under the terms of Amendment 1.</w:t>
      </w:r>
    </w:p>
    <w:p>
      <w:pPr>
        <w:spacing w:after="0" w:line="2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Pursuant to Amendment 1, the financial consideration from Bristol Myers Squibb was comprised of an upfront payment of $200.0 million, estimated research and development service fees, and contingent payments for development, regulatory and sales milestones for the eight targets. The Company was also entitled to tiered mid-single to low double-digit percentage royalties from potential future sales. Amendment 1 did not change the term of Bristol Myers Squibb’s royalty obligation under the BMS Agreement. Bristol Myers Squibb’s royalty obligation continues on a licensed-product by licensed-product basis until the later of (i) the expiration of the last claim of the licensed patents covering the licensed products in the country, (ii) the twelfth anniversary of the first commercial sale of a licensed product in a country, or (iii) the expiration of any applicable regulatory, pediatric, orphan drug or data exclusivity with respect to such product.</w:t>
      </w:r>
    </w:p>
    <w:p>
      <w:pPr>
        <w:spacing w:after="0" w:line="2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elected the practical expedient related to contract modifications upon adoption of ASC 606 and combined the original agreement and Amendment 1. The Company determined that the identified promised goods and services which include the exclusive research, development and commercialization license, the related research services and expertise for the development of the product candidates should be combined with the participation in the joint research committee as one combined performance obligation for each collaboration target. The Company also concluded that, at the inception of the agreement, Bristol Myers Squibb’s options for the third and fourth targets were material rights and performance obligations. As such, the material rights were accounted for as part of the initial transaction price.</w:t>
      </w:r>
    </w:p>
    <w:p>
      <w:pPr>
        <w:spacing w:after="0" w:line="18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Company received an upfront payment of $50.0 million from Bristol Myers Squibb in July 2014. In January and December 2016, Bristol Myers Squibb exercised the option to select the third and fourth targets, and paid the Company $10.0</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23" w:lineRule="exact"/>
        <w:rPr>
          <w:sz w:val="20"/>
          <w:szCs w:val="20"/>
          <w:color w:val="auto"/>
        </w:rPr>
      </w:pPr>
    </w:p>
    <w:p>
      <w:pPr>
        <w:ind w:right="420" w:firstLine="45"/>
        <w:spacing w:after="0" w:line="261" w:lineRule="auto"/>
        <w:rPr>
          <w:sz w:val="20"/>
          <w:szCs w:val="20"/>
          <w:color w:val="auto"/>
        </w:rPr>
      </w:pPr>
      <w:r>
        <w:rPr>
          <w:rFonts w:ascii="Times New Roman" w:cs="Times New Roman" w:eastAsia="Times New Roman" w:hAnsi="Times New Roman"/>
          <w:sz w:val="18"/>
          <w:szCs w:val="18"/>
          <w:color w:val="auto"/>
        </w:rPr>
        <w:t>million and $15.0 million, respectively, pursuant to the terms of the BMS Agreement. In December 2016, Bristol Myers Squibb selected a clinical candidate pursuant to the BMS Agreement, which triggered a $2.0 million pre-clinical milestone payment to the Company. In November 2017, the Company recognized a $10.0 million milestone payment from Bristol Myers Squibb upon approval of the investigational new drug application for the CTLA-4-directed PROBODY therapeutic.</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initial transaction price for the BMS Agreement and Amendment 1, collectively, was $304.7 million consisting of the upfront fees of $250.0 million, target selection fees for the third and fourth targets of $25.0 million, estimated research and development service fees of $17.7 million and milestone payments received up to January 1, 2018, of $12.0 million. The Company determined that the remaining potential milestone payments were probable of significant revenue reversal as their achievement was highly dependent on factors outside the Company’s control. Therefore, these payments were fully constrained and were not included in the transaction price upon the adoption of ASC 606 on January 1, 2018. The initial transaction price for the combined obligation for each collaboration target is recognized using an input measure. In applying the input method of revenue recognition, the Company uses actual FTE hours incurred relative to estimated total FTE hours expected to be incurred for each combined performance obligation over the estimated research service period of each collaboration target.</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first quarter of 2019, Bristol Myers Squibb terminated pre-clinical activities on three of the first four collaboration targets selected under the original 2014 BMS Agreement. The Company determined that upon the termination of pre-clinical activities on the three collaboration targets, it has no further obligations related to such targets. The Company accounted for the termination of the three targets as a modification and the related remaining unrecognized transaction price was reallocated to the remaining performance obligations. The Company continues to be obligated to perform research work under Amendment 1 executed in March 2017.</w:t>
      </w:r>
    </w:p>
    <w:p>
      <w:pPr>
        <w:spacing w:after="0" w:line="18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February 2020, Bristol Myers Squibb dosed the first patient in the Part 2 cohort expansion portion of its ongoing BMS-986249 clinical study for the CTLA-4 program, which triggered a $10.0 million milestone payment to the Company pursuant to the terms of the BMS Agreement. The $10.0 million milestone payment was recognized as revenue in the first quarter of 2020 as the Company had completed its performance obligation related to this collaboration target.</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February 2021, the Company and Bristol Myers Squibb amended the BMS agreement and entered into Amendment Number 2 to amend the Collaboration and License Agreement (“Amendment 2”), as previously amended by Amendment 1. Subsequent to Amendment 2, in addition to Bristol Myers Squibb’s ongoing development of the CTLA-4 program, Bristol Myers Squibb also had the exclusive worldwide rights to develop and commercialize PROBODY therapeutics for up to five oncology targets. Under the terms of Amendment 2, the period for target selection was extended and in 2022, all remaining targets were selected. The Company will continue to collaborate with Bristol Myers Squibb to discover and conduct preclinical development of PROBODY therapeutics against targets selected by Bristol Myers Squibb over the estimated research period, which is projected to end in April 2025. Pursuant to Amendment 2, the Company was eligible to receive contingent payments for development, regulatory and sales milestones. It is also entitled to tiered mid-single to low double-digit percentage of royalties from potential future sales. The Company accounted for Amendment 2 as a modification and reallocated the remaining unrecognized transaction price to the remaining performance obligations.</w:t>
      </w:r>
    </w:p>
    <w:p>
      <w:pPr>
        <w:spacing w:after="0" w:line="18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October 2022, the Company and Bristol Myers Squibb amended the BMS Agreement and entered into Amendment Number 3 (“Amendment 3”), as previously amended by Amendment 1 and Amendment 2, to clarify the rights and restrictions of certain new proprietary antibodies that the parties exchanged. There were no substantive changes to each party's performance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6899910</wp:posOffset>
            </wp:positionH>
            <wp:positionV relativeFrom="paragraph">
              <wp:posOffset>-313055</wp:posOffset>
            </wp:positionV>
            <wp:extent cx="2857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March 2024, following a Bristol Myers Squibb corporate portfolio prioritization process, Bristol Myers Squibb notified CytomX that it does not intend to continue the development of BMS-986288 beyond the current Phase 2 study and terminated its collaboration license on the CTLA-4 target under the collaboration. BMS-986288 was Bristol Myers Squibb’s leading next generation PROBODY CTLA-4 program that it had previously prioritized over BMS-986249, which was a PROBODY version of ipilimumab.</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June 2024, Bristol Myers Squibb prioritized its pre-clinical research activities under the collaboration and revised the research scope by one collaboration target. The Company determined that it has no further obligations related to the target that was deprioritized and accounted for the reduction of the target as a modification and the related remaining unrecognized transaction price was reallocated to the remaining performance obligations. The Company continues to be obligated to perform research work under Amendment 2 executed in February 2021 for multiple ongoing research programs for which CytomX’s research efforts on the programs are expected to be complete in April 2025.</w:t>
      </w:r>
    </w:p>
    <w:p>
      <w:pPr>
        <w:spacing w:after="0" w:line="18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is eligible to receive approximately $1.3 billion in contingent payments for development, regulatory and sales milestones for the ongoing collaboration programs. As of December 31, 2024, the Company has received in aggregate $297.0 million in upfront and milestone payments under the agreement.</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2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reevaluated the remaining potential milestone payments and determined that significant revenue reversal was probable as the achievement of such milestones was highly dependent on factors outside the Company’s control. As a result, these payments continued to be fully constrained and were not included in the transaction price on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2023, deferred revenue relating to the BMS Agreement was $41.9 million and $119.9 million,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ModernaTX, Inc.</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and ModernaTX, Inc. (“Moderna”) entered into a Collaboration and License Agreement (the “Moderna Agreement”) on December 30, 2022, the effective date, to collaborate on discovery and preclinical research and development activities to create investigational messenger RNA (mRNA) based conditionally activated therapies using the Company’s PROBODY therapeutic technology. Moderna is solely responsible for the development (preclinical and clinical), manufacturing, and commercialization of any products under the Moderna Agreement.</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the terms of the Moderna Agreement, the Company granted Moderna an exclusive, worldwide right to develop and commercialize PROBODY therapeutics for the collaboration programs. In exchange, the Company received an upfront payment of $35.0 million in January 2023, including $5.0 million of prepaid research and development service fees. The Company will continue to receive research and development service fees according to the preclinical research work plans based on a prescribed FTE rate and is eligible to receive up to approximately $1.2 billion in future development, regulatory, and commercial milestone payments. The Company is also eligible to receive tiered royalties from high-single digit to low-teen percentage rates of annual global net sales of any products that are commercialized under the Moderna Agreement.</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determined that each collaboration program was a distinct performance obligation consisting of the exclusive research, development and commercialization license, research services, and participation in the joint steering committee. The initial transaction price is $51.7 million, consisting of the upfront fee of $30.0 million and estimated research funding of $21.7 million from Moderna. The initial transaction price excludes milestone payments as the achievement of such milestones is dependent on factors outside of the Company’s control and recognition would be probable of significant revenue reversal. As such, the milestones are fully constrained at the inception of the contract. The Company will re-evaluate the transaction price at each reporting date or as uncertain events are resolved or other changes in circumstances occur.</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transaction price at the contract inception was allocated among the performance obligations using the SSP of each performance obligation, which was determined to be equal due to the early stage of the collaboration programs. The transaction price allocated to the collaboration programs is recognized using an input method. In applying the input measure of revenue recognition, the Company uses actual FTE hours incurred relative to estimated total FTE hours expected to be incurred for the respective collaboration program over an estimated service period of four years. Due to Moderna's budget considerations in 2025, the Company will continue its performance obligation primarily in 2026 and 2027.</w:t>
      </w:r>
    </w:p>
    <w:p>
      <w:pPr>
        <w:spacing w:after="0" w:line="18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deferred revenue relating to the Moderna Agreement was $9.3 million and $24.2 million, respectively. The amount due from Moderna under the Moderna Agreement was $0.9 million and $0 as of December 31, 2024 and December 31,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Regeneron Pharmaceuticals, Inc.</w:t>
      </w:r>
    </w:p>
    <w:p>
      <w:pPr>
        <w:spacing w:after="0" w:line="121"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The Company and Regeneron Pharmaceuticals Inc. (“Regeneron”) entered into a Collaboration and License Agreement (the “Regeneron Agreement”) on November 16, 2022, to collaborate on creation of conditionally-activated investigational bispecific cancer therapies utilizing the Company’s PROBODY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therapeutic platform and Regeneron’s Veloci-Bi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bispecific antibody development platform. The Company and Regeneron will collaborate on preclinical research and discovery activities for initially agreed upon collaboration programs (“Collaboration Program”) with an option to expand additional Collaboration Programs (“Additional Collaboration Program Option”).</w:t>
      </w:r>
    </w:p>
    <w:p>
      <w:pPr>
        <w:spacing w:after="0" w:line="23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Under the Collaboration and License Agreement, the Company granted Regeneron an exclusive, worldwide, royalty-bearing license under certain Company intellectual property to develop, manufacture, commercialize and otherwise exploit licensed products (“Licensed Products”) for all human and non-human diagnostic, prophylactic and therapeutic uses in oncology. Regeneron is responsible for funding the cost of preclinical research and discovery activities of both parties for all Licensed Products and for funding the cost of development, manufacturing and commercialization of all Licensed Products worldwide.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6" w:name="page107"/>
    <w:bookmarkEnd w:id="10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Pursuant to the Regeneron Agreement, the consideration from Regeneron is comprised of an upfront fee of $30.0 million, contingent payments for development and regulatory milestones and commercial milestone payments of up to an aggregate of approximately $0.8 billion. If Regeneron exercises its Additional Collaboration Program Option, the Company would be eligible to receive additional upfront and milestone payments aggregating up to approximately $1.2 billion. The Company is also entitled to tiered royalties from high-single digit to low-teen percentage royalties from potential future sales. In addition, the Company will receive research and development service fees based on a prescribed FTE rate.</w:t>
      </w:r>
    </w:p>
    <w:p>
      <w:pPr>
        <w:spacing w:after="0" w:line="22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determined that each collaboration program was a distinct performance obligation consisting of an exclusive research, development and commercialization license, research and development services and participation in the joint research committee. The Company concluded that at the inception of the agreement, Regeneron’s Additional Collaboration Program Option did not include material rights and therefore was not a performance obligation. As such, each option will be accounted for as a separate arrangement upon exercise. The initial transaction price is $39.2 million consisting of the upfront fee of $30.0 million and estimated research and development service fees of $9.2 million. The initial transaction price excludes milestone payments as the achievement of such milestones is dependent on factors outside of the Company’s control and recognition would be probable of significant revenue reversal. As such, the milestones are fully constrained at the inception of the contract. The Company will re-evaluate the transaction price at each reporting date or as uncertain events are resolved or other changes in circumstances occur.</w:t>
      </w:r>
    </w:p>
    <w:p>
      <w:pPr>
        <w:spacing w:after="0" w:line="2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transaction price was allocated among the performance obligations using the SSP of each performance obligation, which was determined to be equal at the inception of the agreement. The transaction price allocated to each performance obligation is recognized using an input measure. In applying the input measure of revenue recognition, the Company uses actual FTE hours incurred relative to estimated total FTE hours expected to be incurred for the combined performance obligation over the estimated research service period of four years, which is projected to end in November 2026.</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deferred revenue relating to the Regeneron Agreement was $15.6 million and $24.4 million, respectively. The amount due from Regeneron under the Regeneron Agreement was $1.0 million and $1.1 million as of December 31, 2024 and December 31,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Company’s total contract liabilities for the years ended in December 31, 2024 and 2023 (in thousands):</w:t>
      </w:r>
    </w:p>
    <w:p>
      <w:pPr>
        <w:sectPr>
          <w:pgSz w:w="11900" w:h="16838" w:orient="portrait"/>
          <w:cols w:equalWidth="0" w:num="1">
            <w:col w:w="11220"/>
          </w:cols>
          <w:pgMar w:left="320" w:top="76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6"/>
          <w:szCs w:val="16"/>
          <w:b w:val="1"/>
          <w:bCs w:val="1"/>
          <w:color w:val="auto"/>
        </w:rPr>
        <w:t>Balance at 12/31/2022</w:t>
      </w:r>
    </w:p>
    <w:p>
      <w:pPr>
        <w:spacing w:after="0" w:line="3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6"/>
          <w:szCs w:val="16"/>
          <w:color w:val="auto"/>
        </w:rPr>
        <w:t>Additions</w:t>
      </w:r>
    </w:p>
    <w:p>
      <w:pPr>
        <w:spacing w:after="0" w:line="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6"/>
          <w:szCs w:val="16"/>
          <w:color w:val="auto"/>
        </w:rPr>
        <w:t>Revenue Recognized</w:t>
      </w:r>
    </w:p>
    <w:p>
      <w:pPr>
        <w:spacing w:after="0" w:line="4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6"/>
          <w:szCs w:val="16"/>
          <w:b w:val="1"/>
          <w:bCs w:val="1"/>
          <w:color w:val="auto"/>
        </w:rPr>
        <w:t>Balance at 12/31/2023</w:t>
      </w:r>
    </w:p>
    <w:p>
      <w:pPr>
        <w:spacing w:after="0" w:line="3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6"/>
          <w:szCs w:val="16"/>
          <w:color w:val="auto"/>
        </w:rPr>
        <w:t>Additions</w:t>
      </w:r>
    </w:p>
    <w:p>
      <w:pPr>
        <w:spacing w:after="0" w:line="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6"/>
          <w:szCs w:val="16"/>
          <w:color w:val="auto"/>
        </w:rPr>
        <w:t>Revenue Recognized</w:t>
      </w:r>
    </w:p>
    <w:p>
      <w:pPr>
        <w:spacing w:after="0" w:line="9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6"/>
          <w:szCs w:val="16"/>
          <w:b w:val="1"/>
          <w:bCs w:val="1"/>
          <w:color w:val="auto"/>
        </w:rPr>
        <w:t>Balance at 12/31/2024</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ind w:right="1780"/>
        <w:spacing w:after="0"/>
        <w:rPr>
          <w:sz w:val="20"/>
          <w:szCs w:val="20"/>
          <w:color w:val="auto"/>
        </w:rPr>
      </w:pPr>
      <w:r>
        <w:rPr>
          <w:rFonts w:ascii="Times New Roman" w:cs="Times New Roman" w:eastAsia="Times New Roman" w:hAnsi="Times New Roman"/>
          <w:sz w:val="14"/>
          <w:szCs w:val="14"/>
          <w:b w:val="1"/>
          <w:bCs w:val="1"/>
          <w:color w:val="auto"/>
        </w:rPr>
        <w:t>Deferred Revenue</w:t>
      </w:r>
    </w:p>
    <w:p>
      <w:pPr>
        <w:spacing w:after="0" w:line="55" w:lineRule="exact"/>
        <w:rPr>
          <w:sz w:val="20"/>
          <w:szCs w:val="20"/>
          <w:color w:val="auto"/>
        </w:rPr>
      </w:pPr>
    </w:p>
    <w:p>
      <w:pPr>
        <w:jc w:val="center"/>
        <w:ind w:right="178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-3799840</wp:posOffset>
            </wp:positionH>
            <wp:positionV relativeFrom="paragraph">
              <wp:posOffset>7620</wp:posOffset>
            </wp:positionV>
            <wp:extent cx="4989195" cy="1460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989195" cy="146050"/>
                    </a:xfrm>
                    <a:prstGeom prst="rect">
                      <a:avLst/>
                    </a:prstGeom>
                    <a:noFill/>
                  </pic:spPr>
                </pic:pic>
              </a:graphicData>
            </a:graphic>
          </wp:anchor>
        </w:drawing>
      </w:r>
    </w:p>
    <w:p>
      <w:pPr>
        <w:spacing w:after="0" w:line="7" w:lineRule="exact"/>
        <w:rPr>
          <w:sz w:val="20"/>
          <w:szCs w:val="20"/>
          <w:color w:val="auto"/>
        </w:rPr>
      </w:pPr>
    </w:p>
    <w:p>
      <w:pPr>
        <w:ind w:left="1180" w:hanging="1171"/>
        <w:spacing w:after="0"/>
        <w:tabs>
          <w:tab w:leader="none" w:pos="11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301,326</w:t>
      </w:r>
    </w:p>
    <w:p>
      <w:pPr>
        <w:spacing w:after="0" w:line="7" w:lineRule="exact"/>
        <w:rPr>
          <w:rFonts w:ascii="Times New Roman" w:cs="Times New Roman" w:eastAsia="Times New Roman" w:hAnsi="Times New Roman"/>
          <w:sz w:val="18"/>
          <w:szCs w:val="18"/>
          <w:color w:val="auto"/>
        </w:rPr>
      </w:pPr>
    </w:p>
    <w:p>
      <w:pPr>
        <w:ind w:left="1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-3799840</wp:posOffset>
            </wp:positionH>
            <wp:positionV relativeFrom="paragraph">
              <wp:posOffset>5715</wp:posOffset>
            </wp:positionV>
            <wp:extent cx="4989195" cy="1454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989195" cy="145415"/>
                    </a:xfrm>
                    <a:prstGeom prst="rect">
                      <a:avLst/>
                    </a:prstGeom>
                    <a:noFill/>
                  </pic:spPr>
                </pic:pic>
              </a:graphicData>
            </a:graphic>
          </wp:anchor>
        </w:drawing>
      </w:r>
    </w:p>
    <w:p>
      <w:pPr>
        <w:jc w:val="right"/>
        <w:ind w:right="1680"/>
        <w:spacing w:after="0"/>
        <w:rPr>
          <w:sz w:val="20"/>
          <w:szCs w:val="20"/>
          <w:color w:val="auto"/>
        </w:rPr>
      </w:pPr>
      <w:r>
        <w:rPr>
          <w:rFonts w:ascii="Times New Roman" w:cs="Times New Roman" w:eastAsia="Times New Roman" w:hAnsi="Times New Roman"/>
          <w:sz w:val="18"/>
          <w:szCs w:val="18"/>
          <w:color w:val="auto"/>
        </w:rPr>
        <w:t>(95,449 )</w:t>
      </w:r>
    </w:p>
    <w:p>
      <w:pPr>
        <w:spacing w:after="0" w:line="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212,315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-3799840</wp:posOffset>
            </wp:positionH>
            <wp:positionV relativeFrom="paragraph">
              <wp:posOffset>14605</wp:posOffset>
            </wp:positionV>
            <wp:extent cx="4989195"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8,643</w:t>
      </w:r>
    </w:p>
    <w:p>
      <w:pPr>
        <w:spacing w:after="0" w:line="9"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8"/>
          <w:szCs w:val="18"/>
          <w:color w:val="auto"/>
        </w:rPr>
        <w:t>(126,895 )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113157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ind w:left="1260" w:hanging="1251"/>
        <w:spacing w:after="0"/>
        <w:tabs>
          <w:tab w:leader="none" w:pos="1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94,063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-3799840</wp:posOffset>
            </wp:positionH>
            <wp:positionV relativeFrom="paragraph">
              <wp:posOffset>-121920</wp:posOffset>
            </wp:positionV>
            <wp:extent cx="4989195" cy="1625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989195" cy="162560"/>
                    </a:xfrm>
                    <a:prstGeom prst="rect">
                      <a:avLst/>
                    </a:prstGeom>
                    <a:noFill/>
                  </pic:spPr>
                </pic:pic>
              </a:graphicData>
            </a:graphic>
          </wp:anchor>
        </w:drawing>
      </w:r>
    </w:p>
    <w:p>
      <w:pPr>
        <w:spacing w:after="0" w:line="228" w:lineRule="exact"/>
        <w:rPr>
          <w:sz w:val="20"/>
          <w:szCs w:val="20"/>
          <w:color w:val="auto"/>
        </w:rPr>
      </w:pPr>
    </w:p>
    <w:p>
      <w:pPr>
        <w:sectPr>
          <w:pgSz w:w="11900" w:h="16838" w:orient="portrait"/>
          <w:cols w:equalWidth="0" w:num="2">
            <w:col w:w="6960" w:space="720"/>
            <w:col w:w="3540"/>
          </w:cols>
          <w:pgMar w:left="320" w:top="765" w:right="359" w:bottom="1440" w:gutter="0" w:footer="0" w:header="0"/>
          <w:type w:val="continuous"/>
        </w:sectPr>
      </w:pPr>
    </w:p>
    <w:p>
      <w:pPr>
        <w:spacing w:after="0" w:line="73"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The Company expects that the $94.1 million of deferred revenue related to the following contracts as of December 31, 2024 will be recognized as revenue based on actual FTE effort and estimated program progress as set forth below. However, the timing of revenue recognition could differ from the estimates depending on facts and circumstances impacting the various contracts, including progress of research and development, resources assigned to the contracts by the Company or its collaboration partners or other factors outside of the Company’s control.</w:t>
      </w:r>
    </w:p>
    <w:p>
      <w:pPr>
        <w:spacing w:after="0" w:line="288" w:lineRule="exact"/>
        <w:rPr>
          <w:sz w:val="20"/>
          <w:szCs w:val="20"/>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$9.7 million of deferred revenue related to the Amgen EGFR Products is expected to be recognized until 2025.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$17.4 million of deferred revenue related to the Astellas Agreement is expected to be recognized until 2026.</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$41.9 million of deferred revenue related to the BMS Agreement is expected to be recognized until the second quarter of 2025.</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$9.3 million of deferred revenue related to the Moderna Agreement is expected to be recognized primarily in 2026 and 2027 due to Moderna's budget considerations in 2025.</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type w:val="continuous"/>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5" w:lineRule="exact"/>
        <w:rPr>
          <w:sz w:val="20"/>
          <w:szCs w:val="20"/>
          <w:color w:val="auto"/>
        </w:rPr>
      </w:pPr>
    </w:p>
    <w:p>
      <w:pPr>
        <w:ind w:left="1020" w:hanging="503"/>
        <w:spacing w:after="0"/>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$15.6 million of deferred revenue related to the Regeneron Agreement is expected to be recognized until 2026.</w:t>
      </w:r>
    </w:p>
    <w:p>
      <w:pPr>
        <w:spacing w:after="0" w:line="36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UCSB Agreement</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August 2010, the Company entered into an exclusive, worldwide license agreement with University of California, Santa Barbara (“UCSB”), relating to the use of certain patents and technology relating to its core technology, including its therapeutic antibodies, and to certain patent rights the Company co-owns with UCSB covering PROBODY antibodies and other pro-proteins (the “UCSB Agreement”). Pursuant to the UCSB Agreement, the Company has annual minimum royalty obligations of $0.2 million under the terms of certain exclusive licensed patent rights. In April 2019, the Company entered into Amendment No.3 to the UCSB Agreement to adjust and clarify certain sublicense terms (“Amendment No.3”). Under the terms of Amendment No.3, the Company agreed to make an additional annual license maintenance fees of $0.8 million through 2031. In the event that the Company terminates the agreement due to material concern of the safety or efficacy of the related technology, 50% of all remaining maintenance fees will become due immediately. Otherwise, all remaining maintenance fees will become due immediately upon early termination of the agreement unless there is a material breach by UCSB.</w:t>
      </w:r>
    </w:p>
    <w:p>
      <w:pPr>
        <w:spacing w:after="0" w:line="18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2022, the Company incurred $0.1 million of sublicense fees triggered by the IND for the EGFR product and the dosing of the first patient of the EGFR program under the Amgen Agreement. In 2023, the Company incurred $0.2 million of sublicense fees triggered by achieving the clinical candidate milestone under the Astellas Agreement. In 2024, the Company incurred $0.6 million of sublicense fees triggered by achieving the GLP toxicology studies milestone for the first clinical candidate which was nominated by Astellas in 2023, as well as by achieving the clinical candidate nomination milestone for a second collaboration target under the Astellas Agreement. In the first quarter 2025, the Company incurred $0.2 million of sublicense fees triggered by achieving the GLP toxicology studies milestone for the second clinical candidate which was nominated by Astellas in 2024.</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incurred sublicense expenses of $1.6 million and $1.1 million, respectively, under the provisions of the UCSB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ImmunoGen (acquired by AbbVie in 2024)</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December 2019, the Company entered into a License Agreement (the “ImmunoGen 2019 License”) with ImmunoGen, Inc. to obtain an exclusive license with respect to epithelial cell adhesion molecule (“EPCAM”). Under the ImmunoGen 2019 License, ImmunoGen agreed to transfer its know-how, patents, intellectual property rights, and technology transfer materials and information related to its EpCAM program. The license gives the Company the sole ability to develop, manufacture, use and commercialize any licensed product that incorporates, is comprised of, or otherwise derived from PROBODY technology that targets EpCAM in any human therapeutic field on a worldwide basis. In exchange, the Company made an upfront license payment of $7.5 million, and will pay up to $35.0 million in certain clinical development milestones and up to $320.0 million in regulatory approval and commercial milestone payments, if achieved. ImmunoGen is also entitled to royalties on product sales ranging from the mid-to-high single digits percentages.</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April 2024, the Company made a $5.0 million payment of the $35.0 million in potential clinical development milestone payments to AbbVie (formerly ImmunoGen) with respect to achieving the milestone of dosing the first patient for CX-2051 under the ImmunoGen 2019 License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Seattle Genetics, Inc ("SGEN")</w:t>
      </w:r>
    </w:p>
    <w:p>
      <w:pPr>
        <w:spacing w:after="0" w:line="1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August 22, 2023, the Company entered into a Transition Agreement (the “Transition Agreement”) with AbbVie Global Enterprises Ltd. (“AbbVie”), pursuant to which the Company regained exclusive worldwide rights to develop CX-2029, a CD71-targeting conditionally activated antibody drug conjugate. The Transition Agreement superseded the CD71 Co-Development and License Agreement (the “Collaboration Agreement”) entered into between the Company and AbbVie Ireland Unlimited Company (an affiliate entity of AbbVie) in 2016, that was terminated in May 2023, and granted certain intellectual property rights from AbbVie to enable the continued development of CX-2029 by the Company for all human and nonhuman diagnostic, prophylactic, and therapeutic uses. Pursuant to the Transition Agreement, the Company paid an annual license maintenance fee of $0.3 million to SGEN for certain related technology starting 2023 through the date on which licensee receives first regulatory approval in the territory for the applicable licensed product. The Company terminated the Transition Agreement in the first quarter of 2025.</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right="200"/>
        <w:spacing w:after="0" w:line="239" w:lineRule="auto"/>
        <w:rPr>
          <w:sz w:val="20"/>
          <w:szCs w:val="20"/>
          <w:color w:val="auto"/>
        </w:rPr>
      </w:pPr>
      <w:r>
        <w:rPr>
          <w:rFonts w:ascii="Times New Roman" w:cs="Times New Roman" w:eastAsia="Times New Roman" w:hAnsi="Times New Roman"/>
          <w:sz w:val="18"/>
          <w:szCs w:val="18"/>
          <w:color w:val="auto"/>
        </w:rPr>
        <w:t>On March 4, 2020, Vytacera Bio, LLC (“Vytacera”) filed a patent infringement lawsuit against the Company in the U.S. District Court for the District of Delaware. The lawsuit alleged that the Company's use, offers to sell, and/or sales of the PROBODY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technology platform for basic research applications constituted infringement. The complaint sought unspecified monetary damages. In September 2022, the Company filed a motion to dismiss the case. On October 17, 2024, the Court dismissed the case and on October 28, 2024, the Court ordered the case to be closed.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2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December 2015, the Company entered into a lease (the “2016 Lease”) of office and laboratory space located in South San Francisco, California for the Company’s corporate headquarters. The 2016 Lease has an initial term of ten years through 2026 and the Company has an option to extend the initial term for an additional five years at the then fair rental value as determined pursuant to the 2016 Lease.</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the Company obtained a standby letter of credit (the “Letter of Credit”) in an amount of approximately $0.9 million, which may be drawn by the Landlord to be applied for certain purposes upon the Company’s breach of any provisions under the 2016 Lease. The Company recorded the $0.9 million of cash securing the Letter of Credit as non-current restricted cash on its balance sheet as of December 31, 2024 and 2023. Rent expense during the years ended December 31, 2024 and 2023 was $5.1 million and $5.1 million, respectively.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information related to leases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2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980" w:type="dxa"/>
            <w:vAlign w:val="bottom"/>
            <w:gridSpan w:val="3"/>
          </w:tcPr>
          <w:p>
            <w:pPr>
              <w:jc w:val="right"/>
              <w:ind w:right="1277"/>
              <w:spacing w:after="0" w:line="142"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2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3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2"/>
          </w:tcPr>
          <w:p>
            <w:pPr>
              <w:jc w:val="right"/>
              <w:ind w:right="50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2"/>
                <w:szCs w:val="12"/>
                <w:color w:val="auto"/>
              </w:rPr>
            </w:pPr>
          </w:p>
        </w:tc>
        <w:tc>
          <w:tcPr>
            <w:tcW w:w="160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w:t>
            </w:r>
          </w:p>
        </w:tc>
        <w:tc>
          <w:tcPr>
            <w:tcW w:w="2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w:t>
            </w:r>
          </w:p>
        </w:tc>
        <w:tc>
          <w:tcPr>
            <w:tcW w:w="2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8.25 %</w:t>
            </w:r>
          </w:p>
        </w:tc>
        <w:tc>
          <w:tcPr>
            <w:tcW w:w="2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8.25 %</w:t>
            </w:r>
          </w:p>
        </w:tc>
        <w:tc>
          <w:tcPr>
            <w:tcW w:w="0" w:type="dxa"/>
            <w:vAlign w:val="bottom"/>
          </w:tcPr>
          <w:p>
            <w:pPr>
              <w:spacing w:after="0"/>
              <w:rPr>
                <w:sz w:val="1"/>
                <w:szCs w:val="1"/>
                <w:color w:val="auto"/>
              </w:rPr>
            </w:pPr>
          </w:p>
        </w:tc>
      </w:tr>
      <w:tr>
        <w:trPr>
          <w:trHeight w:val="824"/>
        </w:trPr>
        <w:tc>
          <w:tcPr>
            <w:tcW w:w="5440" w:type="dxa"/>
            <w:vAlign w:val="bottom"/>
          </w:tcPr>
          <w:p>
            <w:pPr>
              <w:spacing w:after="0"/>
              <w:rPr>
                <w:sz w:val="24"/>
                <w:szCs w:val="24"/>
                <w:color w:val="auto"/>
              </w:rPr>
            </w:pPr>
          </w:p>
        </w:tc>
        <w:tc>
          <w:tcPr>
            <w:tcW w:w="204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4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6120" w:type="dxa"/>
            <w:vAlign w:val="bottom"/>
            <w:gridSpan w:val="2"/>
          </w:tcPr>
          <w:p>
            <w:pPr>
              <w:jc w:val="right"/>
              <w:ind w:right="2590"/>
              <w:spacing w:after="0"/>
              <w:rPr>
                <w:sz w:val="20"/>
                <w:szCs w:val="20"/>
                <w:color w:val="auto"/>
              </w:rPr>
            </w:pPr>
            <w:r>
              <w:rPr>
                <w:rFonts w:ascii="Times New Roman" w:cs="Times New Roman" w:eastAsia="Times New Roman" w:hAnsi="Times New Roman"/>
                <w:sz w:val="18"/>
                <w:szCs w:val="18"/>
                <w:b w:val="1"/>
                <w:bCs w:val="1"/>
                <w:color w:val="auto"/>
              </w:rPr>
              <w:t>CYTOMX THERAPEUTICS, INC.</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560" w:type="dxa"/>
            <w:vAlign w:val="bottom"/>
          </w:tcPr>
          <w:p>
            <w:pPr>
              <w:spacing w:after="0"/>
              <w:rPr>
                <w:sz w:val="20"/>
                <w:szCs w:val="20"/>
                <w:color w:val="auto"/>
              </w:rPr>
            </w:pPr>
          </w:p>
        </w:tc>
        <w:tc>
          <w:tcPr>
            <w:tcW w:w="6120" w:type="dxa"/>
            <w:vAlign w:val="bottom"/>
            <w:gridSpan w:val="2"/>
          </w:tcPr>
          <w:p>
            <w:pPr>
              <w:jc w:val="right"/>
              <w:ind w:right="283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56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84"/>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Maturity of operating lease liabilities</w:t>
            </w:r>
          </w:p>
        </w:tc>
        <w:tc>
          <w:tcPr>
            <w:tcW w:w="59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560" w:type="dxa"/>
            <w:vAlign w:val="bottom"/>
            <w:vMerge w:val="continue"/>
          </w:tcPr>
          <w:p>
            <w:pPr>
              <w:spacing w:after="0"/>
              <w:rPr>
                <w:sz w:val="15"/>
                <w:szCs w:val="15"/>
                <w:color w:val="auto"/>
              </w:rPr>
            </w:pPr>
          </w:p>
        </w:tc>
        <w:tc>
          <w:tcPr>
            <w:tcW w:w="5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6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59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5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imputed interest</w:t>
            </w:r>
          </w:p>
        </w:tc>
        <w:tc>
          <w:tcPr>
            <w:tcW w:w="5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(731 )</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59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In March 2023, the Company entered into a sublease agreement for a portion of its existing office and laboratory space. The sublease is classified as an operating lease whereby sublease income is recognized on a straight-line basis over the sublease term that expires on September 30, 2026. For the year ended December 31, 2024 and 2023, sublease income was $1.2 million and $0.9 million, respectively.</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3"/>
        </w:trPr>
        <w:tc>
          <w:tcPr>
            <w:tcW w:w="8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Future sublease income payments</w:t>
            </w:r>
          </w:p>
        </w:tc>
        <w:tc>
          <w:tcPr>
            <w:tcW w:w="360" w:type="dxa"/>
            <w:vAlign w:val="bottom"/>
          </w:tcPr>
          <w:p>
            <w:pPr>
              <w:spacing w:after="0"/>
              <w:rPr>
                <w:sz w:val="18"/>
                <w:szCs w:val="18"/>
                <w:color w:val="auto"/>
              </w:rPr>
            </w:pPr>
          </w:p>
        </w:tc>
        <w:tc>
          <w:tcPr>
            <w:tcW w:w="21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8760" w:type="dxa"/>
            <w:vAlign w:val="bottom"/>
            <w:vMerge w:val="continue"/>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shd w:val="clear" w:color="auto" w:fill="CFF0FC"/>
          </w:tcPr>
          <w:p>
            <w:pPr>
              <w:spacing w:after="0"/>
              <w:rPr>
                <w:sz w:val="18"/>
                <w:szCs w:val="18"/>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7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sublease income payments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2020, the Company entered into the Open Market Sale Agreement (as amended on each of March 4, 2022 and August 9, 2024, the “Sales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with Jefferies LLC (“Jefferies”), to sell its common stock, at par value $0.00001 per share, with aggregate gross sales proceeds of up to</w:t>
      </w:r>
    </w:p>
    <w:p>
      <w:pPr>
        <w:spacing w:after="0" w:line="9"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18"/>
          <w:szCs w:val="18"/>
          <w:color w:val="auto"/>
        </w:rPr>
        <w:t>$75,000,000, from time to time upon the Company’s request, through an at-the-market ("ATM") offering under which Jefferies will act as sales agent. Pursuant to the Sales Agreement, Jefferies as the sales agent will receive a commission of 3.0% of the gross sales price for shares of common stock sold under the Sales Agreement. In April 2024, under the Sales Agreement, the Company sold 2,270,608 shares at an average price of $2.20 per share and received net proceeds of approximately $4.8 million after deducting the 3.0% sales commission and related issuance cost. In December 2024, the Company sold 1,654,594 shares at an average price of $1.3 per share under the ATM offering and received net proceeds of approximately $2.1 million after deducting the 3.0% sales commission and related issuance cost.</w:t>
      </w:r>
    </w:p>
    <w:p>
      <w:pPr>
        <w:spacing w:after="0" w:line="8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June 2023, the Company entered into an agreement with BVF Partners L.P. (“BVF”) for a private placement and received an aggregate net proceeds of approximately $29.7 million in July 2023, after deducting issuance costs of approximately $0.3 million. In the private placement, CytomX issued pre-funded warrants to BVF to purchase up to 14,423,077 shares of common stock, accompanying Tranche 1 warrants to purchase up to 5,769,231 shares of common stock and accompanying Tranche 2 warrants to purchase up to 5,769,231 shares of common stock, at a combined price of $2.08 per share. In May 2024, BVF exercised its right to purchase 7.5 million shares of common stock through its pre-funded warrants at an exercise price of $0.00001 per share.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warrants activities: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2640" w:type="dxa"/>
            <w:vAlign w:val="bottom"/>
            <w:gridSpan w:val="4"/>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Pre-funded Warrants</w:t>
            </w:r>
          </w:p>
        </w:tc>
        <w:tc>
          <w:tcPr>
            <w:tcW w:w="220" w:type="dxa"/>
            <w:vAlign w:val="bottom"/>
          </w:tcPr>
          <w:p>
            <w:pPr>
              <w:spacing w:after="0"/>
              <w:rPr>
                <w:sz w:val="15"/>
                <w:szCs w:val="15"/>
                <w:color w:val="auto"/>
              </w:rPr>
            </w:pPr>
          </w:p>
        </w:tc>
        <w:tc>
          <w:tcPr>
            <w:tcW w:w="2580" w:type="dxa"/>
            <w:vAlign w:val="bottom"/>
            <w:gridSpan w:val="4"/>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Tranche 1 Warrants</w:t>
            </w:r>
          </w:p>
        </w:tc>
        <w:tc>
          <w:tcPr>
            <w:tcW w:w="220" w:type="dxa"/>
            <w:vAlign w:val="bottom"/>
          </w:tcPr>
          <w:p>
            <w:pPr>
              <w:spacing w:after="0"/>
              <w:rPr>
                <w:sz w:val="15"/>
                <w:szCs w:val="15"/>
                <w:color w:val="auto"/>
              </w:rPr>
            </w:pPr>
          </w:p>
        </w:tc>
        <w:tc>
          <w:tcPr>
            <w:tcW w:w="276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Tranche 2 Warrants</w:t>
            </w:r>
          </w:p>
        </w:tc>
        <w:tc>
          <w:tcPr>
            <w:tcW w:w="0" w:type="dxa"/>
            <w:vAlign w:val="bottom"/>
          </w:tcPr>
          <w:p>
            <w:pPr>
              <w:spacing w:after="0"/>
              <w:rPr>
                <w:sz w:val="1"/>
                <w:szCs w:val="1"/>
                <w:color w:val="auto"/>
              </w:rPr>
            </w:pPr>
          </w:p>
        </w:tc>
      </w:tr>
      <w:tr>
        <w:trPr>
          <w:trHeight w:val="117"/>
        </w:trPr>
        <w:tc>
          <w:tcPr>
            <w:tcW w:w="282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43"/>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43"/>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63"/>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5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04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20" w:type="dxa"/>
            <w:vAlign w:val="bottom"/>
            <w:vMerge w:val="restart"/>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20" w:type="dxa"/>
            <w:vAlign w:val="bottom"/>
            <w:vMerge w:val="restart"/>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63"/>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73"/>
        </w:trPr>
        <w:tc>
          <w:tcPr>
            <w:tcW w:w="2820" w:type="dxa"/>
            <w:vAlign w:val="bottom"/>
          </w:tcPr>
          <w:p>
            <w:pPr>
              <w:spacing w:after="0"/>
              <w:rPr>
                <w:sz w:val="15"/>
                <w:szCs w:val="15"/>
                <w:color w:val="auto"/>
              </w:rPr>
            </w:pP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00" w:type="dxa"/>
            <w:vAlign w:val="bottom"/>
          </w:tcPr>
          <w:p>
            <w:pPr>
              <w:spacing w:after="0"/>
              <w:rPr>
                <w:sz w:val="15"/>
                <w:szCs w:val="15"/>
                <w:color w:val="auto"/>
              </w:rPr>
            </w:pPr>
          </w:p>
        </w:tc>
        <w:tc>
          <w:tcPr>
            <w:tcW w:w="104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5"/>
                <w:szCs w:val="15"/>
                <w:color w:val="auto"/>
              </w:rPr>
            </w:pPr>
          </w:p>
        </w:tc>
        <w:tc>
          <w:tcPr>
            <w:tcW w:w="1220" w:type="dxa"/>
            <w:vAlign w:val="bottom"/>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5"/>
                <w:szCs w:val="15"/>
                <w:color w:val="auto"/>
              </w:rPr>
            </w:pPr>
          </w:p>
        </w:tc>
        <w:tc>
          <w:tcPr>
            <w:tcW w:w="122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37"/>
        </w:trPr>
        <w:tc>
          <w:tcPr>
            <w:tcW w:w="282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14,423,077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0.00001</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5,769,231</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5,769,231</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Exercises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(7,500,000 )</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6,923,077</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0.00001</w:t>
            </w:r>
          </w:p>
        </w:tc>
        <w:tc>
          <w:tcPr>
            <w:tcW w:w="2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5,769,231</w:t>
            </w:r>
          </w:p>
        </w:tc>
        <w:tc>
          <w:tcPr>
            <w:tcW w:w="3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5,769,231</w:t>
            </w:r>
          </w:p>
        </w:tc>
        <w:tc>
          <w:tcPr>
            <w:tcW w:w="3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-24765</wp:posOffset>
            </wp:positionV>
            <wp:extent cx="768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-7620</wp:posOffset>
            </wp:positionV>
            <wp:extent cx="768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-24765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pre-funded warrants will expire in July 2043, while Tranche 1 and Tranche 2 warrants will expire in July 2025 and July 2026, respectively.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the May 2024 annual meeting of stockholders, the Company's authorized shares of common stock were approved to increase from 150,000,000 shares to 300,000,000 shares.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Stock-based Compensation</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2010 Plan and 2011 Plan</w:t>
      </w:r>
    </w:p>
    <w:p>
      <w:pPr>
        <w:spacing w:after="0" w:line="11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2010, the Company adopted its 2010 Stock Incentive Plan (the “2010 Plan”) which provided for the granting of stock options to employees, directors and consultants of the Company. Options granted under the 2010 Plan were either incentive stock options (“ISOs”) or nonqualified stock options (“NSOs”).</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February 2012, the Company adopted its 2011 Stock Incentive Plan (the “2011 Plan”). The 2011 Plan is divided into two separate equity programs, an option and stock appreciation rights grant program and a stock award program. In conjunction with adopting the 2011 Plan, the Company discontinued the 2010 Plan and released the shares reserved and still available under that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consummation of the IPO in October 2015, the board of directors adopted the Company’s 2015 Equity Incentive Plan (the “2015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and collectively with the 2010 Plan and 2011 Plan, the “Plans”). In conjunction with adopting the 2015 Plan, the Company discontinued the 2011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with respect to new equity awards.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2015 Plan</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2015 Plan authorized the board of directors to grant incentive stock options, non-statutory stock options and RSUs to employees, directors, non-employee directors and consultants of the Company. Stock options under the 2015 Plan may be granted for periods of up to ten years. All stock options issued to date have had a 10-year life. Under the terms of the 2015 Plan, stock options may be granted at an exercise price not less than the estimated fair value of the Company’s common stock on the date of grant, as determined by the Company’s board of directors. For employees holding more than 10% of the voting rights of all classes of stock, the exercise price of ISOs and NSOs may not be less than 110% of the estimated fair value of the shares on the date of grant, as determined by the board of directors. To date, stock options granted under the 2015 Plan generally vest over four years and vest at a rate of 25% upon the first anniversary of the issuance date and 1/48th per month thereafter.</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initial number of shares of common stock available for future issuance under the 2015 Plan was 2,444,735. Beginning on January 1, 2016 and continuing until the expiration of the 2015 Plan, the total number of shares of common stock available for issuance under the 2015 Plan will automatically increase annually on January 1 by 4% of the total number of issued and outstanding shares of common stock as of January 1 of the same year. As of December 31, 2024 and 2023, 2,319,648 shares and 2,944,245 shares of common stock, respectively, were available for future issuance under the 2015 Plan.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2019 Plan</w:t>
      </w:r>
    </w:p>
    <w:p>
      <w:pPr>
        <w:spacing w:after="0" w:line="227"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In September 2019, the Board of Directors adopted the 2019 Employment Inducement Incentive Plan (the “2019 Plan”) which provides for the grant of stock options and other equity awards to any employee who has not previously been an employee or director of the Company or who is commencing employment with the Company following a bona fide period of nonemployment by the Company. Awards granted under the 2019 Plan are intended to constitute “employment inducement awards” under Nasdaq Listing Rule 5635(c)(4). Options granted under the 2019 Plan are nonqualified stock options (“NSOs”) which may be exercisable for periods of up to ten years and the options shall be granted at an exercise price of not less than 100% of the fair market value of the Company’s common stock on the date of grant.</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initial number of shares of common stock available for future issuance under the 2019 Plan was 1,815,000. During 2021, the total number of shares of common stock available for issuance under the 2019 Plan has increased by 1,000,000 shares. As of December 31, 2024 and 2023, 1,658,672 and 1,725,656 shares, respectively, of common stock were available for future issuance under the 2019 Plan.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00" w:type="dxa"/>
            <w:vAlign w:val="bottom"/>
            <w:tcBorders>
              <w:bottom w:val="single" w:sz="8" w:color="auto"/>
            </w:tcBorders>
            <w:gridSpan w:val="4"/>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4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12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ind w:left="26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5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80" w:type="dxa"/>
            <w:vAlign w:val="bottom"/>
          </w:tcPr>
          <w:p>
            <w:pPr>
              <w:jc w:val="center"/>
              <w:ind w:left="244"/>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2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420" w:type="dxa"/>
            <w:vAlign w:val="bottom"/>
          </w:tcPr>
          <w:p>
            <w:pPr>
              <w:spacing w:after="0"/>
              <w:rPr>
                <w:sz w:val="15"/>
                <w:szCs w:val="15"/>
                <w:color w:val="auto"/>
              </w:rPr>
            </w:pPr>
          </w:p>
        </w:tc>
        <w:tc>
          <w:tcPr>
            <w:tcW w:w="15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Share</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4"/>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12,949,612</w:t>
            </w:r>
          </w:p>
        </w:tc>
        <w:tc>
          <w:tcPr>
            <w:tcW w:w="240" w:type="dxa"/>
            <w:vAlign w:val="bottom"/>
          </w:tcPr>
          <w:p>
            <w:pPr>
              <w:spacing w:after="0"/>
              <w:rPr>
                <w:sz w:val="15"/>
                <w:szCs w:val="15"/>
                <w:color w:val="auto"/>
              </w:rPr>
            </w:pPr>
          </w:p>
        </w:tc>
        <w:tc>
          <w:tcPr>
            <w:tcW w:w="880" w:type="dxa"/>
            <w:vAlign w:val="bottom"/>
            <w:tcBorders>
              <w:top w:val="single" w:sz="8" w:color="auto"/>
            </w:tcBorders>
            <w:vMerge w:val="restart"/>
          </w:tcPr>
          <w:p>
            <w:pPr>
              <w:jc w:val="right"/>
              <w:ind w:right="70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7.16</w:t>
            </w:r>
          </w:p>
        </w:tc>
        <w:tc>
          <w:tcPr>
            <w:tcW w:w="22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42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Options granted</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2,389,000</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1.70</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 exercised</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(132,351 )</w:t>
            </w:r>
          </w:p>
        </w:tc>
        <w:tc>
          <w:tcPr>
            <w:tcW w:w="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1.58</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(644,200 )</w:t>
            </w: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9.87</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14,562,061</w:t>
            </w:r>
          </w:p>
        </w:tc>
        <w:tc>
          <w:tcPr>
            <w:tcW w:w="240" w:type="dxa"/>
            <w:vAlign w:val="bottom"/>
            <w:tcBorders>
              <w:top w:val="single" w:sz="8" w:color="CFF0FC"/>
            </w:tcBorders>
          </w:tcPr>
          <w:p>
            <w:pPr>
              <w:spacing w:after="0"/>
              <w:rPr>
                <w:sz w:val="18"/>
                <w:szCs w:val="18"/>
                <w:color w:val="auto"/>
              </w:rPr>
            </w:pPr>
          </w:p>
        </w:tc>
        <w:tc>
          <w:tcPr>
            <w:tcW w:w="880" w:type="dxa"/>
            <w:vAlign w:val="bottom"/>
            <w:tcBorders>
              <w:top w:val="single" w:sz="8" w:color="CFF0FC"/>
            </w:tcBorders>
          </w:tcPr>
          <w:p>
            <w:pPr>
              <w:spacing w:after="0"/>
              <w:rPr>
                <w:sz w:val="18"/>
                <w:szCs w:val="18"/>
                <w:color w:val="auto"/>
              </w:rPr>
            </w:pPr>
          </w:p>
        </w:tc>
        <w:tc>
          <w:tcPr>
            <w:tcW w:w="3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95"/>
              </w:rPr>
              <w:t>6.20</w:t>
            </w:r>
          </w:p>
        </w:tc>
        <w:tc>
          <w:tcPr>
            <w:tcW w:w="148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380" w:type="dxa"/>
            <w:vAlign w:val="bottom"/>
            <w:tcBorders>
              <w:top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Options Exercisable—December 31, 2024</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10,565,931</w:t>
            </w:r>
          </w:p>
        </w:tc>
        <w:tc>
          <w:tcPr>
            <w:tcW w:w="2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70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7.67</w:t>
            </w:r>
          </w:p>
        </w:tc>
        <w:tc>
          <w:tcPr>
            <w:tcW w:w="14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3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-316230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-25400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aggregate intrinsic values of options exercised, outstanding and exercisable were calculated as the difference between the exercise price of the options and the quoted market price of the underlying common stock as of December 31, 2024.</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December 31, 2024, the unrecognized compensation expense with respect to options granted was $5.5 million and is expected to be recognized over 2.13 years.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Time-based RSUs ("TRSU")</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TRSU activities: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5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24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124"/>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2"/>
                <w:szCs w:val="12"/>
                <w:color w:val="auto"/>
              </w:rPr>
            </w:pPr>
          </w:p>
        </w:tc>
        <w:tc>
          <w:tcPr>
            <w:tcW w:w="134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5400" w:type="dxa"/>
            <w:vAlign w:val="bottom"/>
          </w:tcPr>
          <w:p>
            <w:pPr>
              <w:spacing w:after="0"/>
              <w:rPr>
                <w:sz w:val="15"/>
                <w:szCs w:val="15"/>
                <w:color w:val="auto"/>
              </w:rPr>
            </w:pPr>
          </w:p>
        </w:tc>
        <w:tc>
          <w:tcPr>
            <w:tcW w:w="13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Value Per Share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1,400,529</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RSUs awarded</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1,259,833</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RSUs vested</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(733,201 )</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RSUs forfeited</w:t>
            </w: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(73,929 )</w:t>
            </w: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1,853,232</w:t>
            </w:r>
          </w:p>
        </w:tc>
        <w:tc>
          <w:tcPr>
            <w:tcW w:w="220" w:type="dxa"/>
            <w:vAlign w:val="bottom"/>
            <w:tcBorders>
              <w:top w:val="single" w:sz="8" w:color="CFF0FC"/>
            </w:tcBorders>
          </w:tcPr>
          <w:p>
            <w:pPr>
              <w:spacing w:after="0"/>
              <w:rPr>
                <w:sz w:val="18"/>
                <w:szCs w:val="18"/>
                <w:color w:val="auto"/>
              </w:rPr>
            </w:pPr>
          </w:p>
        </w:tc>
        <w:tc>
          <w:tcPr>
            <w:tcW w:w="12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00" w:type="dxa"/>
            <w:vAlign w:val="bottom"/>
            <w:tcBorders>
              <w:top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360" w:type="dxa"/>
            <w:vAlign w:val="bottom"/>
            <w:tcBorders>
              <w:top w:val="single" w:sz="8" w:color="CFF0FC"/>
            </w:tcBorders>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-170815</wp:posOffset>
            </wp:positionV>
            <wp:extent cx="7683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7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recorded $1.5 million and $2.0 million of stock-based compensation expense related to the TRSUs for the year ended December 31, 2024 and 2023, respectively. As of December 31, 2024, the unrecognized compensation expense with respect to the TRSUs was $2.5 million which is expected to be recognized over 1.91 years. The TSRUs generally vest ratably over two to four years.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RSUs ("PSU")</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2021 PSU</w:t>
      </w:r>
    </w:p>
    <w:p>
      <w:pPr>
        <w:spacing w:after="0" w:line="11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October 2021, the Company granted 435,000 PSUs to executive employees with an aggregated grant date fair value of $2.3 million. Vesting for 50% of the PSUs granted will occur upon achievement of certain specific milestones within one year of the grant date ("2021-Tranche-1") and the remaining 50% will vest upon achievement of additional company objectives within two years of the grant date ("2021-Tranche-2").</w:t>
      </w:r>
    </w:p>
    <w:p>
      <w:pPr>
        <w:spacing w:after="0" w:line="20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July 2022, the Company determined that the performance condition for 2021-Tranche-1 was met and recorded $1.0 million of stock-based compensation expense for the year ended December 31, 2022. In September 2023, the performance condition for 2021-Tranche-2 was modified and the award was vested in September 2023. As a result, the Company recorded $0.1 million of stock-based compensation expense for 2021-Tranche-2 for the year ended December 31, 2023.</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2022 PSU</w:t>
      </w:r>
    </w:p>
    <w:p>
      <w:pPr>
        <w:spacing w:after="0" w:line="11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August 2022, the Company granted 250,000 PSUs to executive employees with an aggregated grant date fair value of approximately $0.4 million. Vesting for 50% of the PSUs granted was set to occur upon attaining certain specific milestones by December 2023 (“2022-Tranche-1”), and the remaining 50% was set to vest upon attaining certain specific milestones by December 2024 (“2022-Tranche-2”). For the year ended December 31, 2022, the Company recorded $55,000 compensation cost for the Tranche-1 award. In December 2023, the Company determined that the performance condition for 2022-Tranche-1 was satisfied and the award was vested in December 2023. As a result, the Company recorded the remaining $128,000 compensation cost for the 2022-Tranche-1 award for the year ended December 31, 2023. In August 2024, the Company determined that the performance condition for the 2022-Tranche-2 had been satisfied and the award was vested in August 2024. As a result the Company recorded $77,000 and $106,000 stock-based compensation cost for 2022-Tranche 2 for the years ended December 31, 2024 and 2023,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2023 PSU</w:t>
      </w:r>
    </w:p>
    <w:p>
      <w:pPr>
        <w:spacing w:after="0" w:line="11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February 2023, the Company granted 760,000 PSUs to executive employees with an aggregated grant date fair value of approximately $1.9 million. Vesting for 50% of the PSUs granted will occur upon attaining certain specific milestones by December 2024 (“2023-Tranche-1”), and the remaining 50% will vest upon attaining certain specific milestones by December 2025 (“2023-Tranche-2”). As of December 31, 2024, the PSUs for 2023-Tranche-1 were cancelled as the related performance condition was not met by December 2024. The Company determined that it is not probable that the performance condition will be satisfied for 2023-Tranche-2 and no compensation cost was recorded for these awards through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2024 PSU</w:t>
      </w:r>
    </w:p>
    <w:p>
      <w:pPr>
        <w:spacing w:after="0" w:line="11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January 2024, the Company granted 810,000 PSUs to executive employees with an aggregated grant date fair value of approximately $1.3 million. Vesting for 50% of the PSUs granted will occur upon attaining certain specific milestones by December 2025 (“2024-Tranche-1”), and the remaining 50% will vest upon attaining certain specific milestones by December 2026 (“2024-Tranche-2”). The Company determined that it is not probable that the performance conditions will be satisfied for each of these tranches and hence no compensation cost was recorded for these awards through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PSU activities: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15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24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124"/>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2"/>
                <w:szCs w:val="12"/>
                <w:color w:val="auto"/>
              </w:rPr>
            </w:pPr>
          </w:p>
        </w:tc>
        <w:tc>
          <w:tcPr>
            <w:tcW w:w="134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5420" w:type="dxa"/>
            <w:vAlign w:val="bottom"/>
          </w:tcPr>
          <w:p>
            <w:pPr>
              <w:spacing w:after="0"/>
              <w:rPr>
                <w:sz w:val="15"/>
                <w:szCs w:val="15"/>
                <w:color w:val="auto"/>
              </w:rPr>
            </w:pPr>
          </w:p>
        </w:tc>
        <w:tc>
          <w:tcPr>
            <w:tcW w:w="12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Value Per Share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875,000</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PSUs awarded</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810,000</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PSUs vested</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(115,000 )</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PSUs forfeited</w:t>
            </w: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(380,000 )</w:t>
            </w: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1,190,000</w:t>
            </w:r>
          </w:p>
        </w:tc>
        <w:tc>
          <w:tcPr>
            <w:tcW w:w="220" w:type="dxa"/>
            <w:vAlign w:val="bottom"/>
            <w:tcBorders>
              <w:top w:val="single" w:sz="8" w:color="CFF0FC"/>
            </w:tcBorders>
          </w:tcPr>
          <w:p>
            <w:pPr>
              <w:spacing w:after="0"/>
              <w:rPr>
                <w:sz w:val="18"/>
                <w:szCs w:val="18"/>
                <w:color w:val="auto"/>
              </w:rPr>
            </w:pPr>
          </w:p>
        </w:tc>
        <w:tc>
          <w:tcPr>
            <w:tcW w:w="12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400" w:type="dxa"/>
            <w:vAlign w:val="bottom"/>
            <w:tcBorders>
              <w:top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360" w:type="dxa"/>
            <w:vAlign w:val="bottom"/>
            <w:tcBorders>
              <w:top w:val="single" w:sz="8" w:color="CFF0FC"/>
            </w:tcBorders>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-170815</wp:posOffset>
            </wp:positionV>
            <wp:extent cx="768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December 31, 2024, the unrecognized compensation expense with respect to PSUs granted was $2.3 million and is expected to be recognized over 1.34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Concurrent with the completion of the IPO in October 2015, the Company’s Employee Stock Purchase Plan (“ESPP”) became effective. The ESPP allows eligible employees to purchase shares of the Company’s common stock at a discount through payroll deductions of up to 15% of their eligible compensation, subject to any plan limitations. The ESPP generally provides for six-month offering periods, and at the end of each offering period, employees are able to purchase shares at 85% of the lower of the fair market value of the Company’s common stock on the first trading day of the offering period or on the last trading day of the offering period. The Company issued 383,346 and 406,928 shares of common stock under the ESPP in 2024 and 2023, respectively.</w:t>
      </w:r>
    </w:p>
    <w:p>
      <w:pPr>
        <w:spacing w:after="0" w:line="187"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Shares available for future purchase under the ESPP were 556,352 shares and 939,698 shares at December 31, 2024 and 2023, respectively. The compensation expense related to the ESPP was $0.3 million, $0.3 million for the years ended December 31, 2024 and 2023, respectively. As of December 31, 2024, there was $0.1 million of unrecognized compensation cost related to the ESPP, which the Company expects to recognize over 5 months.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recorded related to stock options, TRSUs, PSUs and the ESPP was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4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7040" w:type="dxa"/>
            <w:vAlign w:val="bottom"/>
          </w:tcPr>
          <w:p>
            <w:pPr>
              <w:spacing w:after="0"/>
              <w:rPr>
                <w:sz w:val="13"/>
                <w:szCs w:val="13"/>
                <w:color w:val="auto"/>
              </w:rPr>
            </w:pPr>
          </w:p>
        </w:tc>
        <w:tc>
          <w:tcPr>
            <w:tcW w:w="11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715"/>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3"/>
                <w:szCs w:val="13"/>
                <w:color w:val="auto"/>
              </w:rPr>
            </w:pPr>
          </w:p>
        </w:tc>
      </w:tr>
      <w:tr>
        <w:trPr>
          <w:trHeight w:val="209"/>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1020" w:type="dxa"/>
            <w:vAlign w:val="bottom"/>
            <w:gridSpan w:val="2"/>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20" w:type="dxa"/>
            <w:vAlign w:val="bottom"/>
            <w:shd w:val="clear" w:color="auto" w:fill="CFF0FC"/>
          </w:tcPr>
          <w:p>
            <w:pPr>
              <w:spacing w:after="0"/>
              <w:rPr>
                <w:sz w:val="18"/>
                <w:szCs w:val="18"/>
                <w:color w:val="auto"/>
              </w:rPr>
            </w:pPr>
          </w:p>
        </w:tc>
      </w:tr>
      <w:tr>
        <w:trPr>
          <w:trHeight w:val="21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4,952</w:t>
            </w:r>
          </w:p>
        </w:tc>
        <w:tc>
          <w:tcPr>
            <w:tcW w:w="2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5,637</w:t>
            </w:r>
          </w:p>
        </w:tc>
        <w:tc>
          <w:tcPr>
            <w:tcW w:w="120" w:type="dxa"/>
            <w:vAlign w:val="bottom"/>
          </w:tcPr>
          <w:p>
            <w:pPr>
              <w:spacing w:after="0"/>
              <w:rPr>
                <w:sz w:val="18"/>
                <w:szCs w:val="18"/>
                <w:color w:val="auto"/>
              </w:rPr>
            </w:pPr>
          </w:p>
        </w:tc>
      </w:tr>
      <w:tr>
        <w:trPr>
          <w:trHeight w:val="250"/>
        </w:trPr>
        <w:tc>
          <w:tcPr>
            <w:tcW w:w="7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60" w:type="dxa"/>
            <w:vAlign w:val="bottom"/>
            <w:tcBorders>
              <w:bottom w:val="single" w:sz="8" w:color="auto"/>
            </w:tcBorders>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7,668</w:t>
            </w:r>
          </w:p>
        </w:tc>
        <w:tc>
          <w:tcPr>
            <w:tcW w:w="28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8,558</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Assumptions: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employee stock options and ESPP using the Black-Scholes valuation model based on the date of grant with the following weighted average assumptions:</w:t>
      </w:r>
    </w:p>
    <w:p>
      <w:pPr>
        <w:spacing w:after="0" w:line="223" w:lineRule="exact"/>
        <w:rPr>
          <w:sz w:val="20"/>
          <w:szCs w:val="20"/>
          <w:color w:val="auto"/>
        </w:rPr>
      </w:pPr>
    </w:p>
    <w:p>
      <w:pPr>
        <w:ind w:left="5720"/>
        <w:spacing w:after="0"/>
        <w:tabs>
          <w:tab w:leader="none" w:pos="9280" w:val="left"/>
        </w:tabs>
        <w:rPr>
          <w:sz w:val="20"/>
          <w:szCs w:val="20"/>
          <w:color w:val="auto"/>
        </w:rPr>
      </w:pPr>
      <w:r>
        <w:rPr>
          <w:rFonts w:ascii="Times New Roman" w:cs="Times New Roman" w:eastAsia="Times New Roman" w:hAnsi="Times New Roman"/>
          <w:sz w:val="14"/>
          <w:szCs w:val="14"/>
          <w:b w:val="1"/>
          <w:bCs w:val="1"/>
          <w:color w:val="auto"/>
        </w:rPr>
        <w:t>Options</w:t>
      </w:r>
      <w:r>
        <w:rPr>
          <w:sz w:val="20"/>
          <w:szCs w:val="20"/>
          <w:color w:val="auto"/>
        </w:rPr>
        <w:tab/>
      </w:r>
      <w:r>
        <w:rPr>
          <w:rFonts w:ascii="Times New Roman" w:cs="Times New Roman" w:eastAsia="Times New Roman" w:hAnsi="Times New Roman"/>
          <w:sz w:val="14"/>
          <w:szCs w:val="14"/>
          <w:b w:val="1"/>
          <w:bCs w:val="1"/>
          <w:color w:val="auto"/>
        </w:rPr>
        <w:t>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7620</wp:posOffset>
            </wp:positionV>
            <wp:extent cx="422592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22592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69"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7620</wp:posOffset>
            </wp:positionV>
            <wp:extent cx="19888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49" w:lineRule="exact"/>
        <w:rPr>
          <w:sz w:val="20"/>
          <w:szCs w:val="20"/>
          <w:color w:val="auto"/>
        </w:rPr>
      </w:pPr>
    </w:p>
    <w:p>
      <w:pPr>
        <w:ind w:left="4980"/>
        <w:spacing w:after="0"/>
        <w:tabs>
          <w:tab w:leader="none" w:pos="66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7620</wp:posOffset>
            </wp:positionV>
            <wp:extent cx="199707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49"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32" w:lineRule="exact"/>
        <w:rPr>
          <w:sz w:val="20"/>
          <w:szCs w:val="20"/>
          <w:color w:val="auto"/>
        </w:rPr>
      </w:pPr>
    </w:p>
    <w:p>
      <w:pPr>
        <w:sectPr>
          <w:pgSz w:w="11900" w:h="16838" w:orient="portrait"/>
          <w:cols w:equalWidth="0" w:num="2">
            <w:col w:w="7780" w:space="720"/>
            <w:col w:w="2740"/>
          </w:cols>
          <w:pgMar w:left="320" w:top="765"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0"/>
        </w:trPr>
        <w:tc>
          <w:tcPr>
            <w:tcW w:w="440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Expected volatility</w:t>
            </w:r>
          </w:p>
        </w:tc>
        <w:tc>
          <w:tcPr>
            <w:tcW w:w="620" w:type="dxa"/>
            <w:vAlign w:val="bottom"/>
          </w:tcPr>
          <w:p>
            <w:pPr>
              <w:spacing w:after="0"/>
              <w:rPr>
                <w:sz w:val="16"/>
                <w:szCs w:val="16"/>
                <w:color w:val="auto"/>
              </w:rPr>
            </w:pPr>
          </w:p>
        </w:tc>
        <w:tc>
          <w:tcPr>
            <w:tcW w:w="104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84.0 %</w:t>
            </w:r>
          </w:p>
        </w:tc>
        <w:tc>
          <w:tcPr>
            <w:tcW w:w="620" w:type="dxa"/>
            <w:vAlign w:val="bottom"/>
          </w:tcPr>
          <w:p>
            <w:pPr>
              <w:spacing w:after="0"/>
              <w:rPr>
                <w:sz w:val="16"/>
                <w:szCs w:val="16"/>
                <w:color w:val="auto"/>
              </w:rPr>
            </w:pPr>
          </w:p>
        </w:tc>
        <w:tc>
          <w:tcPr>
            <w:tcW w:w="122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84.0 %</w:t>
            </w:r>
          </w:p>
        </w:tc>
        <w:tc>
          <w:tcPr>
            <w:tcW w:w="620" w:type="dxa"/>
            <w:vAlign w:val="bottom"/>
          </w:tcPr>
          <w:p>
            <w:pPr>
              <w:spacing w:after="0"/>
              <w:rPr>
                <w:sz w:val="16"/>
                <w:szCs w:val="16"/>
                <w:color w:val="auto"/>
              </w:rPr>
            </w:pPr>
          </w:p>
        </w:tc>
        <w:tc>
          <w:tcPr>
            <w:tcW w:w="104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104 %</w:t>
            </w:r>
          </w:p>
        </w:tc>
        <w:tc>
          <w:tcPr>
            <w:tcW w:w="640" w:type="dxa"/>
            <w:vAlign w:val="bottom"/>
          </w:tcPr>
          <w:p>
            <w:pPr>
              <w:spacing w:after="0"/>
              <w:rPr>
                <w:sz w:val="16"/>
                <w:szCs w:val="16"/>
                <w:color w:val="auto"/>
              </w:rPr>
            </w:pPr>
          </w:p>
        </w:tc>
        <w:tc>
          <w:tcPr>
            <w:tcW w:w="104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70.2 %</w:t>
            </w:r>
          </w:p>
        </w:tc>
      </w:tr>
      <w:tr>
        <w:trPr>
          <w:trHeight w:val="216"/>
        </w:trPr>
        <w:tc>
          <w:tcPr>
            <w:tcW w:w="4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Risk-free interest rate</w:t>
            </w:r>
          </w:p>
        </w:tc>
        <w:tc>
          <w:tcPr>
            <w:tcW w:w="6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4.0 %</w:t>
            </w:r>
          </w:p>
        </w:tc>
        <w:tc>
          <w:tcPr>
            <w:tcW w:w="6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4.2 %</w:t>
            </w:r>
          </w:p>
        </w:tc>
        <w:tc>
          <w:tcPr>
            <w:tcW w:w="6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5.0 %</w:t>
            </w:r>
          </w:p>
        </w:tc>
        <w:tc>
          <w:tcPr>
            <w:tcW w:w="6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5.4 %</w:t>
            </w:r>
          </w:p>
        </w:tc>
      </w:tr>
      <w:tr>
        <w:trPr>
          <w:trHeight w:val="216"/>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 yield</w:t>
            </w:r>
          </w:p>
        </w:tc>
        <w:tc>
          <w:tcPr>
            <w:tcW w:w="6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Expected term (in years)</w:t>
            </w:r>
          </w:p>
        </w:tc>
        <w:tc>
          <w:tcPr>
            <w:tcW w:w="6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shd w:val="clear" w:color="auto" w:fill="CFF0FC"/>
          </w:tcPr>
          <w:p>
            <w:pPr>
              <w:spacing w:after="0"/>
              <w:rPr>
                <w:sz w:val="18"/>
                <w:szCs w:val="18"/>
                <w:color w:val="auto"/>
              </w:rPr>
            </w:pPr>
          </w:p>
        </w:tc>
      </w:tr>
      <w:tr>
        <w:trPr>
          <w:trHeight w:val="198"/>
        </w:trPr>
        <w:tc>
          <w:tcPr>
            <w:tcW w:w="44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Weighted average fair value</w:t>
            </w: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 share</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tcPr>
          <w:p>
            <w:pPr>
              <w:spacing w:after="0"/>
              <w:rPr>
                <w:sz w:val="20"/>
                <w:szCs w:val="20"/>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380" w:type="dxa"/>
            <w:vAlign w:val="bottom"/>
          </w:tcPr>
          <w:p>
            <w:pPr>
              <w:spacing w:after="0"/>
              <w:rPr>
                <w:sz w:val="20"/>
                <w:szCs w:val="20"/>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80" w:type="dxa"/>
            <w:vAlign w:val="bottom"/>
          </w:tcPr>
          <w:p>
            <w:pPr>
              <w:spacing w:after="0"/>
              <w:rPr>
                <w:sz w:val="20"/>
                <w:szCs w:val="20"/>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80" w:type="dxa"/>
            <w:vAlign w:val="bottom"/>
          </w:tcPr>
          <w:p>
            <w:pPr>
              <w:spacing w:after="0"/>
              <w:rPr>
                <w:sz w:val="20"/>
                <w:szCs w:val="20"/>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derives its income only from the United States. The components of the provision for income taxes are as follows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20" w:type="dxa"/>
            <w:vAlign w:val="bottom"/>
            <w:tcBorders>
              <w:bottom w:val="single" w:sz="8" w:color="auto"/>
            </w:tcBorders>
            <w:gridSpan w:val="6"/>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7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10"/>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9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3,892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current</w:t>
            </w:r>
          </w:p>
        </w:tc>
        <w:tc>
          <w:tcPr>
            <w:tcW w:w="9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3,892</w:t>
            </w:r>
          </w:p>
        </w:tc>
        <w:tc>
          <w:tcPr>
            <w:tcW w:w="100" w:type="dxa"/>
            <w:vAlign w:val="bottom"/>
          </w:tcPr>
          <w:p>
            <w:pPr>
              <w:spacing w:after="0"/>
              <w:rPr>
                <w:sz w:val="18"/>
                <w:szCs w:val="18"/>
                <w:color w:val="auto"/>
              </w:rPr>
            </w:pPr>
          </w:p>
        </w:tc>
      </w:tr>
      <w:tr>
        <w:trPr>
          <w:trHeight w:val="216"/>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9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980" w:type="dxa"/>
            <w:vAlign w:val="bottom"/>
          </w:tcPr>
          <w:p>
            <w:pPr>
              <w:spacing w:after="0"/>
              <w:rPr>
                <w:sz w:val="18"/>
                <w:szCs w:val="18"/>
                <w:color w:val="auto"/>
              </w:rPr>
            </w:pPr>
          </w:p>
        </w:tc>
        <w:tc>
          <w:tcPr>
            <w:tcW w:w="86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gridSpan w:val="2"/>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deferred</w:t>
            </w:r>
          </w:p>
        </w:tc>
        <w:tc>
          <w:tcPr>
            <w:tcW w:w="980" w:type="dxa"/>
            <w:vAlign w:val="bottom"/>
          </w:tcPr>
          <w:p>
            <w:pPr>
              <w:spacing w:after="0"/>
              <w:rPr>
                <w:sz w:val="18"/>
                <w:szCs w:val="18"/>
                <w:color w:val="auto"/>
              </w:rPr>
            </w:pPr>
          </w:p>
        </w:tc>
        <w:tc>
          <w:tcPr>
            <w:tcW w:w="86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720" w:type="dxa"/>
            <w:vAlign w:val="bottom"/>
            <w:tcBorders>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80" w:type="dxa"/>
            <w:vAlign w:val="bottom"/>
            <w:tcBorders>
              <w:top w:val="single" w:sz="8" w:color="auto"/>
              <w:bottom w:val="single" w:sz="8" w:color="auto"/>
            </w:tcBorders>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top w:val="single" w:sz="8" w:color="auto"/>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53"/>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reconciliation of the Company’s effective tax rate to the statutory U.S. federal rate is as follows:</w:t>
            </w: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75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75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22"/>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9"/>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0"/>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federal taxes at statutory rate</w:t>
            </w:r>
          </w:p>
        </w:tc>
        <w:tc>
          <w:tcPr>
            <w:tcW w:w="980" w:type="dxa"/>
            <w:vAlign w:val="bottom"/>
            <w:shd w:val="clear" w:color="auto" w:fill="CFF0FC"/>
          </w:tcPr>
          <w:p>
            <w:pPr>
              <w:spacing w:after="0"/>
              <w:rPr>
                <w:sz w:val="18"/>
                <w:szCs w:val="18"/>
                <w:color w:val="auto"/>
              </w:rPr>
            </w:pPr>
          </w:p>
        </w:tc>
        <w:tc>
          <w:tcPr>
            <w:tcW w:w="7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(478.7 )</w:t>
            </w:r>
          </w:p>
        </w:tc>
        <w:tc>
          <w:tcPr>
            <w:tcW w:w="100" w:type="dxa"/>
            <w:vAlign w:val="bottom"/>
          </w:tcPr>
          <w:p>
            <w:pPr>
              <w:spacing w:after="0"/>
              <w:rPr>
                <w:sz w:val="18"/>
                <w:szCs w:val="18"/>
                <w:color w:val="auto"/>
              </w:rPr>
            </w:pPr>
          </w:p>
        </w:tc>
      </w:tr>
      <w:tr>
        <w:trPr>
          <w:trHeight w:val="216"/>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98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9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(41.6 )</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162(m) limitation</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117.1 %</w:t>
            </w:r>
          </w:p>
        </w:tc>
      </w:tr>
      <w:tr>
        <w:trPr>
          <w:trHeight w:val="20"/>
        </w:trPr>
        <w:tc>
          <w:tcPr>
            <w:tcW w:w="7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-2665095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-2665095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-2108200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-1816735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-1799590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-1816735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-170815</wp:posOffset>
            </wp:positionV>
            <wp:extent cx="12001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-170815</wp:posOffset>
            </wp:positionV>
            <wp:extent cx="12001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4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types of temporary differences that give rise to significant portions of the Company’s deferred income tax assets and liabilities are set out below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6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56"/>
        </w:trPr>
        <w:tc>
          <w:tcPr>
            <w:tcW w:w="772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62,544</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56,767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22,111</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47,286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8,770</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 174 capitalized research and development costs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32,630</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gross deferred income tax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164,217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178,813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(162,110 )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(175,454 )</w:t>
            </w:r>
          </w:p>
        </w:tc>
      </w:tr>
      <w:tr>
        <w:trPr>
          <w:trHeight w:val="210"/>
        </w:trPr>
        <w:tc>
          <w:tcPr>
            <w:tcW w:w="77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28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100" w:type="dxa"/>
            <w:vAlign w:val="bottom"/>
            <w:tcBorders>
              <w:top w:val="single" w:sz="8" w:color="CFF0FC"/>
            </w:tcBorders>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Fixed assets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(1,903 )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(3,061 )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(203 )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(193 )</w:t>
            </w:r>
          </w:p>
        </w:tc>
      </w:tr>
      <w:tr>
        <w:trPr>
          <w:trHeight w:val="20"/>
        </w:trPr>
        <w:tc>
          <w:tcPr>
            <w:tcW w:w="77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(2,107 )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(3,359 )</w:t>
            </w:r>
          </w:p>
        </w:tc>
      </w:tr>
      <w:tr>
        <w:trPr>
          <w:trHeight w:val="249"/>
        </w:trPr>
        <w:tc>
          <w:tcPr>
            <w:tcW w:w="77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deferred income tax liabilities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-1156970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-873760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-316865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has established a valuation allowance against all of its net deferred tax assets. Management considered all available evidence, both positive and negative, including but not limited to our historical operating results, income or loss in recent periods, cumulative losses in recent years, forecasted earnings, future taxable income, and significant risk and uncertainty related to forecasts, and concluded the deferred tax assets are not more likely than not to be realized. The net change in the total valuation allowance for the years ended December 31, 2024 and 2023 was a decrease of $13.4 million and an increase of $9.4 million, respectively.</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had net operating loss carryforwards for federal and state income tax purposes of approximately $294.3 million and $36.7 million, respectively, as of December 31, 2024, available to reduce future taxable income. Of the federal net operating loss carryforwards, $65.6 million will begin to expire in 2034, if not utilized and $228.7 million will carried forward indefinitely. The state net operating loss carryforwards will begin to expire in 2032, if not utilized.</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also has federal and state research and development tax credit carryforwards of $26.0 million and $14.5 million, respectively, as of December 31, 2024 available to reduce future income taxes. The federal research and development tax credits will begin to expire in 2031 if not utilized. The state research and development tax credits will carryforward indefinitely.</w:t>
      </w:r>
    </w:p>
    <w:p>
      <w:pPr>
        <w:spacing w:after="0" w:line="21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Internal Revenue Code section 382 (“IRC Section 382”) places a limitation (the “Section 382 Limitation”) on the amount of taxable income that can be offset by net operating loss (“NOL”) carryforwards after a change in control (generally greater than 50% change in ownership) of a loss corporation. California has similar rules. The Company has performed an IRC Section 382 analysis and determined there was an ownership change in 2017 that resulted in 382 limitations. When an ownership change occurs, IRC Section 382 limits the use of NOLs and credits in subsequent periods based on the annual 382 limitations. The annual 382 limitations may limit the full use of available tax attributes in one year but the identified ownership changes may not result in expiration of tax attributes for use prior to expiration of their respective carryforward periods. Accordingly, none of the tax attributes have been reduced but limited the full use in 2018. The Company has determined that, while an ownership change has occurred, the applicable limits would not impair the value or anticipated use of the Company’s federal and state net operating losses. Although realization is not assured, management believes it is more likely than not that any limitation under IRC Section 382 will not impair the realizability of the deferred income tax assets related to federal and state net operating loss carryforwards. The Company reviewed its stock ownership for the year ended December 31, 2024 and concluded no ownership changes occurred in current year which would result in a reduction of its net operating loss or in its research and development credits expiring unused. If the additional ownership change occurs, the utilization of net operating loss and credit carryforwards could be significantly reduced.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unrecognized tax benefit amount is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840" w:type="dxa"/>
            <w:vAlign w:val="bottom"/>
            <w:tcBorders>
              <w:bottom w:val="single" w:sz="8" w:color="auto"/>
            </w:tcBorders>
            <w:gridSpan w:val="5"/>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772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3"/>
                <w:szCs w:val="13"/>
                <w:color w:val="auto"/>
              </w:rPr>
            </w:pPr>
          </w:p>
        </w:tc>
        <w:tc>
          <w:tcPr>
            <w:tcW w:w="280" w:type="dxa"/>
            <w:vAlign w:val="bottom"/>
            <w:gridSpan w:val="2"/>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19,377</w:t>
            </w:r>
          </w:p>
        </w:tc>
        <w:tc>
          <w:tcPr>
            <w:tcW w:w="1280" w:type="dxa"/>
            <w:vAlign w:val="bottom"/>
            <w:gridSpan w:val="3"/>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9,269</w:t>
            </w:r>
          </w:p>
        </w:tc>
        <w:tc>
          <w:tcPr>
            <w:tcW w:w="100" w:type="dxa"/>
            <w:vAlign w:val="bottom"/>
            <w:shd w:val="clear" w:color="auto" w:fill="CFF0FC"/>
          </w:tcPr>
          <w:p>
            <w:pPr>
              <w:spacing w:after="0"/>
              <w:rPr>
                <w:sz w:val="20"/>
                <w:szCs w:val="20"/>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 based on tax positions related to current year</w:t>
            </w: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21"/>
                <w:szCs w:val="21"/>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 based on tax positions related to prior years</w:t>
            </w:r>
          </w:p>
        </w:tc>
        <w:tc>
          <w:tcPr>
            <w:tcW w:w="98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19,994</w:t>
            </w:r>
          </w:p>
        </w:tc>
        <w:tc>
          <w:tcPr>
            <w:tcW w:w="1280" w:type="dxa"/>
            <w:vAlign w:val="bottom"/>
            <w:gridSpan w:val="3"/>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19,377</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Of the unrecognized tax benefits as of each of December 31, 2024 and 2023, approximately $2.3 million, would affect the Company’s effective tax rate if recognized. Penalties and interest of $1.0 million and $0.8 million, respectively, have been accrued for as of December 31, 2024.</w:t>
      </w:r>
    </w:p>
    <w:p>
      <w:pPr>
        <w:spacing w:after="0" w:line="1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files income taxes in the U.S. federal jurisdiction, the state of California and various other U.S. states. The state of California contested the Company’s tax position on revenue apportionment for upfront and milestone payments resulting from the Company’s collaboration and licensing agreements for the years 2017 and 2018. In September 2023, the Company received Notice of Proposed Assessment (“NOPA”) from the Franchise Tax Board. The Company recorded an uncertain tax position of $4.1 million in long term liabilities for the proposed tax assessment, penalties and interest through December 31, 2024. Additional utilization of carryforward attributes and indirect federal tax effects of the assessment would result in a reduction in deferred tax assets of $5.1 million. The Company filed a protest to contest the proposed assessment in November 2023. Due to the ongoing nature of the examination and discussions with the state of California, the Company is unable to estimate a date by which this matter will be resolved.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Defined Contribution Plan</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sponsors a defined contribution plan under Section 401(k) of the Internal Revenue Code covering substantially all full-time U.S. employees. Employee contributions are voluntary and are determined on an individual basis subject to the maximum allowable under federal tax regulations. During the years ended December 31, 2024 and 2023, the Company made contributions to the plan of $0.6 million, $0.5 million,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Disclosures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operates as a single operating segment. The Chief Executive Officer is identified as the Chief Operating Decision Maker (CODM). The CODM primarily reviews the Company’s financial information on an aggregate basis. The CODM utilizes the aggregated financial information to make strategic decisions, assess performance, and allocate resources across the Company. The aggregate information includes the revenue by collaboration partner, research and development expense by program, as well as net income that is reported on the Statements of Operations and Comprehensive Income (Loss). Net income (loss) is used to monitor budget versus actual results in assessing performance of the segment and in establishing management's compensation. The measure of segment assets is reported on the Balance Sheets as total assets. All of the Company’s long-lived assets are located in the United States. In addition to the revenue by collaborative partners disclosed in Note 8, the CODM reviews the following significant expenses in making decisions about the allocation of resources and assessing performance (in thousands):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800" w:type="dxa"/>
            <w:vAlign w:val="bottom"/>
            <w:tcBorders>
              <w:bottom w:val="single" w:sz="8" w:color="auto"/>
            </w:tcBorders>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772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9"/>
        </w:trPr>
        <w:tc>
          <w:tcPr>
            <w:tcW w:w="7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60" w:type="dxa"/>
            <w:vAlign w:val="bottom"/>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138,103</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101,214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External costs incurred by product candidate (target):</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CX-904 (EGFRxCD3)</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CX-2051 (EpCAM)</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17,846</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9,966</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CX-801 (IFNα2b)</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CX-2029 (CD71)</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wholly owned and partnered programs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research and development expenses</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16,288</w:t>
            </w:r>
          </w:p>
        </w:tc>
        <w:tc>
          <w:tcPr>
            <w:tcW w:w="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9,906</w:t>
            </w:r>
          </w:p>
        </w:tc>
        <w:tc>
          <w:tcPr>
            <w:tcW w:w="100" w:type="dxa"/>
            <w:vAlign w:val="bottom"/>
          </w:tcPr>
          <w:p>
            <w:pPr>
              <w:spacing w:after="0"/>
              <w:rPr>
                <w:sz w:val="18"/>
                <w:szCs w:val="18"/>
                <w:color w:val="auto"/>
              </w:rPr>
            </w:pPr>
          </w:p>
        </w:tc>
      </w:tr>
      <w:tr>
        <w:trPr>
          <w:trHeight w:val="209"/>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 external costs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51,201</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43,380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Internal costs</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32,181</w:t>
            </w:r>
          </w:p>
        </w:tc>
        <w:tc>
          <w:tcPr>
            <w:tcW w:w="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34,300</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83,382</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77,680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29,726</w:t>
            </w:r>
          </w:p>
        </w:tc>
        <w:tc>
          <w:tcPr>
            <w:tcW w:w="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30,018</w:t>
            </w:r>
          </w:p>
        </w:tc>
        <w:tc>
          <w:tcPr>
            <w:tcW w:w="100" w:type="dxa"/>
            <w:vAlign w:val="bottom"/>
          </w:tcPr>
          <w:p>
            <w:pPr>
              <w:spacing w:after="0"/>
              <w:rPr>
                <w:sz w:val="18"/>
                <w:szCs w:val="18"/>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24,995</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(6,484 )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(38 )</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(30 )</w:t>
            </w:r>
          </w:p>
        </w:tc>
      </w:tr>
      <w:tr>
        <w:trPr>
          <w:trHeight w:val="210"/>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Income/(loss) before income taxes</w:t>
            </w:r>
          </w:p>
        </w:tc>
        <w:tc>
          <w:tcPr>
            <w:tcW w:w="9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32,093</w:t>
            </w:r>
          </w:p>
        </w:tc>
        <w:tc>
          <w:tcPr>
            <w:tcW w:w="28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100" w:type="dxa"/>
            <w:vAlign w:val="bottom"/>
            <w:tcBorders>
              <w:top w:val="single" w:sz="8" w:color="CFF0FC"/>
            </w:tcBorders>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31,869</w:t>
            </w:r>
          </w:p>
        </w:tc>
        <w:tc>
          <w:tcPr>
            <w:tcW w:w="280" w:type="dxa"/>
            <w:vAlign w:val="bottom"/>
          </w:tcPr>
          <w:p>
            <w:pPr>
              <w:spacing w:after="0"/>
              <w:rPr>
                <w:sz w:val="18"/>
                <w:szCs w:val="18"/>
                <w:color w:val="auto"/>
              </w:rPr>
            </w:pP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(569 )</w:t>
            </w:r>
          </w:p>
        </w:tc>
      </w:tr>
      <w:tr>
        <w:trPr>
          <w:trHeight w:val="20"/>
        </w:trPr>
        <w:tc>
          <w:tcPr>
            <w:tcW w:w="77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-454025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w:t>
      </w:r>
    </w:p>
    <w:p>
      <w:pPr>
        <w:spacing w:after="0" w:line="236" w:lineRule="exact"/>
        <w:rPr>
          <w:sz w:val="20"/>
          <w:szCs w:val="20"/>
          <w:color w:val="auto"/>
        </w:rPr>
      </w:pPr>
    </w:p>
    <w:p>
      <w:pPr>
        <w:jc w:val="both"/>
        <w:ind w:right="140"/>
        <w:spacing w:after="0"/>
        <w:rPr>
          <w:sz w:val="20"/>
          <w:szCs w:val="20"/>
          <w:color w:val="auto"/>
        </w:rPr>
      </w:pPr>
      <w:r>
        <w:rPr>
          <w:rFonts w:ascii="Times New Roman" w:cs="Times New Roman" w:eastAsia="Times New Roman" w:hAnsi="Times New Roman"/>
          <w:sz w:val="18"/>
          <w:szCs w:val="18"/>
          <w:color w:val="auto"/>
        </w:rPr>
        <w:t>On January 6, 2025, the Company announced a restructuring plan to streamline its organization and prioritize CX-2051 (EpCAM PROBODY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ADC) and its activities to support its research collaborations. The restructuring plan will result in a reduction to its workforce by approximately 40% and is expected to be substantially completed in the first quarter of 2025. The Company estimates that it will incur aggregate restructuring charges of approximately $4.0 million, primarily related to one-time severance payments and other employee-related costs, which the Company expects will be substantially recorded in the first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7" w:name="page118"/>
    <w:bookmarkEnd w:id="117"/>
    <w:p>
      <w:pPr>
        <w:ind w:right="39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of 1934, as amended (the “Exchange Act”) refers to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In designing and evaluating the disclosure controls and procedures,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of December 31, 2024, the end of the period covered by this Annual Report on Form 10-K. Based on that evaluation, the Company's Principal Executive Officer and Principal Financial Officer concluded that, as of December 31, 2024, our disclosure controls and procedures were effective at a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2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Exchange Act Rules 13a-15(f) and 15d-15(f).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the financial statements in accordance with generally accepted accounting principles,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conducted an evaluation of the effectiveness of our internal control over financial reporting based on the framework in Internal Control – Integrated Framework (2013 framework) issued by the Committee of Sponsoring Organizations of the Treadway Commission. Based on our evaluation under the framework in Internal Control – Integrated Framework, the Company's Principal Executive Officer and Principal Financial Officer concluded that, as of December 31, 2024, our internal control over financial reporting was effective.</w:t>
      </w:r>
    </w:p>
    <w:p>
      <w:pPr>
        <w:spacing w:after="0" w:line="18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2024 has also been audited by Ernst &amp; Young LLP, an independent registered public accounting firm, as stated in its report included in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that occurred during our fiscal quarter ended December 31, 2024, that has materially affected, or is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Arrangements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118" w:name="page119"/>
    <w:bookmarkEnd w:id="118"/>
    <w:p>
      <w:pPr>
        <w:ind w:right="340"/>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2024, none of our directors or officers (as defined in Rule 16a-1(f) under the Securities Exchange Act of 1934, as amended) adopted, terminated or modified a “Rule 10b5-1 trading arrangement” or “non-Rule 10b5-1 trading arrangement,” as each term is defined in Item 408(a)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of CX-2009 &amp; CX-2029</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January 31, 2025, the Company sent formal notice of termination to AbbVie Global Enterprises Ltd. (“AbbVie”) regarding the Transition Agreement dated August 22, 2023 between AbbVie and the Company (the “AbbVie Transition Agreement”) and the sublicense pertaining to CX-2029 under the AbbVie Transition Agreement. The Company previously announced in 2023 that it would not significantly invest in further development and has now terminated AbbVie Transition Agreement.</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Qn January 31, 2025, the Company sent formal notice of termination to ImmunoGen, Inc. ( “ImmunoGen”, now AbbVie) regarding the License Agreement dated February 16, 2016 between ImmunoGen and the Company (the “ImmunoGen License Agreement”) and the sublicense pertaining to CX-2009 under the Immunogen License Agreement. The Company previously announced it would end development work of CX-2009 in 2022 and has now terminated ImmunoGen License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Executive Retention Program</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further incentivize the Company’s executive efforts critical to 2025 goals of the Company, and to recognize their continued commitment to the organization, the Board approved a 2025 cash incentive award program (the “Retention Program”) effective upon filing of the annual report on Form 10-K for the fiscal year 2024. The Retention Program is conditioned on the achievement by the Company of $50 million of new capital from all sources by December 31, 2025, and continued employment by the Company as of the date of completion of the performance condition. Under this Retention Program, Company executives will be eligible to receive a one-time cash payment equal to 50% of annual target bonus incentive of such executive upon the successful completion of this performance condition if employed on such date. No retention awards will be earned or issued if the new capital condition is not met by December 31, 2025. Executives did not earn and the Company did not pay annual cash bonus for 2024.</w:t>
      </w:r>
    </w:p>
    <w:p>
      <w:pPr>
        <w:spacing w:after="0" w:line="185" w:lineRule="exact"/>
        <w:rPr>
          <w:sz w:val="20"/>
          <w:szCs w:val="20"/>
          <w:color w:val="auto"/>
        </w:rPr>
      </w:pPr>
    </w:p>
    <w:p>
      <w:pPr>
        <w:ind w:right="53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9" w:right="379"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employees, including our Principal Executive Officer, Principal Financial Officer, Principal Accounting Officer or Controller, or persons performing similar functions. The code of business conduct and ethics is available on our website at www.cytomx.com. Amendments to, and waivers from, the code of business conduct and ethics that apply to any director, executive officer or persons performing similar functions will be disclosed at the website address provided above and, to the extent required by applicable regulations, on a Current Report on Form 8-K filed with the SEC.</w:t>
      </w:r>
    </w:p>
    <w:p>
      <w:pPr>
        <w:spacing w:after="0" w:line="183"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(the “Corporate Securities Trading Policy”) governing the purchase, sale and other dispositions of our securities by our directors, officers and employees that we believe is reasonably designed to promote compliance with insider trading laws, rules and regulations, and any applicable listing standards. A copy of our Corporate Securities Trading Policy as Exhibit 19.1 to the Annual Report on Form 10-K for the year ended December 31, 2023 was filed with the SEC on March 11,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119" w:lineRule="exact"/>
        <w:rPr>
          <w:sz w:val="20"/>
          <w:szCs w:val="20"/>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p>
    <w:p>
      <w:pPr>
        <w:spacing w:after="0" w:line="227" w:lineRule="exact"/>
        <w:rPr>
          <w:sz w:val="20"/>
          <w:szCs w:val="20"/>
          <w:color w:val="auto"/>
        </w:rPr>
      </w:pPr>
    </w:p>
    <w:p>
      <w:pPr>
        <w:ind w:right="1060"/>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by Item 15(a) are filed as part of this Annual Report on Form 10-K under Item 8 “Financial Statements and Supplementary Data.”</w:t>
      </w:r>
    </w:p>
    <w:p>
      <w:pPr>
        <w:spacing w:after="0" w:line="52" w:lineRule="exact"/>
        <w:rPr>
          <w:sz w:val="20"/>
          <w:szCs w:val="20"/>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financial statement schedules required by Item 15(a) are omitted because they are not applicable, not required or the required information is included in the financial statements or notes thereto as filed in Item 8 of this Annual Report on Form 10-K.</w:t>
      </w:r>
    </w:p>
    <w:p>
      <w:pPr>
        <w:spacing w:after="0" w:line="52" w:lineRule="exact"/>
        <w:rPr>
          <w:sz w:val="20"/>
          <w:szCs w:val="20"/>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07"/>
        </w:trPr>
        <w:tc>
          <w:tcPr>
            <w:tcW w:w="9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80" w:type="dxa"/>
            <w:vAlign w:val="bottom"/>
            <w:gridSpan w:val="16"/>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20" w:type="dxa"/>
            <w:vAlign w:val="bottom"/>
          </w:tcPr>
          <w:p>
            <w:pPr>
              <w:spacing w:after="0"/>
              <w:rPr>
                <w:sz w:val="9"/>
                <w:szCs w:val="9"/>
                <w:color w:val="auto"/>
              </w:rPr>
            </w:pPr>
          </w:p>
        </w:tc>
        <w:tc>
          <w:tcPr>
            <w:tcW w:w="1000" w:type="dxa"/>
            <w:vAlign w:val="bottom"/>
            <w:vMerge w:val="restart"/>
          </w:tcPr>
          <w:p>
            <w:pPr>
              <w:jc w:val="center"/>
              <w:ind w:left="171"/>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2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80" w:type="dxa"/>
            <w:vAlign w:val="bottom"/>
            <w:tcBorders>
              <w:bottom w:val="single" w:sz="8" w:color="auto"/>
            </w:tcBorders>
            <w:gridSpan w:val="16"/>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85"/>
        </w:trPr>
        <w:tc>
          <w:tcPr>
            <w:tcW w:w="9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300">
              <w:r>
                <w:rPr>
                  <w:rFonts w:ascii="Times New Roman" w:cs="Times New Roman" w:eastAsia="Times New Roman" w:hAnsi="Times New Roman"/>
                  <w:sz w:val="18"/>
                  <w:szCs w:val="18"/>
                  <w:color w:val="0000FF"/>
                  <w:w w:val="99"/>
                </w:rPr>
                <w:t>Amended and Restated Certificate of Incorporation.</w:t>
              </w:r>
            </w:hyperlink>
          </w:p>
        </w:tc>
        <w:tc>
          <w:tcPr>
            <w:tcW w:w="20" w:type="dxa"/>
            <w:vAlign w:val="bottom"/>
            <w:tcBorders>
              <w:bottom w:val="single" w:sz="8" w:color="0000EE"/>
            </w:tcBorders>
          </w:tcPr>
          <w:p>
            <w:pPr>
              <w:spacing w:after="0"/>
              <w:rPr>
                <w:sz w:val="24"/>
                <w:szCs w:val="24"/>
                <w:color w:val="auto"/>
              </w:rPr>
            </w:pPr>
          </w:p>
        </w:tc>
        <w:tc>
          <w:tcPr>
            <w:tcW w:w="268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5/17/2024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301">
              <w:r>
                <w:rPr>
                  <w:rFonts w:ascii="Times New Roman" w:cs="Times New Roman" w:eastAsia="Times New Roman" w:hAnsi="Times New Roman"/>
                  <w:sz w:val="18"/>
                  <w:szCs w:val="18"/>
                  <w:color w:val="0000FF"/>
                  <w:w w:val="99"/>
                </w:rPr>
                <w:t>Amended and Restated Bylaws of CytomX Therapeutics, Inc,. effective March 20, 2024.</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3/22/2024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Reference is made to exhibits 3.1 through 3.2.</w:t>
            </w: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gridSpan w:val="22"/>
          </w:tcPr>
          <w:p>
            <w:pPr>
              <w:spacing w:after="0"/>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Specimen Common Stock Certificate.</w:t>
              </w:r>
            </w:hyperlink>
          </w:p>
        </w:tc>
        <w:tc>
          <w:tcPr>
            <w:tcW w:w="20" w:type="dxa"/>
            <w:vAlign w:val="bottom"/>
          </w:tcPr>
          <w:p>
            <w:pPr>
              <w:spacing w:after="0"/>
              <w:rPr>
                <w:sz w:val="24"/>
                <w:szCs w:val="24"/>
                <w:color w:val="auto"/>
              </w:rPr>
            </w:pPr>
          </w:p>
        </w:tc>
        <w:tc>
          <w:tcPr>
            <w:tcW w:w="100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97"/>
              </w:rPr>
              <w:t>S-1/A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9/28/2015</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Registration Rights Agreement dated as of September 29, 2017 by and between CytomX</w:t>
              </w:r>
            </w:hyperlink>
          </w:p>
        </w:tc>
        <w:tc>
          <w:tcPr>
            <w:tcW w:w="20" w:type="dxa"/>
            <w:vAlign w:val="bottom"/>
          </w:tcPr>
          <w:p>
            <w:pPr>
              <w:spacing w:after="0"/>
              <w:rPr>
                <w:sz w:val="24"/>
                <w:szCs w:val="24"/>
                <w:color w:val="auto"/>
              </w:rPr>
            </w:pPr>
          </w:p>
        </w:tc>
        <w:tc>
          <w:tcPr>
            <w:tcW w:w="1000" w:type="dxa"/>
            <w:vAlign w:val="bottom"/>
            <w:vMerge w:val="restart"/>
          </w:tcPr>
          <w:p>
            <w:pPr>
              <w:jc w:val="center"/>
              <w:ind w:left="171"/>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11/7/2017</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40" w:type="dxa"/>
            <w:vAlign w:val="bottom"/>
            <w:gridSpan w:val="5"/>
            <w:vMerge w:val="restart"/>
          </w:tcPr>
          <w:p>
            <w:pPr>
              <w:spacing w:after="0" w:line="196" w:lineRule="exact"/>
              <w:rPr>
                <w:rFonts w:ascii="Times New Roman" w:cs="Times New Roman" w:eastAsia="Times New Roman" w:hAnsi="Times New Roman"/>
                <w:sz w:val="18"/>
                <w:szCs w:val="18"/>
                <w:color w:val="0000FF"/>
                <w:w w:val="99"/>
              </w:rPr>
            </w:pPr>
            <w:hyperlink r:id="rId303">
              <w:r>
                <w:rPr>
                  <w:rFonts w:ascii="Times New Roman" w:cs="Times New Roman" w:eastAsia="Times New Roman" w:hAnsi="Times New Roman"/>
                  <w:sz w:val="18"/>
                  <w:szCs w:val="18"/>
                  <w:color w:val="0000FF"/>
                  <w:w w:val="99"/>
                </w:rPr>
                <w:t>Therapeutics, Inc. and Amgen, Inc.</w:t>
              </w:r>
            </w:hyperlink>
          </w:p>
        </w:tc>
        <w:tc>
          <w:tcPr>
            <w:tcW w:w="20" w:type="dxa"/>
            <w:vAlign w:val="bottom"/>
            <w:vMerge w:val="restart"/>
          </w:tcPr>
          <w:p>
            <w:pPr>
              <w:spacing w:after="0"/>
              <w:rPr>
                <w:sz w:val="11"/>
                <w:szCs w:val="11"/>
                <w:color w:val="auto"/>
              </w:rPr>
            </w:pPr>
          </w:p>
        </w:tc>
        <w:tc>
          <w:tcPr>
            <w:tcW w:w="3880" w:type="dxa"/>
            <w:vAlign w:val="bottom"/>
            <w:gridSpan w:val="16"/>
            <w:vMerge w:val="restart"/>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540" w:type="dxa"/>
            <w:vAlign w:val="bottom"/>
            <w:tcBorders>
              <w:bottom w:val="single" w:sz="8" w:color="0000FF"/>
            </w:tcBorders>
            <w:gridSpan w:val="5"/>
            <w:vMerge w:val="continue"/>
          </w:tcPr>
          <w:p>
            <w:pPr>
              <w:spacing w:after="0"/>
              <w:rPr>
                <w:sz w:val="5"/>
                <w:szCs w:val="5"/>
                <w:color w:val="auto"/>
              </w:rPr>
            </w:pPr>
          </w:p>
        </w:tc>
        <w:tc>
          <w:tcPr>
            <w:tcW w:w="20" w:type="dxa"/>
            <w:vAlign w:val="bottom"/>
            <w:tcBorders>
              <w:bottom w:val="single" w:sz="8" w:color="0000EE"/>
            </w:tcBorders>
            <w:vMerge w:val="continue"/>
          </w:tcPr>
          <w:p>
            <w:pPr>
              <w:spacing w:after="0"/>
              <w:rPr>
                <w:sz w:val="5"/>
                <w:szCs w:val="5"/>
                <w:color w:val="auto"/>
              </w:rPr>
            </w:pPr>
          </w:p>
        </w:tc>
        <w:tc>
          <w:tcPr>
            <w:tcW w:w="3880" w:type="dxa"/>
            <w:vAlign w:val="bottom"/>
            <w:gridSpan w:val="16"/>
            <w:vMerge w:val="continue"/>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2"/>
        </w:trPr>
        <w:tc>
          <w:tcPr>
            <w:tcW w:w="9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304">
              <w:r>
                <w:rPr>
                  <w:rFonts w:ascii="Times New Roman" w:cs="Times New Roman" w:eastAsia="Times New Roman" w:hAnsi="Times New Roman"/>
                  <w:sz w:val="18"/>
                  <w:szCs w:val="18"/>
                  <w:color w:val="0000FF"/>
                </w:rPr>
                <w:t>Description of Registrant’s Securities Registered Pursuant to Section 12 of the Securities</w:t>
              </w:r>
            </w:hyperlink>
          </w:p>
        </w:tc>
        <w:tc>
          <w:tcPr>
            <w:tcW w:w="20" w:type="dxa"/>
            <w:vAlign w:val="bottom"/>
            <w:tcBorders>
              <w:bottom w:val="single" w:sz="8" w:color="0000FF"/>
            </w:tcBorders>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6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304">
              <w:r>
                <w:rPr>
                  <w:rFonts w:ascii="Times New Roman" w:cs="Times New Roman" w:eastAsia="Times New Roman" w:hAnsi="Times New Roman"/>
                  <w:sz w:val="18"/>
                  <w:szCs w:val="18"/>
                  <w:color w:val="0000FF"/>
                  <w:w w:val="98"/>
                </w:rPr>
                <w:t>Exchange Act of 1934.</w:t>
              </w:r>
            </w:hyperlink>
          </w:p>
        </w:tc>
        <w:tc>
          <w:tcPr>
            <w:tcW w:w="4780" w:type="dxa"/>
            <w:vAlign w:val="bottom"/>
            <w:gridSpan w:val="20"/>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jc w:val="center"/>
              <w:ind w:left="171"/>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8/6/2020</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8"/>
              </w:rPr>
            </w:pPr>
            <w:hyperlink r:id="rId305">
              <w:r>
                <w:rPr>
                  <w:rFonts w:ascii="Times New Roman" w:cs="Times New Roman" w:eastAsia="Times New Roman" w:hAnsi="Times New Roman"/>
                  <w:sz w:val="18"/>
                  <w:szCs w:val="18"/>
                  <w:color w:val="0000FF"/>
                  <w:w w:val="98"/>
                </w:rPr>
                <w:t>Form of Pre-Funded Warrant</w:t>
              </w:r>
            </w:hyperlink>
          </w:p>
        </w:tc>
        <w:tc>
          <w:tcPr>
            <w:tcW w:w="4340" w:type="dxa"/>
            <w:vAlign w:val="bottom"/>
            <w:gridSpan w:val="18"/>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7/3/2023</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gridSpan w:val="22"/>
          </w:tcPr>
          <w:p>
            <w:pPr>
              <w:spacing w:after="0"/>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Form of Tranche Warrant</w:t>
              </w:r>
            </w:hyperlink>
          </w:p>
        </w:tc>
        <w:tc>
          <w:tcPr>
            <w:tcW w:w="20" w:type="dxa"/>
            <w:vAlign w:val="bottom"/>
          </w:tcPr>
          <w:p>
            <w:pPr>
              <w:spacing w:after="0"/>
              <w:rPr>
                <w:sz w:val="24"/>
                <w:szCs w:val="24"/>
                <w:color w:val="auto"/>
              </w:rPr>
            </w:pPr>
          </w:p>
        </w:tc>
        <w:tc>
          <w:tcPr>
            <w:tcW w:w="100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7/3/2023</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EE"/>
            </w:tcBorders>
            <w:gridSpan w:val="2"/>
            <w:shd w:val="clear" w:color="auto" w:fill="0000FF"/>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99"/>
              </w:rPr>
              <w:t>10.1(a)#</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307">
              <w:r>
                <w:rPr>
                  <w:rFonts w:ascii="Times New Roman" w:cs="Times New Roman" w:eastAsia="Times New Roman" w:hAnsi="Times New Roman"/>
                  <w:sz w:val="18"/>
                  <w:szCs w:val="18"/>
                  <w:color w:val="0000FF"/>
                  <w:w w:val="99"/>
                </w:rPr>
                <w:t>2010 Stock Incentive Plan adopted on September 21, 2010 (“2010 Plan”).</w:t>
              </w:r>
            </w:hyperlink>
          </w:p>
        </w:tc>
        <w:tc>
          <w:tcPr>
            <w:tcW w:w="112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8/28/2015</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10.1(b)#</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308">
              <w:r>
                <w:rPr>
                  <w:rFonts w:ascii="Times New Roman" w:cs="Times New Roman" w:eastAsia="Times New Roman" w:hAnsi="Times New Roman"/>
                  <w:sz w:val="18"/>
                  <w:szCs w:val="18"/>
                  <w:color w:val="0000FF"/>
                  <w:w w:val="99"/>
                </w:rPr>
                <w:t>Form of Stock Option Agreement under the 2010 Plan.</w:t>
              </w:r>
            </w:hyperlink>
          </w:p>
        </w:tc>
        <w:tc>
          <w:tcPr>
            <w:tcW w:w="20" w:type="dxa"/>
            <w:vAlign w:val="bottom"/>
            <w:tcBorders>
              <w:bottom w:val="single" w:sz="8" w:color="0000EE"/>
            </w:tcBorders>
          </w:tcPr>
          <w:p>
            <w:pPr>
              <w:spacing w:after="0"/>
              <w:rPr>
                <w:sz w:val="24"/>
                <w:szCs w:val="24"/>
                <w:color w:val="auto"/>
              </w:rPr>
            </w:pPr>
          </w:p>
        </w:tc>
        <w:tc>
          <w:tcPr>
            <w:tcW w:w="246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8/28/2015</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99"/>
              </w:rPr>
              <w:t>10.2(a)#</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gridSpan w:val="22"/>
          </w:tcPr>
          <w:p>
            <w:pPr>
              <w:spacing w:after="0"/>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2011 Stock Incentive Plan, adopted on February 7, 2012, as amended (“2011 Plan”).</w:t>
              </w:r>
            </w:hyperlink>
          </w:p>
        </w:tc>
        <w:tc>
          <w:tcPr>
            <w:tcW w:w="20" w:type="dxa"/>
            <w:vAlign w:val="bottom"/>
          </w:tcPr>
          <w:p>
            <w:pPr>
              <w:spacing w:after="0"/>
              <w:rPr>
                <w:sz w:val="24"/>
                <w:szCs w:val="24"/>
                <w:color w:val="auto"/>
              </w:rPr>
            </w:pPr>
          </w:p>
        </w:tc>
        <w:tc>
          <w:tcPr>
            <w:tcW w:w="100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8/28/2015</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8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10.2(b)#</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Form of Restricted Stock Award Agreement and Option Exercise Agreement under the</w:t>
              </w:r>
            </w:hyperlink>
          </w:p>
        </w:tc>
        <w:tc>
          <w:tcPr>
            <w:tcW w:w="1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vMerge w:val="restart"/>
          </w:tcPr>
          <w:p>
            <w:pPr>
              <w:jc w:val="center"/>
              <w:ind w:left="171"/>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8/28/2015</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40" w:type="dxa"/>
            <w:vAlign w:val="bottom"/>
            <w:gridSpan w:val="22"/>
            <w:vMerge w:val="restart"/>
          </w:tcPr>
          <w:p>
            <w:pPr>
              <w:spacing w:after="0" w:line="196"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2011 Plan.</w:t>
              </w:r>
            </w:hyperlink>
          </w:p>
        </w:tc>
        <w:tc>
          <w:tcPr>
            <w:tcW w:w="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440" w:type="dxa"/>
            <w:vAlign w:val="bottom"/>
            <w:gridSpan w:val="22"/>
            <w:vMerge w:val="continue"/>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22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99"/>
              </w:rPr>
              <w:t>10.3(a)#</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311">
              <w:r>
                <w:rPr>
                  <w:rFonts w:ascii="Times New Roman" w:cs="Times New Roman" w:eastAsia="Times New Roman" w:hAnsi="Times New Roman"/>
                  <w:sz w:val="18"/>
                  <w:szCs w:val="18"/>
                  <w:color w:val="0000FF"/>
                  <w:w w:val="99"/>
                </w:rPr>
                <w:t>2015 Equity Incentive Plan (“2015 Plan”).</w:t>
              </w:r>
            </w:hyperlink>
          </w:p>
        </w:tc>
        <w:tc>
          <w:tcPr>
            <w:tcW w:w="20" w:type="dxa"/>
            <w:vAlign w:val="bottom"/>
            <w:tcBorders>
              <w:bottom w:val="single" w:sz="8" w:color="0000EE"/>
            </w:tcBorders>
          </w:tcPr>
          <w:p>
            <w:pPr>
              <w:spacing w:after="0"/>
              <w:rPr>
                <w:sz w:val="24"/>
                <w:szCs w:val="24"/>
                <w:color w:val="auto"/>
              </w:rPr>
            </w:pPr>
          </w:p>
        </w:tc>
        <w:tc>
          <w:tcPr>
            <w:tcW w:w="336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97"/>
              </w:rPr>
              <w:t>S-1/A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10/6/2015</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10.3(b)#</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312">
              <w:r>
                <w:rPr>
                  <w:rFonts w:ascii="Times New Roman" w:cs="Times New Roman" w:eastAsia="Times New Roman" w:hAnsi="Times New Roman"/>
                  <w:sz w:val="18"/>
                  <w:szCs w:val="18"/>
                  <w:color w:val="0000FF"/>
                  <w:w w:val="99"/>
                </w:rPr>
                <w:t>Form of 2015 Plan Option Agreement under the 2015 Plan.</w:t>
              </w:r>
            </w:hyperlink>
          </w:p>
        </w:tc>
        <w:tc>
          <w:tcPr>
            <w:tcW w:w="216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11/23/2015</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99"/>
              </w:rPr>
              <w:t>10.3(c)#</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4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313">
              <w:r>
                <w:rPr>
                  <w:rFonts w:ascii="Times New Roman" w:cs="Times New Roman" w:eastAsia="Times New Roman" w:hAnsi="Times New Roman"/>
                  <w:sz w:val="18"/>
                  <w:szCs w:val="18"/>
                  <w:color w:val="0000FF"/>
                  <w:w w:val="99"/>
                </w:rPr>
                <w:t>Form of 2015 Plan Early Exercise Option Agreement</w:t>
              </w:r>
            </w:hyperlink>
          </w:p>
        </w:tc>
        <w:tc>
          <w:tcPr>
            <w:tcW w:w="20" w:type="dxa"/>
            <w:vAlign w:val="bottom"/>
            <w:tcBorders>
              <w:bottom w:val="single" w:sz="8" w:color="0000EE"/>
            </w:tcBorders>
          </w:tcPr>
          <w:p>
            <w:pPr>
              <w:spacing w:after="0"/>
              <w:rPr>
                <w:sz w:val="24"/>
                <w:szCs w:val="24"/>
                <w:color w:val="auto"/>
              </w:rPr>
            </w:pPr>
          </w:p>
        </w:tc>
        <w:tc>
          <w:tcPr>
            <w:tcW w:w="258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11/23/2015</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10.3(d)#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gridSpan w:val="22"/>
          </w:tcPr>
          <w:p>
            <w:pPr>
              <w:spacing w:after="0"/>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Form of 2015 Plan Restricted Share Unit Award Grant Notice and Agreement</w:t>
              </w:r>
            </w:hyperlink>
          </w:p>
        </w:tc>
        <w:tc>
          <w:tcPr>
            <w:tcW w:w="20" w:type="dxa"/>
            <w:vAlign w:val="bottom"/>
          </w:tcPr>
          <w:p>
            <w:pPr>
              <w:spacing w:after="0"/>
              <w:rPr>
                <w:sz w:val="24"/>
                <w:szCs w:val="24"/>
                <w:color w:val="auto"/>
              </w:rPr>
            </w:pPr>
          </w:p>
        </w:tc>
        <w:tc>
          <w:tcPr>
            <w:tcW w:w="100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3/21/2022</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5320" w:type="dxa"/>
            <w:vAlign w:val="bottom"/>
            <w:tcBorders>
              <w:top w:val="single" w:sz="8" w:color="0000FF"/>
            </w:tcBorders>
            <w:gridSpan w:val="17"/>
          </w:tcPr>
          <w:p>
            <w:pPr>
              <w:ind w:left="4440"/>
              <w:spacing w:after="0"/>
              <w:rPr>
                <w:sz w:val="20"/>
                <w:szCs w:val="20"/>
                <w:color w:val="auto"/>
              </w:rPr>
            </w:pPr>
            <w:r>
              <w:rPr>
                <w:rFonts w:ascii="Times New Roman" w:cs="Times New Roman" w:eastAsia="Times New Roman" w:hAnsi="Times New Roman"/>
                <w:sz w:val="18"/>
                <w:szCs w:val="18"/>
                <w:color w:val="auto"/>
              </w:rPr>
              <w:t>119</w:t>
            </w:r>
          </w:p>
        </w:tc>
        <w:tc>
          <w:tcPr>
            <w:tcW w:w="28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10.4(a)#</w:t>
            </w:r>
          </w:p>
        </w:tc>
        <w:tc>
          <w:tcPr>
            <w:tcW w:w="62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2019 Employment Inducement Incentive Plan adopted on September 18, 2019 (“2019</w:t>
              </w:r>
            </w:hyperlink>
          </w:p>
        </w:tc>
        <w:tc>
          <w:tcPr>
            <w:tcW w:w="4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5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317">
              <w:r>
                <w:rPr>
                  <w:rFonts w:ascii="Times New Roman" w:cs="Times New Roman" w:eastAsia="Times New Roman" w:hAnsi="Times New Roman"/>
                  <w:sz w:val="18"/>
                  <w:szCs w:val="18"/>
                  <w:color w:val="0000FF"/>
                  <w:w w:val="94"/>
                </w:rPr>
                <w:t>Plan”).</w:t>
              </w:r>
            </w:hyperlink>
          </w:p>
        </w:tc>
        <w:tc>
          <w:tcPr>
            <w:tcW w:w="20" w:type="dxa"/>
            <w:vAlign w:val="bottom"/>
            <w:tcBorders>
              <w:bottom w:val="single" w:sz="8" w:color="0000EE"/>
            </w:tcBorders>
          </w:tcPr>
          <w:p>
            <w:pPr>
              <w:spacing w:after="0"/>
              <w:rPr>
                <w:sz w:val="17"/>
                <w:szCs w:val="17"/>
                <w:color w:val="auto"/>
              </w:rPr>
            </w:pPr>
          </w:p>
        </w:tc>
        <w:tc>
          <w:tcPr>
            <w:tcW w:w="610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10.4(b)#</w:t>
            </w:r>
          </w:p>
        </w:tc>
        <w:tc>
          <w:tcPr>
            <w:tcW w:w="39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318">
              <w:r>
                <w:rPr>
                  <w:rFonts w:ascii="Times New Roman" w:cs="Times New Roman" w:eastAsia="Times New Roman" w:hAnsi="Times New Roman"/>
                  <w:sz w:val="18"/>
                  <w:szCs w:val="18"/>
                  <w:color w:val="0000FF"/>
                  <w:w w:val="99"/>
                </w:rPr>
                <w:t>Form of Stock Option Agreement under the 2019 Plan.</w:t>
              </w:r>
            </w:hyperlink>
          </w:p>
        </w:tc>
        <w:tc>
          <w:tcPr>
            <w:tcW w:w="20" w:type="dxa"/>
            <w:vAlign w:val="bottom"/>
            <w:tcBorders>
              <w:bottom w:val="single" w:sz="8" w:color="0000EE"/>
            </w:tcBorders>
          </w:tcPr>
          <w:p>
            <w:pPr>
              <w:spacing w:after="0"/>
              <w:rPr>
                <w:sz w:val="24"/>
                <w:szCs w:val="24"/>
                <w:color w:val="auto"/>
              </w:rPr>
            </w:pPr>
          </w:p>
        </w:tc>
        <w:tc>
          <w:tcPr>
            <w:tcW w:w="26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470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319">
              <w:r>
                <w:rPr>
                  <w:rFonts w:ascii="Times New Roman" w:cs="Times New Roman" w:eastAsia="Times New Roman" w:hAnsi="Times New Roman"/>
                  <w:sz w:val="18"/>
                  <w:szCs w:val="18"/>
                  <w:color w:val="0000FF"/>
                  <w:w w:val="99"/>
                </w:rPr>
                <w:t>2015 CytomX Therapeutics, Inc. Employee Stock Purchase Plan.</w:t>
              </w:r>
            </w:hyperlink>
          </w:p>
        </w:tc>
        <w:tc>
          <w:tcPr>
            <w:tcW w:w="20" w:type="dxa"/>
            <w:vAlign w:val="bottom"/>
            <w:tcBorders>
              <w:bottom w:val="single" w:sz="8" w:color="0000EE"/>
            </w:tcBorders>
          </w:tcPr>
          <w:p>
            <w:pPr>
              <w:spacing w:after="0"/>
              <w:rPr>
                <w:sz w:val="24"/>
                <w:szCs w:val="24"/>
                <w:color w:val="auto"/>
              </w:rPr>
            </w:pPr>
          </w:p>
        </w:tc>
        <w:tc>
          <w:tcPr>
            <w:tcW w:w="19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652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Form of Indemnification Agreement by and between CytomX Therapeutics, Inc. and each</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35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320">
              <w:r>
                <w:rPr>
                  <w:rFonts w:ascii="Times New Roman" w:cs="Times New Roman" w:eastAsia="Times New Roman" w:hAnsi="Times New Roman"/>
                  <w:sz w:val="18"/>
                  <w:szCs w:val="18"/>
                  <w:color w:val="0000FF"/>
                  <w:w w:val="99"/>
                </w:rPr>
                <w:t>of its directors and each of its executive officers.</w:t>
              </w:r>
            </w:hyperlink>
          </w:p>
        </w:tc>
        <w:tc>
          <w:tcPr>
            <w:tcW w:w="20" w:type="dxa"/>
            <w:vAlign w:val="bottom"/>
            <w:tcBorders>
              <w:bottom w:val="single" w:sz="8" w:color="0000EE"/>
            </w:tcBorders>
          </w:tcPr>
          <w:p>
            <w:pPr>
              <w:spacing w:after="0"/>
              <w:rPr>
                <w:sz w:val="17"/>
                <w:szCs w:val="17"/>
                <w:color w:val="auto"/>
              </w:rPr>
            </w:pPr>
          </w:p>
        </w:tc>
        <w:tc>
          <w:tcPr>
            <w:tcW w:w="31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628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Employment Offer Letter Agreement between CytomX Therapeutics, Inc. and Sean A.</w:t>
              </w:r>
            </w:hyperlink>
          </w:p>
        </w:tc>
        <w:tc>
          <w:tcPr>
            <w:tcW w:w="3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370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321">
              <w:r>
                <w:rPr>
                  <w:rFonts w:ascii="Times New Roman" w:cs="Times New Roman" w:eastAsia="Times New Roman" w:hAnsi="Times New Roman"/>
                  <w:sz w:val="18"/>
                  <w:szCs w:val="18"/>
                  <w:color w:val="0000FF"/>
                  <w:w w:val="99"/>
                </w:rPr>
                <w:t>McCarthy, D. Phil, dated as of December 15, 2010.</w:t>
              </w:r>
            </w:hyperlink>
          </w:p>
        </w:tc>
        <w:tc>
          <w:tcPr>
            <w:tcW w:w="20" w:type="dxa"/>
            <w:vAlign w:val="bottom"/>
            <w:tcBorders>
              <w:bottom w:val="single" w:sz="8" w:color="0000EE"/>
            </w:tcBorders>
          </w:tcPr>
          <w:p>
            <w:pPr>
              <w:spacing w:after="0"/>
              <w:rPr>
                <w:sz w:val="17"/>
                <w:szCs w:val="17"/>
                <w:color w:val="auto"/>
              </w:rPr>
            </w:pPr>
          </w:p>
        </w:tc>
        <w:tc>
          <w:tcPr>
            <w:tcW w:w="29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10.8#</w:t>
            </w:r>
          </w:p>
        </w:tc>
        <w:tc>
          <w:tcPr>
            <w:tcW w:w="62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Employment Offer Letter Agreement between CytomX Therapeutics, Inc. and Jeffrey</w:t>
              </w:r>
            </w:hyperlink>
          </w:p>
        </w:tc>
        <w:tc>
          <w:tcPr>
            <w:tcW w:w="4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020" w:type="dxa"/>
            <w:vAlign w:val="bottom"/>
            <w:vMerge w:val="continue"/>
          </w:tcPr>
          <w:p>
            <w:pPr>
              <w:spacing w:after="0"/>
              <w:rPr>
                <w:sz w:val="11"/>
                <w:szCs w:val="11"/>
                <w:color w:val="auto"/>
              </w:rPr>
            </w:pPr>
          </w:p>
        </w:tc>
        <w:tc>
          <w:tcPr>
            <w:tcW w:w="2600" w:type="dxa"/>
            <w:vAlign w:val="bottom"/>
            <w:gridSpan w:val="8"/>
            <w:vMerge w:val="restart"/>
          </w:tcPr>
          <w:p>
            <w:pPr>
              <w:spacing w:after="0" w:line="196" w:lineRule="exact"/>
              <w:rPr>
                <w:rFonts w:ascii="Times New Roman" w:cs="Times New Roman" w:eastAsia="Times New Roman" w:hAnsi="Times New Roman"/>
                <w:sz w:val="18"/>
                <w:szCs w:val="18"/>
                <w:color w:val="0000FF"/>
                <w:w w:val="99"/>
              </w:rPr>
            </w:pPr>
            <w:hyperlink r:id="rId322">
              <w:r>
                <w:rPr>
                  <w:rFonts w:ascii="Times New Roman" w:cs="Times New Roman" w:eastAsia="Times New Roman" w:hAnsi="Times New Roman"/>
                  <w:sz w:val="18"/>
                  <w:szCs w:val="18"/>
                  <w:color w:val="0000FF"/>
                  <w:w w:val="99"/>
                </w:rPr>
                <w:t>Landau dated as of March 13, 2021.</w:t>
              </w:r>
            </w:hyperlink>
          </w:p>
        </w:tc>
        <w:tc>
          <w:tcPr>
            <w:tcW w:w="20" w:type="dxa"/>
            <w:vAlign w:val="bottom"/>
            <w:vMerge w:val="restart"/>
          </w:tcPr>
          <w:p>
            <w:pPr>
              <w:spacing w:after="0"/>
              <w:rPr>
                <w:sz w:val="11"/>
                <w:szCs w:val="11"/>
                <w:color w:val="auto"/>
              </w:rPr>
            </w:pPr>
          </w:p>
        </w:tc>
        <w:tc>
          <w:tcPr>
            <w:tcW w:w="4000" w:type="dxa"/>
            <w:vAlign w:val="bottom"/>
            <w:gridSpan w:val="21"/>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020" w:type="dxa"/>
            <w:vAlign w:val="bottom"/>
          </w:tcPr>
          <w:p>
            <w:pPr>
              <w:spacing w:after="0"/>
              <w:rPr>
                <w:sz w:val="5"/>
                <w:szCs w:val="5"/>
                <w:color w:val="auto"/>
              </w:rPr>
            </w:pPr>
          </w:p>
        </w:tc>
        <w:tc>
          <w:tcPr>
            <w:tcW w:w="2600" w:type="dxa"/>
            <w:vAlign w:val="bottom"/>
            <w:tcBorders>
              <w:bottom w:val="single" w:sz="8" w:color="0000FF"/>
            </w:tcBorders>
            <w:gridSpan w:val="8"/>
            <w:vMerge w:val="continue"/>
          </w:tcPr>
          <w:p>
            <w:pPr>
              <w:spacing w:after="0"/>
              <w:rPr>
                <w:sz w:val="5"/>
                <w:szCs w:val="5"/>
                <w:color w:val="auto"/>
              </w:rPr>
            </w:pPr>
          </w:p>
        </w:tc>
        <w:tc>
          <w:tcPr>
            <w:tcW w:w="20" w:type="dxa"/>
            <w:vAlign w:val="bottom"/>
            <w:tcBorders>
              <w:bottom w:val="single" w:sz="8" w:color="0000EE"/>
            </w:tcBorders>
            <w:vMerge w:val="continue"/>
          </w:tcPr>
          <w:p>
            <w:pPr>
              <w:spacing w:after="0"/>
              <w:rPr>
                <w:sz w:val="5"/>
                <w:szCs w:val="5"/>
                <w:color w:val="auto"/>
              </w:rPr>
            </w:pPr>
          </w:p>
        </w:tc>
        <w:tc>
          <w:tcPr>
            <w:tcW w:w="4000" w:type="dxa"/>
            <w:vAlign w:val="bottom"/>
            <w:gridSpan w:val="2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64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Amended and Restated Severance and Change of Control Agreement dated February 27,</w:t>
              </w:r>
            </w:hyperlink>
          </w:p>
        </w:tc>
        <w:tc>
          <w:tcPr>
            <w:tcW w:w="2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570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323">
              <w:r>
                <w:rPr>
                  <w:rFonts w:ascii="Times New Roman" w:cs="Times New Roman" w:eastAsia="Times New Roman" w:hAnsi="Times New Roman"/>
                  <w:sz w:val="18"/>
                  <w:szCs w:val="18"/>
                  <w:color w:val="0000FF"/>
                  <w:w w:val="99"/>
                </w:rPr>
                <w:t>2019, by and between CytomX Therapeutics, Inc. and Sean McCarthy. D. Phil.</w:t>
              </w:r>
            </w:hyperlink>
          </w:p>
        </w:tc>
        <w:tc>
          <w:tcPr>
            <w:tcW w:w="20" w:type="dxa"/>
            <w:vAlign w:val="bottom"/>
            <w:tcBorders>
              <w:bottom w:val="single" w:sz="8" w:color="0000EE"/>
            </w:tcBorders>
          </w:tcPr>
          <w:p>
            <w:pPr>
              <w:spacing w:after="0"/>
              <w:rPr>
                <w:sz w:val="17"/>
                <w:szCs w:val="17"/>
                <w:color w:val="auto"/>
              </w:rPr>
            </w:pPr>
          </w:p>
        </w:tc>
        <w:tc>
          <w:tcPr>
            <w:tcW w:w="9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62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Amended and Restated Severance and Change of Control Agreement dated March 25,</w:t>
              </w:r>
            </w:hyperlink>
          </w:p>
        </w:tc>
        <w:tc>
          <w:tcPr>
            <w:tcW w:w="3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51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324">
              <w:r>
                <w:rPr>
                  <w:rFonts w:ascii="Times New Roman" w:cs="Times New Roman" w:eastAsia="Times New Roman" w:hAnsi="Times New Roman"/>
                  <w:sz w:val="18"/>
                  <w:szCs w:val="18"/>
                  <w:color w:val="0000FF"/>
                  <w:w w:val="99"/>
                </w:rPr>
                <w:t>2019, by and between CytomX Therapeutics, Inc. and Lloyd Rowland.</w:t>
              </w:r>
            </w:hyperlink>
          </w:p>
        </w:tc>
        <w:tc>
          <w:tcPr>
            <w:tcW w:w="20" w:type="dxa"/>
            <w:vAlign w:val="bottom"/>
            <w:tcBorders>
              <w:bottom w:val="single" w:sz="8" w:color="0000EE"/>
            </w:tcBorders>
          </w:tcPr>
          <w:p>
            <w:pPr>
              <w:spacing w:after="0"/>
              <w:rPr>
                <w:sz w:val="17"/>
                <w:szCs w:val="17"/>
                <w:color w:val="auto"/>
              </w:rPr>
            </w:pPr>
          </w:p>
        </w:tc>
        <w:tc>
          <w:tcPr>
            <w:tcW w:w="15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61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Form of Amended and Restated Severance and Change of Control Agreement by and</w:t>
              </w:r>
            </w:hyperlink>
          </w:p>
        </w:tc>
        <w:tc>
          <w:tcPr>
            <w:tcW w:w="4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46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between CytomX Therapeutics, Inc. and each of its executive officers other than Sean A.</w:t>
              </w:r>
            </w:hyperlink>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8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McCarthy.</w:t>
              </w:r>
            </w:hyperlink>
          </w:p>
        </w:tc>
        <w:tc>
          <w:tcPr>
            <w:tcW w:w="580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10.12(a)</w:t>
            </w:r>
          </w:p>
        </w:tc>
        <w:tc>
          <w:tcPr>
            <w:tcW w:w="662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326">
              <w:r>
                <w:rPr>
                  <w:rFonts w:ascii="Times New Roman" w:cs="Times New Roman" w:eastAsia="Times New Roman" w:hAnsi="Times New Roman"/>
                  <w:sz w:val="18"/>
                  <w:szCs w:val="18"/>
                  <w:color w:val="0000FF"/>
                  <w:w w:val="99"/>
                </w:rPr>
                <w:t>Lease dated as of December 10, 2015, by and between CytomX Therapeutics, Inc. and HCP</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56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326">
              <w:r>
                <w:rPr>
                  <w:rFonts w:ascii="Times New Roman" w:cs="Times New Roman" w:eastAsia="Times New Roman" w:hAnsi="Times New Roman"/>
                  <w:sz w:val="18"/>
                  <w:szCs w:val="18"/>
                  <w:color w:val="0000FF"/>
                  <w:w w:val="98"/>
                </w:rPr>
                <w:t>Oyster Point III LLC.</w:t>
              </w:r>
            </w:hyperlink>
          </w:p>
        </w:tc>
        <w:tc>
          <w:tcPr>
            <w:tcW w:w="20" w:type="dxa"/>
            <w:vAlign w:val="bottom"/>
            <w:tcBorders>
              <w:bottom w:val="single" w:sz="8" w:color="0000EE"/>
            </w:tcBorders>
          </w:tcPr>
          <w:p>
            <w:pPr>
              <w:spacing w:after="0"/>
              <w:rPr>
                <w:sz w:val="17"/>
                <w:szCs w:val="17"/>
                <w:color w:val="auto"/>
              </w:rPr>
            </w:pPr>
          </w:p>
        </w:tc>
        <w:tc>
          <w:tcPr>
            <w:tcW w:w="504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10.12(b)</w:t>
            </w:r>
          </w:p>
        </w:tc>
        <w:tc>
          <w:tcPr>
            <w:tcW w:w="64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Sublease Agreement dated as of March 24, 2023, by and between CytomX Therapeutics,</w:t>
              </w:r>
            </w:hyperlink>
          </w:p>
        </w:tc>
        <w:tc>
          <w:tcPr>
            <w:tcW w:w="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72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8"/>
              </w:rPr>
            </w:pPr>
            <w:hyperlink r:id="rId327">
              <w:r>
                <w:rPr>
                  <w:rFonts w:ascii="Times New Roman" w:cs="Times New Roman" w:eastAsia="Times New Roman" w:hAnsi="Times New Roman"/>
                  <w:sz w:val="18"/>
                  <w:szCs w:val="18"/>
                  <w:color w:val="0000FF"/>
                  <w:w w:val="98"/>
                </w:rPr>
                <w:t>Inc and Atomic AI, Inc.</w:t>
              </w:r>
            </w:hyperlink>
          </w:p>
        </w:tc>
        <w:tc>
          <w:tcPr>
            <w:tcW w:w="20" w:type="dxa"/>
            <w:vAlign w:val="bottom"/>
            <w:tcBorders>
              <w:bottom w:val="single" w:sz="8" w:color="0000EE"/>
            </w:tcBorders>
          </w:tcPr>
          <w:p>
            <w:pPr>
              <w:spacing w:after="0"/>
              <w:rPr>
                <w:sz w:val="17"/>
                <w:szCs w:val="17"/>
                <w:color w:val="auto"/>
              </w:rPr>
            </w:pPr>
          </w:p>
        </w:tc>
        <w:tc>
          <w:tcPr>
            <w:tcW w:w="488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10.13(a)</w:t>
            </w:r>
          </w:p>
        </w:tc>
        <w:tc>
          <w:tcPr>
            <w:tcW w:w="662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Exclusive License Agreement dated as of August 19, 2010, by and between The Regents of</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44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the University of California and CytomX Therapeutics, Inc., as amended by Amendment</w:t>
              </w:r>
            </w:hyperlink>
          </w:p>
        </w:tc>
        <w:tc>
          <w:tcPr>
            <w:tcW w:w="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020" w:right="460"/>
        <w:spacing w:after="0" w:line="282" w:lineRule="auto"/>
        <w:rPr>
          <w:rFonts w:ascii="Times New Roman" w:cs="Times New Roman" w:eastAsia="Times New Roman" w:hAnsi="Times New Roman"/>
          <w:sz w:val="18"/>
          <w:szCs w:val="18"/>
          <w:u w:val="single" w:color="auto"/>
          <w:color w:val="0000FF"/>
        </w:rPr>
      </w:pPr>
      <w:hyperlink r:id="rId328">
        <w:r>
          <w:rPr>
            <w:rFonts w:ascii="Times New Roman" w:cs="Times New Roman" w:eastAsia="Times New Roman" w:hAnsi="Times New Roman"/>
            <w:sz w:val="18"/>
            <w:szCs w:val="18"/>
            <w:u w:val="single" w:color="auto"/>
            <w:color w:val="0000FF"/>
          </w:rPr>
          <w:t>No. 1 to Exclusive Agreement effective as of May 30, 2013 and Amendment No. 2 to</w:t>
        </w:r>
      </w:hyperlink>
      <w:r>
        <w:rPr>
          <w:rFonts w:ascii="Times New Roman" w:cs="Times New Roman" w:eastAsia="Times New Roman" w:hAnsi="Times New Roman"/>
          <w:sz w:val="18"/>
          <w:szCs w:val="18"/>
          <w:u w:val="single" w:color="auto"/>
          <w:color w:val="0000FF"/>
        </w:rPr>
        <w:t xml:space="preserve"> </w:t>
      </w:r>
      <w:hyperlink r:id="rId328">
        <w:r>
          <w:rPr>
            <w:rFonts w:ascii="Times New Roman" w:cs="Times New Roman" w:eastAsia="Times New Roman" w:hAnsi="Times New Roman"/>
            <w:sz w:val="18"/>
            <w:szCs w:val="18"/>
            <w:u w:val="single" w:color="auto"/>
            <w:color w:val="0000FF"/>
          </w:rPr>
          <w:t>Exclusive Agreement effective as of November 8,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-185420</wp:posOffset>
            </wp:positionV>
            <wp:extent cx="394398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9">
                      <a:extLst>
                        <a:ext uri="{28A0092B-C50C-407E-A947-70E740481C1C}"/>
                      </a:extLst>
                    </a:blip>
                    <a:srcRect/>
                    <a:stretch>
                      <a:fillRect/>
                    </a:stretch>
                  </pic:blipFill>
                  <pic:spPr bwMode="auto">
                    <a:xfrm>
                      <a:off x="0" y="0"/>
                      <a:ext cx="3943985" cy="8890"/>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-48260</wp:posOffset>
            </wp:positionV>
            <wp:extent cx="25730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0">
                      <a:extLst>
                        <a:ext uri="{28A0092B-C50C-407E-A947-70E740481C1C}"/>
                      </a:extLst>
                    </a:blip>
                    <a:srcRect/>
                    <a:stretch>
                      <a:fillRect/>
                    </a:stretch>
                  </pic:blipFill>
                  <pic:spPr bwMode="auto">
                    <a:xfrm>
                      <a:off x="0" y="0"/>
                      <a:ext cx="25730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20"/>
        <w:spacing w:after="0"/>
        <w:tabs>
          <w:tab w:leader="none" w:pos="780" w:val="left"/>
          <w:tab w:leader="none" w:pos="192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11/7/2019</w:t>
      </w:r>
      <w:r>
        <w:rPr>
          <w:sz w:val="20"/>
          <w:szCs w:val="20"/>
          <w:color w:val="auto"/>
        </w:rPr>
        <w:tab/>
      </w:r>
      <w:r>
        <w:rPr>
          <w:rFonts w:ascii="Times New Roman" w:cs="Times New Roman" w:eastAsia="Times New Roman" w:hAnsi="Times New Roman"/>
          <w:sz w:val="18"/>
          <w:szCs w:val="18"/>
          <w:color w:val="auto"/>
        </w:rPr>
        <w:t>10.1</w:t>
      </w:r>
    </w:p>
    <w:p>
      <w:pPr>
        <w:spacing w:after="0" w:line="333" w:lineRule="exact"/>
        <w:rPr>
          <w:sz w:val="20"/>
          <w:szCs w:val="20"/>
          <w:color w:val="auto"/>
        </w:rPr>
      </w:pPr>
    </w:p>
    <w:p>
      <w:pPr>
        <w:ind w:left="20"/>
        <w:spacing w:after="0"/>
        <w:tabs>
          <w:tab w:leader="none" w:pos="780" w:val="left"/>
          <w:tab w:leader="none" w:pos="192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11/7/2019</w:t>
      </w:r>
      <w:r>
        <w:rPr>
          <w:sz w:val="20"/>
          <w:szCs w:val="20"/>
          <w:color w:val="auto"/>
        </w:rPr>
        <w:tab/>
      </w:r>
      <w:r>
        <w:rPr>
          <w:rFonts w:ascii="Times New Roman" w:cs="Times New Roman" w:eastAsia="Times New Roman" w:hAnsi="Times New Roman"/>
          <w:sz w:val="18"/>
          <w:szCs w:val="18"/>
          <w:color w:val="auto"/>
        </w:rPr>
        <w:t>10.2</w:t>
      </w:r>
    </w:p>
    <w:p>
      <w:pPr>
        <w:spacing w:after="0" w:line="225" w:lineRule="exact"/>
        <w:rPr>
          <w:sz w:val="20"/>
          <w:szCs w:val="20"/>
          <w:color w:val="auto"/>
        </w:rPr>
      </w:pPr>
    </w:p>
    <w:p>
      <w:pPr>
        <w:spacing w:after="0"/>
        <w:tabs>
          <w:tab w:leader="none" w:pos="780" w:val="left"/>
          <w:tab w:leader="none" w:pos="1920" w:val="left"/>
        </w:tabs>
        <w:rPr>
          <w:sz w:val="20"/>
          <w:szCs w:val="20"/>
          <w:color w:val="auto"/>
        </w:rPr>
      </w:pPr>
      <w:r>
        <w:rPr>
          <w:rFonts w:ascii="Times New Roman" w:cs="Times New Roman" w:eastAsia="Times New Roman" w:hAnsi="Times New Roman"/>
          <w:sz w:val="18"/>
          <w:szCs w:val="18"/>
          <w:color w:val="auto"/>
        </w:rPr>
        <w:t>S-1/A</w:t>
      </w:r>
      <w:r>
        <w:rPr>
          <w:sz w:val="20"/>
          <w:szCs w:val="20"/>
          <w:color w:val="auto"/>
        </w:rPr>
        <w:tab/>
      </w:r>
      <w:r>
        <w:rPr>
          <w:rFonts w:ascii="Times New Roman" w:cs="Times New Roman" w:eastAsia="Times New Roman" w:hAnsi="Times New Roman"/>
          <w:sz w:val="18"/>
          <w:szCs w:val="18"/>
          <w:color w:val="auto"/>
        </w:rPr>
        <w:t>9/28/2015</w:t>
      </w:r>
      <w:r>
        <w:rPr>
          <w:sz w:val="20"/>
          <w:szCs w:val="20"/>
          <w:color w:val="auto"/>
        </w:rPr>
        <w:tab/>
      </w:r>
      <w:r>
        <w:rPr>
          <w:rFonts w:ascii="Times New Roman" w:cs="Times New Roman" w:eastAsia="Times New Roman" w:hAnsi="Times New Roman"/>
          <w:sz w:val="18"/>
          <w:szCs w:val="18"/>
          <w:color w:val="auto"/>
        </w:rPr>
        <w:t>10.6</w:t>
      </w:r>
    </w:p>
    <w:p>
      <w:pPr>
        <w:spacing w:after="0" w:line="333" w:lineRule="exact"/>
        <w:rPr>
          <w:sz w:val="20"/>
          <w:szCs w:val="20"/>
          <w:color w:val="auto"/>
        </w:rPr>
      </w:pPr>
    </w:p>
    <w:p>
      <w:pPr>
        <w:ind w:left="80"/>
        <w:spacing w:after="0"/>
        <w:tabs>
          <w:tab w:leader="none" w:pos="780" w:val="left"/>
          <w:tab w:leader="none" w:pos="1880" w:val="left"/>
        </w:tabs>
        <w:rPr>
          <w:sz w:val="20"/>
          <w:szCs w:val="20"/>
          <w:color w:val="auto"/>
        </w:rPr>
      </w:pPr>
      <w:r>
        <w:rPr>
          <w:rFonts w:ascii="Times New Roman" w:cs="Times New Roman" w:eastAsia="Times New Roman" w:hAnsi="Times New Roman"/>
          <w:sz w:val="18"/>
          <w:szCs w:val="18"/>
          <w:color w:val="auto"/>
        </w:rPr>
        <w:t>S-1</w:t>
      </w:r>
      <w:r>
        <w:rPr>
          <w:sz w:val="20"/>
          <w:szCs w:val="20"/>
          <w:color w:val="auto"/>
        </w:rPr>
        <w:tab/>
      </w:r>
      <w:r>
        <w:rPr>
          <w:rFonts w:ascii="Times New Roman" w:cs="Times New Roman" w:eastAsia="Times New Roman" w:hAnsi="Times New Roman"/>
          <w:sz w:val="18"/>
          <w:szCs w:val="18"/>
          <w:color w:val="auto"/>
        </w:rPr>
        <w:t>8/28/2015</w:t>
      </w:r>
      <w:r>
        <w:rPr>
          <w:sz w:val="20"/>
          <w:szCs w:val="20"/>
          <w:color w:val="auto"/>
        </w:rPr>
        <w:tab/>
      </w:r>
      <w:r>
        <w:rPr>
          <w:rFonts w:ascii="Times New Roman" w:cs="Times New Roman" w:eastAsia="Times New Roman" w:hAnsi="Times New Roman"/>
          <w:sz w:val="17"/>
          <w:szCs w:val="17"/>
          <w:color w:val="auto"/>
        </w:rPr>
        <w:t>10.16</w:t>
      </w:r>
    </w:p>
    <w:p>
      <w:pPr>
        <w:spacing w:after="0" w:line="200" w:lineRule="exact"/>
        <w:rPr>
          <w:sz w:val="20"/>
          <w:szCs w:val="20"/>
          <w:color w:val="auto"/>
        </w:rPr>
      </w:pPr>
    </w:p>
    <w:p>
      <w:pPr>
        <w:spacing w:after="0" w:line="241" w:lineRule="exact"/>
        <w:rPr>
          <w:sz w:val="20"/>
          <w:szCs w:val="20"/>
          <w:color w:val="auto"/>
        </w:rPr>
      </w:pPr>
    </w:p>
    <w:p>
      <w:pPr>
        <w:ind w:left="80"/>
        <w:spacing w:after="0"/>
        <w:tabs>
          <w:tab w:leader="none" w:pos="780" w:val="left"/>
          <w:tab w:leader="none" w:pos="1920" w:val="left"/>
        </w:tabs>
        <w:rPr>
          <w:sz w:val="20"/>
          <w:szCs w:val="20"/>
          <w:color w:val="auto"/>
        </w:rPr>
      </w:pPr>
      <w:r>
        <w:rPr>
          <w:rFonts w:ascii="Times New Roman" w:cs="Times New Roman" w:eastAsia="Times New Roman" w:hAnsi="Times New Roman"/>
          <w:sz w:val="18"/>
          <w:szCs w:val="18"/>
          <w:color w:val="auto"/>
        </w:rPr>
        <w:t>S-1</w:t>
      </w:r>
      <w:r>
        <w:rPr>
          <w:sz w:val="20"/>
          <w:szCs w:val="20"/>
          <w:color w:val="auto"/>
        </w:rPr>
        <w:tab/>
      </w:r>
      <w:r>
        <w:rPr>
          <w:rFonts w:ascii="Times New Roman" w:cs="Times New Roman" w:eastAsia="Times New Roman" w:hAnsi="Times New Roman"/>
          <w:sz w:val="18"/>
          <w:szCs w:val="18"/>
          <w:color w:val="auto"/>
        </w:rPr>
        <w:t>8/28/2015</w:t>
      </w:r>
      <w:r>
        <w:rPr>
          <w:sz w:val="20"/>
          <w:szCs w:val="20"/>
          <w:color w:val="auto"/>
        </w:rPr>
        <w:tab/>
      </w:r>
      <w:r>
        <w:rPr>
          <w:rFonts w:ascii="Times New Roman" w:cs="Times New Roman" w:eastAsia="Times New Roman" w:hAnsi="Times New Roman"/>
          <w:sz w:val="18"/>
          <w:szCs w:val="18"/>
          <w:color w:val="auto"/>
        </w:rPr>
        <w:t>10.7</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820" w:val="left"/>
          <w:tab w:leader="none" w:pos="192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8/8/2023</w:t>
      </w:r>
      <w:r>
        <w:rPr>
          <w:sz w:val="20"/>
          <w:szCs w:val="20"/>
          <w:color w:val="auto"/>
        </w:rPr>
        <w:tab/>
      </w:r>
      <w:r>
        <w:rPr>
          <w:rFonts w:ascii="Times New Roman" w:cs="Times New Roman" w:eastAsia="Times New Roman" w:hAnsi="Times New Roman"/>
          <w:sz w:val="18"/>
          <w:szCs w:val="18"/>
          <w:color w:val="auto"/>
        </w:rPr>
        <w:t>10.3</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820" w:val="left"/>
          <w:tab w:leader="none" w:pos="192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5/9/2019</w:t>
      </w:r>
      <w:r>
        <w:rPr>
          <w:sz w:val="20"/>
          <w:szCs w:val="20"/>
          <w:color w:val="auto"/>
        </w:rPr>
        <w:tab/>
      </w: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820" w:val="left"/>
          <w:tab w:leader="none" w:pos="192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5/9/2019</w:t>
      </w:r>
      <w:r>
        <w:rPr>
          <w:sz w:val="20"/>
          <w:szCs w:val="20"/>
          <w:color w:val="auto"/>
        </w:rPr>
        <w:tab/>
      </w: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349" w:lineRule="exact"/>
        <w:rPr>
          <w:sz w:val="20"/>
          <w:szCs w:val="20"/>
          <w:color w:val="auto"/>
        </w:rPr>
      </w:pPr>
    </w:p>
    <w:p>
      <w:pPr>
        <w:ind w:left="20"/>
        <w:spacing w:after="0"/>
        <w:tabs>
          <w:tab w:leader="none" w:pos="820" w:val="left"/>
          <w:tab w:leader="none" w:pos="192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8/8/2023</w:t>
      </w:r>
      <w:r>
        <w:rPr>
          <w:sz w:val="20"/>
          <w:szCs w:val="20"/>
          <w:color w:val="auto"/>
        </w:rPr>
        <w:tab/>
      </w: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349" w:lineRule="exact"/>
        <w:rPr>
          <w:sz w:val="20"/>
          <w:szCs w:val="20"/>
          <w:color w:val="auto"/>
        </w:rPr>
      </w:pPr>
    </w:p>
    <w:p>
      <w:pPr>
        <w:ind w:left="60"/>
        <w:spacing w:after="0"/>
        <w:tabs>
          <w:tab w:leader="none" w:pos="740" w:val="left"/>
          <w:tab w:leader="none" w:pos="19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12/16/2015</w:t>
      </w:r>
      <w:r>
        <w:rPr>
          <w:sz w:val="20"/>
          <w:szCs w:val="20"/>
          <w:color w:val="auto"/>
        </w:rPr>
        <w:tab/>
      </w: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820" w:val="left"/>
          <w:tab w:leader="none" w:pos="192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5/9/2023</w:t>
      </w:r>
      <w:r>
        <w:rPr>
          <w:sz w:val="20"/>
          <w:szCs w:val="20"/>
          <w:color w:val="auto"/>
        </w:rPr>
        <w:tab/>
      </w: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780" w:val="left"/>
          <w:tab w:leader="none" w:pos="1880" w:val="left"/>
        </w:tabs>
        <w:rPr>
          <w:sz w:val="20"/>
          <w:szCs w:val="20"/>
          <w:color w:val="auto"/>
        </w:rPr>
      </w:pPr>
      <w:r>
        <w:rPr>
          <w:rFonts w:ascii="Times New Roman" w:cs="Times New Roman" w:eastAsia="Times New Roman" w:hAnsi="Times New Roman"/>
          <w:sz w:val="18"/>
          <w:szCs w:val="18"/>
          <w:color w:val="auto"/>
        </w:rPr>
        <w:t>S-1/A</w:t>
      </w:r>
      <w:r>
        <w:rPr>
          <w:sz w:val="20"/>
          <w:szCs w:val="20"/>
          <w:color w:val="auto"/>
        </w:rPr>
        <w:tab/>
      </w:r>
      <w:r>
        <w:rPr>
          <w:rFonts w:ascii="Times New Roman" w:cs="Times New Roman" w:eastAsia="Times New Roman" w:hAnsi="Times New Roman"/>
          <w:sz w:val="18"/>
          <w:szCs w:val="18"/>
          <w:color w:val="auto"/>
        </w:rPr>
        <w:t>9/18/2015</w:t>
      </w:r>
      <w:r>
        <w:rPr>
          <w:sz w:val="20"/>
          <w:szCs w:val="20"/>
          <w:color w:val="auto"/>
        </w:rPr>
        <w:tab/>
      </w:r>
      <w:r>
        <w:rPr>
          <w:rFonts w:ascii="Times New Roman" w:cs="Times New Roman" w:eastAsia="Times New Roman" w:hAnsi="Times New Roman"/>
          <w:sz w:val="17"/>
          <w:szCs w:val="17"/>
          <w:color w:val="auto"/>
        </w:rPr>
        <w:t>10.21</w:t>
      </w:r>
    </w:p>
    <w:p>
      <w:pPr>
        <w:spacing w:after="0" w:line="549" w:lineRule="exact"/>
        <w:rPr>
          <w:sz w:val="20"/>
          <w:szCs w:val="20"/>
          <w:color w:val="auto"/>
        </w:rPr>
      </w:pPr>
    </w:p>
    <w:p>
      <w:pPr>
        <w:sectPr>
          <w:pgSz w:w="11900" w:h="16838" w:orient="portrait"/>
          <w:cols w:equalWidth="0" w:num="2">
            <w:col w:w="7640" w:space="260"/>
            <w:col w:w="2300"/>
          </w:cols>
          <w:pgMar w:left="340" w:top="1363" w:right="1359" w:bottom="1440" w:gutter="0" w:footer="0" w:header="0"/>
        </w:sectPr>
      </w:pPr>
    </w:p>
    <w:p>
      <w:pPr>
        <w:ind w:left="1020" w:right="180" w:hanging="1012"/>
        <w:spacing w:after="0" w:line="312" w:lineRule="auto"/>
        <w:tabs>
          <w:tab w:leader="none" w:pos="10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10.13(b)††</w:t>
      </w:r>
      <w:r>
        <w:rPr>
          <w:sz w:val="20"/>
          <w:szCs w:val="20"/>
          <w:color w:val="auto"/>
        </w:rPr>
        <w:tab/>
      </w:r>
      <w:hyperlink r:id="rId331">
        <w:r>
          <w:rPr>
            <w:rFonts w:ascii="Times New Roman" w:cs="Times New Roman" w:eastAsia="Times New Roman" w:hAnsi="Times New Roman"/>
            <w:sz w:val="17"/>
            <w:szCs w:val="17"/>
            <w:u w:val="single" w:color="auto"/>
            <w:color w:val="0000FF"/>
          </w:rPr>
          <w:t>Amendment No.3 to Exclusive License Agreement effective as of April 2, 2019, by and</w:t>
        </w:r>
      </w:hyperlink>
      <w:r>
        <w:rPr>
          <w:rFonts w:ascii="Times New Roman" w:cs="Times New Roman" w:eastAsia="Times New Roman" w:hAnsi="Times New Roman"/>
          <w:sz w:val="17"/>
          <w:szCs w:val="17"/>
          <w:u w:val="single" w:color="auto"/>
          <w:color w:val="0000FF"/>
        </w:rPr>
        <w:t xml:space="preserve"> </w:t>
      </w:r>
      <w:hyperlink r:id="rId331">
        <w:r>
          <w:rPr>
            <w:rFonts w:ascii="Times New Roman" w:cs="Times New Roman" w:eastAsia="Times New Roman" w:hAnsi="Times New Roman"/>
            <w:sz w:val="17"/>
            <w:szCs w:val="17"/>
            <w:u w:val="single" w:color="auto"/>
            <w:color w:val="0000FF"/>
          </w:rPr>
          <w:t>between CytomX Therapeutics, Inc. and The Regents of the University of California.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-198755</wp:posOffset>
            </wp:positionV>
            <wp:extent cx="404558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2">
                      <a:extLst>
                        <a:ext uri="{28A0092B-C50C-407E-A947-70E740481C1C}"/>
                      </a:extLst>
                    </a:blip>
                    <a:srcRect/>
                    <a:stretch>
                      <a:fillRect/>
                    </a:stretch>
                  </pic:blipFill>
                  <pic:spPr bwMode="auto">
                    <a:xfrm>
                      <a:off x="0" y="0"/>
                      <a:ext cx="4045585" cy="8890"/>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-61595</wp:posOffset>
            </wp:positionV>
            <wp:extent cx="389636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3">
                      <a:extLst>
                        <a:ext uri="{28A0092B-C50C-407E-A947-70E740481C1C}"/>
                      </a:extLst>
                    </a:blip>
                    <a:srcRect/>
                    <a:stretch>
                      <a:fillRect/>
                    </a:stretch>
                  </pic:blipFill>
                  <pic:spPr bwMode="auto">
                    <a:xfrm>
                      <a:off x="0" y="0"/>
                      <a:ext cx="3896360" cy="8255"/>
                    </a:xfrm>
                    <a:prstGeom prst="rect">
                      <a:avLst/>
                    </a:prstGeom>
                    <a:noFill/>
                  </pic:spPr>
                </pic:pic>
              </a:graphicData>
            </a:graphic>
          </wp:anchor>
        </w:drawing>
      </w:r>
    </w:p>
    <w:p>
      <w:pPr>
        <w:spacing w:after="0" w:line="120" w:lineRule="exact"/>
        <w:rPr>
          <w:sz w:val="20"/>
          <w:szCs w:val="20"/>
          <w:color w:val="auto"/>
        </w:rPr>
      </w:pPr>
    </w:p>
    <w:p>
      <w:pPr>
        <w:ind w:left="1020" w:hanging="1012"/>
        <w:spacing w:after="0" w:line="282"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10.14(a)†</w:t>
      </w:r>
      <w:r>
        <w:rPr>
          <w:sz w:val="20"/>
          <w:szCs w:val="20"/>
          <w:color w:val="auto"/>
        </w:rPr>
        <w:tab/>
      </w:r>
      <w:hyperlink r:id="rId334">
        <w:r>
          <w:rPr>
            <w:rFonts w:ascii="Times New Roman" w:cs="Times New Roman" w:eastAsia="Times New Roman" w:hAnsi="Times New Roman"/>
            <w:sz w:val="18"/>
            <w:szCs w:val="18"/>
            <w:u w:val="single" w:color="auto"/>
            <w:color w:val="0000FF"/>
          </w:rPr>
          <w:t>Collaboration and License Agreement dated as of May 23, 2014, by and between CytomX</w:t>
        </w:r>
      </w:hyperlink>
      <w:r>
        <w:rPr>
          <w:rFonts w:ascii="Times New Roman" w:cs="Times New Roman" w:eastAsia="Times New Roman" w:hAnsi="Times New Roman"/>
          <w:sz w:val="18"/>
          <w:szCs w:val="18"/>
          <w:u w:val="single" w:color="auto"/>
          <w:color w:val="0000FF"/>
        </w:rPr>
        <w:t xml:space="preserve"> </w:t>
      </w:r>
      <w:hyperlink r:id="rId334">
        <w:r>
          <w:rPr>
            <w:rFonts w:ascii="Times New Roman" w:cs="Times New Roman" w:eastAsia="Times New Roman" w:hAnsi="Times New Roman"/>
            <w:sz w:val="18"/>
            <w:szCs w:val="18"/>
            <w:u w:val="single" w:color="auto"/>
            <w:color w:val="0000FF"/>
          </w:rPr>
          <w:t>Therapeutics, Inc. and Bristol Myers Squibb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-185420</wp:posOffset>
            </wp:positionV>
            <wp:extent cx="415671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5">
                      <a:extLst>
                        <a:ext uri="{28A0092B-C50C-407E-A947-70E740481C1C}"/>
                      </a:extLst>
                    </a:blip>
                    <a:srcRect/>
                    <a:stretch>
                      <a:fillRect/>
                    </a:stretch>
                  </pic:blipFill>
                  <pic:spPr bwMode="auto">
                    <a:xfrm>
                      <a:off x="0" y="0"/>
                      <a:ext cx="4156710" cy="8890"/>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-48260</wp:posOffset>
            </wp:positionV>
            <wp:extent cx="252920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6">
                      <a:extLst>
                        <a:ext uri="{28A0092B-C50C-407E-A947-70E740481C1C}"/>
                      </a:extLst>
                    </a:blip>
                    <a:srcRect/>
                    <a:stretch>
                      <a:fillRect/>
                    </a:stretch>
                  </pic:blipFill>
                  <pic:spPr bwMode="auto">
                    <a:xfrm>
                      <a:off x="0" y="0"/>
                      <a:ext cx="2529205" cy="8255"/>
                    </a:xfrm>
                    <a:prstGeom prst="rect">
                      <a:avLst/>
                    </a:prstGeom>
                    <a:noFill/>
                  </pic:spPr>
                </pic:pic>
              </a:graphicData>
            </a:graphic>
          </wp:anchor>
        </w:drawing>
      </w:r>
    </w:p>
    <w:p>
      <w:pPr>
        <w:spacing w:after="0" w:line="142" w:lineRule="exact"/>
        <w:rPr>
          <w:sz w:val="20"/>
          <w:szCs w:val="20"/>
          <w:color w:val="auto"/>
        </w:rPr>
      </w:pPr>
    </w:p>
    <w:p>
      <w:pPr>
        <w:ind w:left="1020" w:right="160" w:hanging="1012"/>
        <w:spacing w:after="0" w:line="282"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10.14(b)†</w:t>
      </w:r>
      <w:r>
        <w:rPr>
          <w:sz w:val="20"/>
          <w:szCs w:val="20"/>
          <w:color w:val="auto"/>
        </w:rPr>
        <w:tab/>
      </w:r>
      <w:hyperlink r:id="rId337">
        <w:r>
          <w:rPr>
            <w:rFonts w:ascii="Times New Roman" w:cs="Times New Roman" w:eastAsia="Times New Roman" w:hAnsi="Times New Roman"/>
            <w:sz w:val="18"/>
            <w:szCs w:val="18"/>
            <w:u w:val="single" w:color="auto"/>
            <w:color w:val="0000FF"/>
          </w:rPr>
          <w:t>Amendment to Extend Collaboration and License Agreement, dated March 17, 2017, by</w:t>
        </w:r>
      </w:hyperlink>
      <w:r>
        <w:rPr>
          <w:rFonts w:ascii="Times New Roman" w:cs="Times New Roman" w:eastAsia="Times New Roman" w:hAnsi="Times New Roman"/>
          <w:sz w:val="18"/>
          <w:szCs w:val="18"/>
          <w:u w:val="single" w:color="auto"/>
          <w:color w:val="0000FF"/>
        </w:rPr>
        <w:t xml:space="preserve"> </w:t>
      </w:r>
      <w:hyperlink r:id="rId337">
        <w:r>
          <w:rPr>
            <w:rFonts w:ascii="Times New Roman" w:cs="Times New Roman" w:eastAsia="Times New Roman" w:hAnsi="Times New Roman"/>
            <w:sz w:val="18"/>
            <w:szCs w:val="18"/>
            <w:u w:val="single" w:color="auto"/>
            <w:color w:val="0000FF"/>
          </w:rPr>
          <w:t>and between the Company and Bristol Myers Squibb.</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-185420</wp:posOffset>
            </wp:positionV>
            <wp:extent cx="406463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8">
                      <a:extLst>
                        <a:ext uri="{28A0092B-C50C-407E-A947-70E740481C1C}"/>
                      </a:extLst>
                    </a:blip>
                    <a:srcRect/>
                    <a:stretch>
                      <a:fillRect/>
                    </a:stretch>
                  </pic:blipFill>
                  <pic:spPr bwMode="auto">
                    <a:xfrm>
                      <a:off x="0" y="0"/>
                      <a:ext cx="4064635" cy="8890"/>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-48260</wp:posOffset>
            </wp:positionV>
            <wp:extent cx="244983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9">
                      <a:extLst>
                        <a:ext uri="{28A0092B-C50C-407E-A947-70E740481C1C}"/>
                      </a:extLst>
                    </a:blip>
                    <a:srcRect/>
                    <a:stretch>
                      <a:fillRect/>
                    </a:stretch>
                  </pic:blipFill>
                  <pic:spPr bwMode="auto">
                    <a:xfrm>
                      <a:off x="0" y="0"/>
                      <a:ext cx="2449830" cy="8255"/>
                    </a:xfrm>
                    <a:prstGeom prst="rect">
                      <a:avLst/>
                    </a:prstGeom>
                    <a:noFill/>
                  </pic:spPr>
                </pic:pic>
              </a:graphicData>
            </a:graphic>
          </wp:anchor>
        </w:drawing>
      </w:r>
    </w:p>
    <w:p>
      <w:pPr>
        <w:spacing w:after="0" w:line="3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tabs>
          <w:tab w:leader="none" w:pos="800" w:val="left"/>
          <w:tab w:leader="none" w:pos="190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5/9/2019</w:t>
      </w:r>
      <w:r>
        <w:rPr>
          <w:sz w:val="20"/>
          <w:szCs w:val="20"/>
          <w:color w:val="auto"/>
        </w:rPr>
        <w:tab/>
      </w:r>
      <w:r>
        <w:rPr>
          <w:rFonts w:ascii="Times New Roman" w:cs="Times New Roman" w:eastAsia="Times New Roman" w:hAnsi="Times New Roman"/>
          <w:sz w:val="18"/>
          <w:szCs w:val="18"/>
          <w:color w:val="auto"/>
        </w:rPr>
        <w:t>10.6</w:t>
      </w:r>
    </w:p>
    <w:p>
      <w:pPr>
        <w:spacing w:after="0" w:line="200" w:lineRule="exact"/>
        <w:rPr>
          <w:sz w:val="20"/>
          <w:szCs w:val="20"/>
          <w:color w:val="auto"/>
        </w:rPr>
      </w:pPr>
    </w:p>
    <w:p>
      <w:pPr>
        <w:spacing w:after="0" w:line="241" w:lineRule="exact"/>
        <w:rPr>
          <w:sz w:val="20"/>
          <w:szCs w:val="20"/>
          <w:color w:val="auto"/>
        </w:rPr>
      </w:pPr>
    </w:p>
    <w:p>
      <w:pPr>
        <w:spacing w:after="0"/>
        <w:tabs>
          <w:tab w:leader="none" w:pos="760" w:val="left"/>
          <w:tab w:leader="none" w:pos="190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11/5/2020</w:t>
      </w:r>
      <w:r>
        <w:rPr>
          <w:sz w:val="20"/>
          <w:szCs w:val="20"/>
          <w:color w:val="auto"/>
        </w:rPr>
        <w:tab/>
      </w: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241" w:lineRule="exact"/>
        <w:rPr>
          <w:sz w:val="20"/>
          <w:szCs w:val="20"/>
          <w:color w:val="auto"/>
        </w:rPr>
      </w:pPr>
    </w:p>
    <w:p>
      <w:pPr>
        <w:spacing w:after="0"/>
        <w:tabs>
          <w:tab w:leader="none" w:pos="800" w:val="left"/>
          <w:tab w:leader="none" w:pos="190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5/5/2017</w:t>
      </w:r>
      <w:r>
        <w:rPr>
          <w:sz w:val="20"/>
          <w:szCs w:val="20"/>
          <w:color w:val="auto"/>
        </w:rPr>
        <w:tab/>
      </w:r>
      <w:r>
        <w:rPr>
          <w:rFonts w:ascii="Times New Roman" w:cs="Times New Roman" w:eastAsia="Times New Roman" w:hAnsi="Times New Roman"/>
          <w:sz w:val="18"/>
          <w:szCs w:val="18"/>
          <w:color w:val="auto"/>
        </w:rPr>
        <w:t>10.1</w:t>
      </w:r>
    </w:p>
    <w:p>
      <w:pPr>
        <w:sectPr>
          <w:pgSz w:w="11900" w:h="16838" w:orient="portrait"/>
          <w:cols w:equalWidth="0" w:num="2">
            <w:col w:w="7520" w:space="400"/>
            <w:col w:w="2280"/>
          </w:cols>
          <w:pgMar w:left="340" w:top="1363" w:right="1359" w:bottom="1440" w:gutter="0" w:footer="0" w:header="0"/>
          <w:type w:val="continuous"/>
        </w:sectPr>
      </w:pPr>
    </w:p>
    <w:bookmarkStart w:id="122" w:name="page123"/>
    <w:bookmarkEnd w:id="122"/>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10.14(c)†</w:t>
            </w:r>
          </w:p>
        </w:tc>
        <w:tc>
          <w:tcPr>
            <w:tcW w:w="65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Amendment No 2 to Collaboration and License Agreement, as amended, dated March 17,</w:t>
              </w:r>
            </w:hyperlink>
          </w:p>
        </w:tc>
        <w:tc>
          <w:tcPr>
            <w:tcW w:w="120" w:type="dxa"/>
            <w:vAlign w:val="bottom"/>
            <w:gridSpan w:val="5"/>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6620" w:type="dxa"/>
            <w:vAlign w:val="bottom"/>
            <w:gridSpan w:val="30"/>
          </w:tcPr>
          <w:p>
            <w:pPr>
              <w:spacing w:after="0" w:line="196" w:lineRule="exact"/>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2017, by and between the Company and Bristol Myers Squibb, effective as of February 22,</w:t>
              </w:r>
            </w:hyperlink>
          </w:p>
        </w:tc>
      </w:tr>
      <w:tr>
        <w:trPr>
          <w:trHeight w:val="196"/>
        </w:trPr>
        <w:tc>
          <w:tcPr>
            <w:tcW w:w="102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3"/>
              </w:rPr>
            </w:pPr>
            <w:hyperlink r:id="rId341">
              <w:r>
                <w:rPr>
                  <w:rFonts w:ascii="Times New Roman" w:cs="Times New Roman" w:eastAsia="Times New Roman" w:hAnsi="Times New Roman"/>
                  <w:sz w:val="18"/>
                  <w:szCs w:val="18"/>
                  <w:color w:val="0000FF"/>
                  <w:w w:val="93"/>
                </w:rPr>
                <w:t>2021.</w:t>
              </w:r>
            </w:hyperlink>
          </w:p>
        </w:tc>
        <w:tc>
          <w:tcPr>
            <w:tcW w:w="20" w:type="dxa"/>
            <w:vAlign w:val="bottom"/>
            <w:tcBorders>
              <w:top w:val="single" w:sz="8" w:color="0000FF"/>
              <w:bottom w:val="single" w:sz="8" w:color="0000EE"/>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98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9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10.14(d)†</w:t>
            </w:r>
          </w:p>
        </w:tc>
        <w:tc>
          <w:tcPr>
            <w:tcW w:w="64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Amendment No 3 to Collaboration and License Agreement, dated May 23, 2014, by and</w:t>
              </w:r>
            </w:hyperlink>
          </w:p>
        </w:tc>
        <w:tc>
          <w:tcPr>
            <w:tcW w:w="220" w:type="dxa"/>
            <w:vAlign w:val="bottom"/>
            <w:gridSpan w:val="7"/>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620" w:type="dxa"/>
            <w:vAlign w:val="bottom"/>
            <w:gridSpan w:val="30"/>
          </w:tcPr>
          <w:p>
            <w:pPr>
              <w:spacing w:after="0" w:line="196" w:lineRule="exact"/>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between the Company and Bristol Myers Squibb Company, effective as of October 11,</w:t>
              </w:r>
            </w:hyperlink>
          </w:p>
        </w:tc>
      </w:tr>
      <w:tr>
        <w:trPr>
          <w:trHeight w:val="196"/>
        </w:trPr>
        <w:tc>
          <w:tcPr>
            <w:tcW w:w="102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3"/>
              </w:rPr>
            </w:pPr>
            <w:hyperlink r:id="rId342">
              <w:r>
                <w:rPr>
                  <w:rFonts w:ascii="Times New Roman" w:cs="Times New Roman" w:eastAsia="Times New Roman" w:hAnsi="Times New Roman"/>
                  <w:sz w:val="18"/>
                  <w:szCs w:val="18"/>
                  <w:color w:val="0000FF"/>
                  <w:w w:val="93"/>
                </w:rPr>
                <w:t>2022.</w:t>
              </w:r>
            </w:hyperlink>
          </w:p>
        </w:tc>
        <w:tc>
          <w:tcPr>
            <w:tcW w:w="20" w:type="dxa"/>
            <w:vAlign w:val="bottom"/>
            <w:tcBorders>
              <w:top w:val="single" w:sz="8" w:color="0000FF"/>
              <w:bottom w:val="single" w:sz="8" w:color="0000EE"/>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98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9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10.15(a)†</w:t>
            </w:r>
          </w:p>
        </w:tc>
        <w:tc>
          <w:tcPr>
            <w:tcW w:w="65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Co-Development and License Agreement, dated April 21, 2016, by and between CytomX</w:t>
              </w:r>
            </w:hyperlink>
          </w:p>
        </w:tc>
        <w:tc>
          <w:tcPr>
            <w:tcW w:w="120" w:type="dxa"/>
            <w:vAlign w:val="bottom"/>
            <w:gridSpan w:val="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620" w:type="dxa"/>
            <w:vAlign w:val="bottom"/>
            <w:gridSpan w:val="30"/>
          </w:tcPr>
          <w:p>
            <w:pPr>
              <w:spacing w:after="0" w:line="196" w:lineRule="exact"/>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Therapeutics, Inc. and AbbVie Ireland Unlimited Company.</w:t>
              </w:r>
            </w:hyperlink>
          </w:p>
        </w:tc>
      </w:tr>
      <w:tr>
        <w:trPr>
          <w:trHeight w:val="20"/>
        </w:trPr>
        <w:tc>
          <w:tcPr>
            <w:tcW w:w="10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10.15(b)†</w:t>
            </w:r>
          </w:p>
        </w:tc>
        <w:tc>
          <w:tcPr>
            <w:tcW w:w="64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First Amendment to the CD71 Co-Development and License Agreement by and between</w:t>
              </w:r>
            </w:hyperlink>
          </w:p>
        </w:tc>
        <w:tc>
          <w:tcPr>
            <w:tcW w:w="180" w:type="dxa"/>
            <w:vAlign w:val="bottom"/>
            <w:gridSpan w:val="6"/>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62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w w:val="99"/>
              </w:rPr>
            </w:pPr>
            <w:hyperlink r:id="rId344">
              <w:r>
                <w:rPr>
                  <w:rFonts w:ascii="Times New Roman" w:cs="Times New Roman" w:eastAsia="Times New Roman" w:hAnsi="Times New Roman"/>
                  <w:sz w:val="18"/>
                  <w:szCs w:val="18"/>
                  <w:color w:val="0000FF"/>
                  <w:w w:val="99"/>
                </w:rPr>
                <w:t>CytomX Therapeutics, Inc. and AbbVie Ireland Unlimited Company, dated as of October 5,</w:t>
              </w:r>
            </w:hyperlink>
          </w:p>
        </w:tc>
      </w:tr>
      <w:tr>
        <w:trPr>
          <w:trHeight w:val="196"/>
        </w:trPr>
        <w:tc>
          <w:tcPr>
            <w:tcW w:w="102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3"/>
              </w:rPr>
            </w:pPr>
            <w:hyperlink r:id="rId344">
              <w:r>
                <w:rPr>
                  <w:rFonts w:ascii="Times New Roman" w:cs="Times New Roman" w:eastAsia="Times New Roman" w:hAnsi="Times New Roman"/>
                  <w:sz w:val="18"/>
                  <w:szCs w:val="18"/>
                  <w:color w:val="0000FF"/>
                  <w:w w:val="93"/>
                </w:rPr>
                <w:t>2016.</w:t>
              </w:r>
            </w:hyperlink>
          </w:p>
        </w:tc>
        <w:tc>
          <w:tcPr>
            <w:tcW w:w="20" w:type="dxa"/>
            <w:vAlign w:val="bottom"/>
            <w:tcBorders>
              <w:bottom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10.15(c)†</w:t>
            </w:r>
          </w:p>
        </w:tc>
        <w:tc>
          <w:tcPr>
            <w:tcW w:w="662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345">
              <w:r>
                <w:rPr>
                  <w:rFonts w:ascii="Times New Roman" w:cs="Times New Roman" w:eastAsia="Times New Roman" w:hAnsi="Times New Roman"/>
                  <w:sz w:val="18"/>
                  <w:szCs w:val="18"/>
                  <w:color w:val="0000FF"/>
                  <w:w w:val="99"/>
                </w:rPr>
                <w:t>Second Amendment to the CD71 Co-Development and License Agreement by and between</w:t>
              </w:r>
            </w:hyperlink>
          </w:p>
        </w:tc>
      </w:tr>
      <w:tr>
        <w:trPr>
          <w:trHeight w:val="196"/>
        </w:trPr>
        <w:tc>
          <w:tcPr>
            <w:tcW w:w="1020" w:type="dxa"/>
            <w:vAlign w:val="bottom"/>
          </w:tcPr>
          <w:p>
            <w:pPr>
              <w:spacing w:after="0"/>
              <w:rPr>
                <w:sz w:val="17"/>
                <w:szCs w:val="17"/>
                <w:color w:val="auto"/>
              </w:rPr>
            </w:pPr>
          </w:p>
        </w:tc>
        <w:tc>
          <w:tcPr>
            <w:tcW w:w="662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CytomX Therapeutics, Inc. and AbbVie Ireland Unlimited Company, effective as of March</w:t>
              </w:r>
            </w:hyperlink>
          </w:p>
        </w:tc>
      </w:tr>
      <w:tr>
        <w:trPr>
          <w:trHeight w:val="196"/>
        </w:trPr>
        <w:tc>
          <w:tcPr>
            <w:tcW w:w="1020" w:type="dxa"/>
            <w:vAlign w:val="bottom"/>
          </w:tcPr>
          <w:p>
            <w:pPr>
              <w:spacing w:after="0"/>
              <w:rPr>
                <w:sz w:val="17"/>
                <w:szCs w:val="17"/>
                <w:color w:val="auto"/>
              </w:rPr>
            </w:pPr>
          </w:p>
        </w:tc>
        <w:tc>
          <w:tcPr>
            <w:tcW w:w="6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4"/>
              </w:rPr>
            </w:pPr>
            <w:hyperlink r:id="rId345">
              <w:r>
                <w:rPr>
                  <w:rFonts w:ascii="Times New Roman" w:cs="Times New Roman" w:eastAsia="Times New Roman" w:hAnsi="Times New Roman"/>
                  <w:sz w:val="18"/>
                  <w:szCs w:val="18"/>
                  <w:color w:val="0000FF"/>
                  <w:w w:val="94"/>
                </w:rPr>
                <w:t>31, 2017.</w:t>
              </w:r>
            </w:hyperlink>
          </w:p>
        </w:tc>
        <w:tc>
          <w:tcPr>
            <w:tcW w:w="20" w:type="dxa"/>
            <w:vAlign w:val="bottom"/>
            <w:tcBorders>
              <w:bottom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10.15(d)†</w:t>
            </w:r>
          </w:p>
        </w:tc>
        <w:tc>
          <w:tcPr>
            <w:tcW w:w="65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Third Amendment to the CD71 Co-Development and License Agreement by and between</w:t>
              </w:r>
            </w:hyperlink>
          </w:p>
        </w:tc>
        <w:tc>
          <w:tcPr>
            <w:tcW w:w="120" w:type="dxa"/>
            <w:vAlign w:val="bottom"/>
            <w:gridSpan w:val="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10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CytomX Therapeutics, Inc. and AbbVie Ireland Unlimited Company, effective as of</w:t>
              </w:r>
            </w:hyperlink>
          </w:p>
        </w:tc>
        <w:tc>
          <w:tcPr>
            <w:tcW w:w="520" w:type="dxa"/>
            <w:vAlign w:val="bottom"/>
            <w:gridSpan w:val="13"/>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6620" w:type="dxa"/>
            <w:vAlign w:val="bottom"/>
            <w:gridSpan w:val="30"/>
          </w:tcPr>
          <w:p>
            <w:pPr>
              <w:spacing w:after="0" w:line="196" w:lineRule="exact"/>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January 3, 2018.</w:t>
              </w:r>
            </w:hyperlink>
          </w:p>
        </w:tc>
      </w:tr>
      <w:tr>
        <w:trPr>
          <w:trHeight w:val="20"/>
        </w:trPr>
        <w:tc>
          <w:tcPr>
            <w:tcW w:w="1020" w:type="dxa"/>
            <w:vAlign w:val="bottom"/>
          </w:tcPr>
          <w:p>
            <w:pPr>
              <w:spacing w:after="0" w:line="20" w:lineRule="exact"/>
              <w:rPr>
                <w:sz w:val="1"/>
                <w:szCs w:val="1"/>
                <w:color w:val="auto"/>
              </w:rPr>
            </w:pPr>
          </w:p>
        </w:tc>
        <w:tc>
          <w:tcPr>
            <w:tcW w:w="740" w:type="dxa"/>
            <w:vAlign w:val="bottom"/>
            <w:gridSpan w:val="5"/>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10.15(e)†</w:t>
            </w:r>
          </w:p>
        </w:tc>
        <w:tc>
          <w:tcPr>
            <w:tcW w:w="65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Amended and Restated Discovery Collaboration and License Agreement, dated as of June</w:t>
              </w:r>
            </w:hyperlink>
          </w:p>
        </w:tc>
        <w:tc>
          <w:tcPr>
            <w:tcW w:w="100" w:type="dxa"/>
            <w:vAlign w:val="bottom"/>
            <w:gridSpan w:val="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18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28, 2019, by and between CytomX Therapeutics, Inc., and AbbVie Ireland Unlimited</w:t>
              </w:r>
            </w:hyperlink>
          </w:p>
        </w:tc>
        <w:tc>
          <w:tcPr>
            <w:tcW w:w="440" w:type="dxa"/>
            <w:vAlign w:val="bottom"/>
            <w:gridSpan w:val="1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7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6"/>
              </w:rPr>
            </w:pPr>
            <w:hyperlink r:id="rId347">
              <w:r>
                <w:rPr>
                  <w:rFonts w:ascii="Times New Roman" w:cs="Times New Roman" w:eastAsia="Times New Roman" w:hAnsi="Times New Roman"/>
                  <w:sz w:val="18"/>
                  <w:szCs w:val="18"/>
                  <w:color w:val="0000FF"/>
                  <w:w w:val="96"/>
                </w:rPr>
                <w:t>Company.</w:t>
              </w:r>
            </w:hyperlink>
          </w:p>
        </w:tc>
        <w:tc>
          <w:tcPr>
            <w:tcW w:w="5880" w:type="dxa"/>
            <w:vAlign w:val="bottom"/>
            <w:gridSpan w:val="25"/>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10.15(f)††</w:t>
            </w:r>
          </w:p>
        </w:tc>
        <w:tc>
          <w:tcPr>
            <w:tcW w:w="57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Transition Agreement effective as of August 22, 2023 by and between CytomX</w:t>
              </w:r>
            </w:hyperlink>
          </w:p>
        </w:tc>
        <w:tc>
          <w:tcPr>
            <w:tcW w:w="860" w:type="dxa"/>
            <w:vAlign w:val="bottom"/>
            <w:gridSpan w:val="1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40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Therapeutics, Inc., and AbbVie Global Enterprises Ltd.</w:t>
              </w:r>
            </w:hyperlink>
          </w:p>
        </w:tc>
        <w:tc>
          <w:tcPr>
            <w:tcW w:w="2600" w:type="dxa"/>
            <w:vAlign w:val="bottom"/>
            <w:gridSpan w:val="19"/>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10.16(a)††</w:t>
            </w:r>
          </w:p>
        </w:tc>
        <w:tc>
          <w:tcPr>
            <w:tcW w:w="62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Collaboration and License Agreement by and between CytomX Therapeutics, Inc. and</w:t>
              </w:r>
            </w:hyperlink>
          </w:p>
        </w:tc>
        <w:tc>
          <w:tcPr>
            <w:tcW w:w="360" w:type="dxa"/>
            <w:vAlign w:val="bottom"/>
            <w:gridSpan w:val="10"/>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620" w:type="dxa"/>
            <w:vAlign w:val="bottom"/>
            <w:gridSpan w:val="30"/>
          </w:tcPr>
          <w:p>
            <w:pPr>
              <w:spacing w:after="0" w:line="196"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Amgen, Inc. dated as of September 29, 2017.</w:t>
              </w:r>
            </w:hyperlink>
          </w:p>
        </w:tc>
      </w:tr>
      <w:tr>
        <w:trPr>
          <w:trHeight w:val="20"/>
        </w:trPr>
        <w:tc>
          <w:tcPr>
            <w:tcW w:w="1020" w:type="dxa"/>
            <w:vAlign w:val="bottom"/>
          </w:tcPr>
          <w:p>
            <w:pPr>
              <w:spacing w:after="0" w:line="20" w:lineRule="exact"/>
              <w:rPr>
                <w:sz w:val="1"/>
                <w:szCs w:val="1"/>
                <w:color w:val="auto"/>
              </w:rPr>
            </w:pPr>
          </w:p>
        </w:tc>
        <w:tc>
          <w:tcPr>
            <w:tcW w:w="2180" w:type="dxa"/>
            <w:vAlign w:val="bottom"/>
            <w:gridSpan w:val="7"/>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10.16(b)†</w:t>
            </w:r>
          </w:p>
        </w:tc>
        <w:tc>
          <w:tcPr>
            <w:tcW w:w="656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Amendment No. 1 to the Collaboration and License Agreement, dated as of September 29,</w:t>
              </w:r>
            </w:hyperlink>
          </w:p>
        </w:tc>
        <w:tc>
          <w:tcPr>
            <w:tcW w:w="60" w:type="dxa"/>
            <w:vAlign w:val="bottom"/>
            <w:gridSpan w:val="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620" w:type="dxa"/>
            <w:vAlign w:val="bottom"/>
            <w:gridSpan w:val="30"/>
          </w:tcPr>
          <w:p>
            <w:pPr>
              <w:spacing w:after="0" w:line="196" w:lineRule="exact"/>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2020, by and between CytomX Therapeutics, Inc. and Amgen, Inc.</w:t>
              </w:r>
            </w:hyperlink>
          </w:p>
        </w:tc>
      </w:tr>
      <w:tr>
        <w:trPr>
          <w:trHeight w:val="20"/>
        </w:trPr>
        <w:tc>
          <w:tcPr>
            <w:tcW w:w="1020" w:type="dxa"/>
            <w:vAlign w:val="bottom"/>
          </w:tcPr>
          <w:p>
            <w:pPr>
              <w:spacing w:after="0" w:line="20" w:lineRule="exact"/>
              <w:rPr>
                <w:sz w:val="1"/>
                <w:szCs w:val="1"/>
                <w:color w:val="auto"/>
              </w:rPr>
            </w:pPr>
          </w:p>
        </w:tc>
        <w:tc>
          <w:tcPr>
            <w:tcW w:w="2180" w:type="dxa"/>
            <w:vAlign w:val="bottom"/>
            <w:gridSpan w:val="7"/>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0" w:type="dxa"/>
            <w:vAlign w:val="bottom"/>
            <w:tcBorders>
              <w:left w:val="single" w:sz="8" w:color="0000EE"/>
            </w:tcBorders>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10.16(c)††</w:t>
            </w:r>
          </w:p>
        </w:tc>
        <w:tc>
          <w:tcPr>
            <w:tcW w:w="63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Amendment No. 2 to the Collaboration and License Agreement, dated as of October 27,</w:t>
              </w:r>
            </w:hyperlink>
          </w:p>
        </w:tc>
        <w:tc>
          <w:tcPr>
            <w:tcW w:w="240" w:type="dxa"/>
            <w:vAlign w:val="bottom"/>
            <w:gridSpan w:val="8"/>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620" w:type="dxa"/>
            <w:vAlign w:val="bottom"/>
            <w:gridSpan w:val="30"/>
          </w:tcPr>
          <w:p>
            <w:pPr>
              <w:spacing w:after="0" w:line="196" w:lineRule="exact"/>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2021, by and between CytomX Therapeutics, Inc. and Amgen, Inc.</w:t>
              </w:r>
            </w:hyperlink>
          </w:p>
        </w:tc>
      </w:tr>
      <w:tr>
        <w:trPr>
          <w:trHeight w:val="20"/>
        </w:trPr>
        <w:tc>
          <w:tcPr>
            <w:tcW w:w="1020" w:type="dxa"/>
            <w:vAlign w:val="bottom"/>
          </w:tcPr>
          <w:p>
            <w:pPr>
              <w:spacing w:after="0" w:line="20" w:lineRule="exact"/>
              <w:rPr>
                <w:sz w:val="1"/>
                <w:szCs w:val="1"/>
                <w:color w:val="auto"/>
              </w:rPr>
            </w:pPr>
          </w:p>
        </w:tc>
        <w:tc>
          <w:tcPr>
            <w:tcW w:w="2180" w:type="dxa"/>
            <w:vAlign w:val="bottom"/>
            <w:gridSpan w:val="7"/>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0" w:type="dxa"/>
            <w:vAlign w:val="bottom"/>
            <w:tcBorders>
              <w:left w:val="single" w:sz="8" w:color="0000EE"/>
            </w:tcBorders>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10.16(d)††</w:t>
            </w:r>
          </w:p>
        </w:tc>
        <w:tc>
          <w:tcPr>
            <w:tcW w:w="658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Amendment No. 3 to the Collaboration and License Agreement, dated as of May 18, 2023,</w:t>
              </w:r>
            </w:hyperlink>
          </w:p>
        </w:tc>
        <w:tc>
          <w:tcPr>
            <w:tcW w:w="4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44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by and between CytomX Therapeutics, Inc. and Amgen, Inc.</w:t>
              </w:r>
            </w:hyperlink>
          </w:p>
        </w:tc>
        <w:tc>
          <w:tcPr>
            <w:tcW w:w="2200" w:type="dxa"/>
            <w:vAlign w:val="bottom"/>
            <w:gridSpan w:val="17"/>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10.16(e)††</w:t>
            </w:r>
          </w:p>
        </w:tc>
        <w:tc>
          <w:tcPr>
            <w:tcW w:w="62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Amendment No. 4 to the Collaboration and License Agreement, dated as of March 28,</w:t>
              </w:r>
            </w:hyperlink>
          </w:p>
        </w:tc>
        <w:tc>
          <w:tcPr>
            <w:tcW w:w="360" w:type="dxa"/>
            <w:vAlign w:val="bottom"/>
            <w:gridSpan w:val="10"/>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620" w:type="dxa"/>
            <w:vAlign w:val="bottom"/>
            <w:gridSpan w:val="30"/>
          </w:tcPr>
          <w:p>
            <w:pPr>
              <w:spacing w:after="0" w:line="196" w:lineRule="exact"/>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2024, by and between CytomX Therapeutics, Inc. and Amgen, Inc.</w:t>
              </w:r>
            </w:hyperlink>
          </w:p>
        </w:tc>
      </w:tr>
      <w:tr>
        <w:trPr>
          <w:trHeight w:val="20"/>
        </w:trPr>
        <w:tc>
          <w:tcPr>
            <w:tcW w:w="1020" w:type="dxa"/>
            <w:vAlign w:val="bottom"/>
          </w:tcPr>
          <w:p>
            <w:pPr>
              <w:spacing w:after="0" w:line="20" w:lineRule="exact"/>
              <w:rPr>
                <w:sz w:val="1"/>
                <w:szCs w:val="1"/>
                <w:color w:val="auto"/>
              </w:rPr>
            </w:pPr>
          </w:p>
        </w:tc>
        <w:tc>
          <w:tcPr>
            <w:tcW w:w="2180" w:type="dxa"/>
            <w:vAlign w:val="bottom"/>
            <w:gridSpan w:val="7"/>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80" w:type="dxa"/>
            <w:vAlign w:val="bottom"/>
            <w:gridSpan w:val="11"/>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60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Collaboration and License Agreement dated as of March 23, 2020, by and between</w:t>
              </w:r>
            </w:hyperlink>
          </w:p>
        </w:tc>
        <w:tc>
          <w:tcPr>
            <w:tcW w:w="600" w:type="dxa"/>
            <w:vAlign w:val="bottom"/>
            <w:gridSpan w:val="1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380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354">
              <w:r>
                <w:rPr>
                  <w:rFonts w:ascii="Times New Roman" w:cs="Times New Roman" w:eastAsia="Times New Roman" w:hAnsi="Times New Roman"/>
                  <w:sz w:val="18"/>
                  <w:szCs w:val="18"/>
                  <w:color w:val="0000FF"/>
                  <w:w w:val="99"/>
                </w:rPr>
                <w:t>CytomX Therapeutics, Inc. and Astellas Pharma Inc.</w:t>
              </w:r>
            </w:hyperlink>
          </w:p>
        </w:tc>
        <w:tc>
          <w:tcPr>
            <w:tcW w:w="20" w:type="dxa"/>
            <w:vAlign w:val="bottom"/>
            <w:tcBorders>
              <w:bottom w:val="single" w:sz="8" w:color="0000EE"/>
            </w:tcBorders>
          </w:tcPr>
          <w:p>
            <w:pPr>
              <w:spacing w:after="0"/>
              <w:rPr>
                <w:sz w:val="17"/>
                <w:szCs w:val="17"/>
                <w:color w:val="auto"/>
              </w:rPr>
            </w:pPr>
          </w:p>
        </w:tc>
        <w:tc>
          <w:tcPr>
            <w:tcW w:w="2800" w:type="dxa"/>
            <w:vAlign w:val="bottom"/>
            <w:gridSpan w:val="20"/>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62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License Agreement by and between CytomX Therapeutics, Inc. and ImmunoGen Inc.,</w:t>
              </w:r>
            </w:hyperlink>
          </w:p>
        </w:tc>
        <w:tc>
          <w:tcPr>
            <w:tcW w:w="380" w:type="dxa"/>
            <w:vAlign w:val="bottom"/>
            <w:gridSpan w:val="11"/>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620" w:type="dxa"/>
            <w:vAlign w:val="bottom"/>
            <w:gridSpan w:val="30"/>
          </w:tcPr>
          <w:p>
            <w:pPr>
              <w:spacing w:after="0" w:line="196"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dated as of February 12, 2016.</w:t>
              </w:r>
            </w:hyperlink>
          </w:p>
        </w:tc>
      </w:tr>
      <w:tr>
        <w:trPr>
          <w:trHeight w:val="412"/>
        </w:trPr>
        <w:tc>
          <w:tcPr>
            <w:tcW w:w="1020" w:type="dxa"/>
            <w:vAlign w:val="bottom"/>
          </w:tcPr>
          <w:p>
            <w:pPr>
              <w:spacing w:after="0"/>
              <w:rPr>
                <w:sz w:val="24"/>
                <w:szCs w:val="24"/>
                <w:color w:val="auto"/>
              </w:rPr>
            </w:pPr>
          </w:p>
        </w:tc>
        <w:tc>
          <w:tcPr>
            <w:tcW w:w="2180" w:type="dxa"/>
            <w:vAlign w:val="bottom"/>
            <w:tcBorders>
              <w:top w:val="single" w:sz="8" w:color="0000FF"/>
            </w:tcBorders>
            <w:gridSpan w:val="7"/>
          </w:tcPr>
          <w:p>
            <w:pPr>
              <w:spacing w:after="0"/>
              <w:rPr>
                <w:sz w:val="24"/>
                <w:szCs w:val="24"/>
                <w:color w:val="auto"/>
              </w:rPr>
            </w:pPr>
          </w:p>
        </w:tc>
        <w:tc>
          <w:tcPr>
            <w:tcW w:w="2640" w:type="dxa"/>
            <w:vAlign w:val="bottom"/>
            <w:gridSpan w:val="7"/>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5/6/2021</w:t>
            </w:r>
          </w:p>
        </w:tc>
        <w:tc>
          <w:tcPr>
            <w:tcW w:w="7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10.2</w:t>
            </w:r>
          </w:p>
        </w:tc>
      </w:tr>
      <w:tr>
        <w:trPr>
          <w:trHeight w:val="86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11/8/2022</w:t>
            </w:r>
          </w:p>
        </w:tc>
        <w:tc>
          <w:tcPr>
            <w:tcW w:w="7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10.6</w:t>
            </w:r>
          </w:p>
        </w:tc>
      </w:tr>
      <w:tr>
        <w:trPr>
          <w:trHeight w:val="75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8/3/2016</w:t>
            </w:r>
          </w:p>
        </w:tc>
        <w:tc>
          <w:tcPr>
            <w:tcW w:w="7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10.1</w:t>
            </w:r>
          </w:p>
        </w:tc>
      </w:tr>
      <w:tr>
        <w:trPr>
          <w:trHeight w:val="75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11/6/2018</w:t>
            </w:r>
          </w:p>
        </w:tc>
        <w:tc>
          <w:tcPr>
            <w:tcW w:w="7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10.1</w:t>
            </w:r>
          </w:p>
        </w:tc>
      </w:tr>
      <w:tr>
        <w:trPr>
          <w:trHeight w:val="86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11/6/2018</w:t>
            </w:r>
          </w:p>
        </w:tc>
        <w:tc>
          <w:tcPr>
            <w:tcW w:w="7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10.2</w:t>
            </w:r>
          </w:p>
        </w:tc>
      </w:tr>
      <w:tr>
        <w:trPr>
          <w:trHeight w:val="86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11/6/2018</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r>
      <w:tr>
        <w:trPr>
          <w:trHeight w:val="86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8/7/2019</w:t>
            </w:r>
          </w:p>
        </w:tc>
        <w:tc>
          <w:tcPr>
            <w:tcW w:w="7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10.1</w:t>
            </w:r>
          </w:p>
        </w:tc>
      </w:tr>
      <w:tr>
        <w:trPr>
          <w:trHeight w:val="75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11/7/2023</w:t>
            </w:r>
          </w:p>
        </w:tc>
        <w:tc>
          <w:tcPr>
            <w:tcW w:w="7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10.1</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11/7/2017</w:t>
            </w:r>
          </w:p>
        </w:tc>
        <w:tc>
          <w:tcPr>
            <w:tcW w:w="7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10.1</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11/5/2020</w:t>
            </w:r>
          </w:p>
        </w:tc>
        <w:tc>
          <w:tcPr>
            <w:tcW w:w="7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10.3</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3/1/2022</w:t>
            </w:r>
          </w:p>
        </w:tc>
        <w:tc>
          <w:tcPr>
            <w:tcW w:w="7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10.20(c)</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8/8/2023</w:t>
            </w:r>
          </w:p>
        </w:tc>
        <w:tc>
          <w:tcPr>
            <w:tcW w:w="7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10.1</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5/8/2024</w:t>
            </w:r>
          </w:p>
        </w:tc>
        <w:tc>
          <w:tcPr>
            <w:tcW w:w="7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10.1</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5/7/2020</w:t>
            </w:r>
          </w:p>
        </w:tc>
        <w:tc>
          <w:tcPr>
            <w:tcW w:w="7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10.4</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11/6/2018</w:t>
            </w:r>
          </w:p>
        </w:tc>
        <w:tc>
          <w:tcPr>
            <w:tcW w:w="7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10.4</w:t>
            </w:r>
          </w:p>
        </w:tc>
      </w:tr>
    </w:tbl>
    <w:p>
      <w:pPr>
        <w:sectPr>
          <w:pgSz w:w="11900" w:h="16838" w:orient="portrait"/>
          <w:cols w:equalWidth="0" w:num="2">
            <w:col w:w="7640" w:space="280"/>
            <w:col w:w="2380"/>
          </w:cols>
          <w:pgMar w:left="340" w:top="1147" w:right="1259" w:bottom="1440" w:gutter="0" w:footer="0" w:header="0"/>
        </w:sectPr>
      </w:pPr>
    </w:p>
    <w:bookmarkStart w:id="123" w:name="page124"/>
    <w:bookmarkEnd w:id="1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10.19(a)††</w:t>
            </w:r>
          </w:p>
        </w:tc>
        <w:tc>
          <w:tcPr>
            <w:tcW w:w="62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Collaboration and License Agreement dated as of November 16, 2022 by and between</w:t>
              </w:r>
            </w:hyperlink>
          </w:p>
        </w:tc>
        <w:tc>
          <w:tcPr>
            <w:tcW w:w="300" w:type="dxa"/>
            <w:vAlign w:val="bottom"/>
            <w:gridSpan w:val="6"/>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468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357">
              <w:r>
                <w:rPr>
                  <w:rFonts w:ascii="Times New Roman" w:cs="Times New Roman" w:eastAsia="Times New Roman" w:hAnsi="Times New Roman"/>
                  <w:sz w:val="18"/>
                  <w:szCs w:val="18"/>
                  <w:color w:val="0000FF"/>
                  <w:w w:val="99"/>
                </w:rPr>
                <w:t>CytomX Therapeutics, Inc. and Regeneron Pharmaceuticals, Inc.</w:t>
              </w:r>
            </w:hyperlink>
          </w:p>
        </w:tc>
        <w:tc>
          <w:tcPr>
            <w:tcW w:w="20" w:type="dxa"/>
            <w:vAlign w:val="bottom"/>
            <w:tcBorders>
              <w:bottom w:val="single" w:sz="8" w:color="0000EE"/>
            </w:tcBorders>
          </w:tcPr>
          <w:p>
            <w:pPr>
              <w:spacing w:after="0"/>
              <w:rPr>
                <w:sz w:val="17"/>
                <w:szCs w:val="17"/>
                <w:color w:val="auto"/>
              </w:rPr>
            </w:pPr>
          </w:p>
        </w:tc>
        <w:tc>
          <w:tcPr>
            <w:tcW w:w="1880" w:type="dxa"/>
            <w:vAlign w:val="bottom"/>
            <w:gridSpan w:val="10"/>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10.19(b)††</w:t>
            </w:r>
          </w:p>
        </w:tc>
        <w:tc>
          <w:tcPr>
            <w:tcW w:w="62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Amendment No.1 to the Collaboration and License Agreement effective as of June 28,</w:t>
              </w:r>
            </w:hyperlink>
          </w:p>
        </w:tc>
        <w:tc>
          <w:tcPr>
            <w:tcW w:w="300" w:type="dxa"/>
            <w:vAlign w:val="bottom"/>
            <w:gridSpan w:val="6"/>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26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358">
              <w:r>
                <w:rPr>
                  <w:rFonts w:ascii="Times New Roman" w:cs="Times New Roman" w:eastAsia="Times New Roman" w:hAnsi="Times New Roman"/>
                  <w:sz w:val="18"/>
                  <w:szCs w:val="18"/>
                  <w:color w:val="0000FF"/>
                  <w:w w:val="99"/>
                </w:rPr>
                <w:t>2024 by and between CytomX Therapeutics, Inc. and Regeneron Pharmaceuticals, Inc.</w:t>
              </w:r>
            </w:hyperlink>
          </w:p>
        </w:tc>
        <w:tc>
          <w:tcPr>
            <w:tcW w:w="320" w:type="dxa"/>
            <w:vAlign w:val="bottom"/>
            <w:gridSpan w:val="7"/>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62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Collaboration and License Agreement dated as of December 30, 2022 by and between</w:t>
              </w:r>
            </w:hyperlink>
          </w:p>
        </w:tc>
        <w:tc>
          <w:tcPr>
            <w:tcW w:w="320" w:type="dxa"/>
            <w:vAlign w:val="bottom"/>
            <w:gridSpan w:val="7"/>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35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359">
              <w:r>
                <w:rPr>
                  <w:rFonts w:ascii="Times New Roman" w:cs="Times New Roman" w:eastAsia="Times New Roman" w:hAnsi="Times New Roman"/>
                  <w:sz w:val="18"/>
                  <w:szCs w:val="18"/>
                  <w:color w:val="0000FF"/>
                  <w:w w:val="99"/>
                </w:rPr>
                <w:t>CytomX Therapeutics, Inc. and ModernaTX, Inc.</w:t>
              </w:r>
            </w:hyperlink>
          </w:p>
        </w:tc>
        <w:tc>
          <w:tcPr>
            <w:tcW w:w="20" w:type="dxa"/>
            <w:vAlign w:val="bottom"/>
            <w:tcBorders>
              <w:bottom w:val="single" w:sz="8" w:color="0000EE"/>
            </w:tcBorders>
          </w:tcPr>
          <w:p>
            <w:pPr>
              <w:spacing w:after="0"/>
              <w:rPr>
                <w:sz w:val="17"/>
                <w:szCs w:val="17"/>
                <w:color w:val="auto"/>
              </w:rPr>
            </w:pPr>
          </w:p>
        </w:tc>
        <w:tc>
          <w:tcPr>
            <w:tcW w:w="3000" w:type="dxa"/>
            <w:vAlign w:val="bottom"/>
            <w:gridSpan w:val="16"/>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60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Unit Purchase Agreement by and among the CytomX Therapeutics, Inc. and certain</w:t>
              </w:r>
            </w:hyperlink>
          </w:p>
        </w:tc>
        <w:tc>
          <w:tcPr>
            <w:tcW w:w="520" w:type="dxa"/>
            <w:vAlign w:val="bottom"/>
            <w:gridSpan w:val="9"/>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408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360">
              <w:r>
                <w:rPr>
                  <w:rFonts w:ascii="Times New Roman" w:cs="Times New Roman" w:eastAsia="Times New Roman" w:hAnsi="Times New Roman"/>
                  <w:sz w:val="18"/>
                  <w:szCs w:val="18"/>
                  <w:color w:val="0000FF"/>
                  <w:w w:val="99"/>
                </w:rPr>
                <w:t>accredited investors named therein, dated June 29, 2023.</w:t>
              </w:r>
            </w:hyperlink>
          </w:p>
        </w:tc>
        <w:tc>
          <w:tcPr>
            <w:tcW w:w="20" w:type="dxa"/>
            <w:vAlign w:val="bottom"/>
            <w:tcBorders>
              <w:bottom w:val="single" w:sz="8" w:color="0000EE"/>
            </w:tcBorders>
          </w:tcPr>
          <w:p>
            <w:pPr>
              <w:spacing w:after="0"/>
              <w:rPr>
                <w:sz w:val="17"/>
                <w:szCs w:val="17"/>
                <w:color w:val="auto"/>
              </w:rPr>
            </w:pPr>
          </w:p>
        </w:tc>
        <w:tc>
          <w:tcPr>
            <w:tcW w:w="2480" w:type="dxa"/>
            <w:vAlign w:val="bottom"/>
            <w:gridSpan w:val="13"/>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10.22(a)</w:t>
            </w:r>
          </w:p>
        </w:tc>
        <w:tc>
          <w:tcPr>
            <w:tcW w:w="63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Open Market Sale Agreement, dated as of February 27, 2020, by and between CytomX</w:t>
              </w:r>
            </w:hyperlink>
          </w:p>
        </w:tc>
        <w:tc>
          <w:tcPr>
            <w:tcW w:w="260" w:type="dxa"/>
            <w:vAlign w:val="bottom"/>
            <w:gridSpan w:val="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268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361">
              <w:r>
                <w:rPr>
                  <w:rFonts w:ascii="Times New Roman" w:cs="Times New Roman" w:eastAsia="Times New Roman" w:hAnsi="Times New Roman"/>
                  <w:sz w:val="18"/>
                  <w:szCs w:val="18"/>
                  <w:color w:val="0000FF"/>
                  <w:w w:val="99"/>
                </w:rPr>
                <w:t>Therapeutics, Inc. and Jefferies LLC.</w:t>
              </w:r>
            </w:hyperlink>
          </w:p>
        </w:tc>
        <w:tc>
          <w:tcPr>
            <w:tcW w:w="20" w:type="dxa"/>
            <w:vAlign w:val="bottom"/>
            <w:tcBorders>
              <w:bottom w:val="single" w:sz="8" w:color="0000EE"/>
            </w:tcBorders>
          </w:tcPr>
          <w:p>
            <w:pPr>
              <w:spacing w:after="0"/>
              <w:rPr>
                <w:sz w:val="17"/>
                <w:szCs w:val="17"/>
                <w:color w:val="auto"/>
              </w:rPr>
            </w:pPr>
          </w:p>
        </w:tc>
        <w:tc>
          <w:tcPr>
            <w:tcW w:w="3880" w:type="dxa"/>
            <w:vAlign w:val="bottom"/>
            <w:gridSpan w:val="21"/>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10.22(b)</w:t>
            </w:r>
          </w:p>
        </w:tc>
        <w:tc>
          <w:tcPr>
            <w:tcW w:w="636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Amendment No. 1 to Open Market Sales Agreement, dated as of March 4, 2022, by and</w:t>
              </w:r>
            </w:hyperlink>
          </w:p>
        </w:tc>
        <w:tc>
          <w:tcPr>
            <w:tcW w:w="220" w:type="dxa"/>
            <w:vAlign w:val="bottom"/>
            <w:gridSpan w:val="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580" w:type="dxa"/>
            <w:vAlign w:val="bottom"/>
            <w:gridSpan w:val="27"/>
          </w:tcPr>
          <w:p>
            <w:pPr>
              <w:spacing w:after="0" w:line="196" w:lineRule="exact"/>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between CytomX Therapeutics, Inc. and Jefferies LLC.</w:t>
              </w:r>
            </w:hyperlink>
          </w:p>
        </w:tc>
      </w:tr>
      <w:tr>
        <w:trPr>
          <w:trHeight w:val="20"/>
        </w:trPr>
        <w:tc>
          <w:tcPr>
            <w:tcW w:w="10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gridSpan w:val="3"/>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10.22(c)</w:t>
            </w:r>
          </w:p>
        </w:tc>
        <w:tc>
          <w:tcPr>
            <w:tcW w:w="64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Amendment No. 2 to Open Market Sales Agreement, dated as of August 9, 2024, by and</w:t>
              </w:r>
            </w:hyperlink>
          </w:p>
        </w:tc>
        <w:tc>
          <w:tcPr>
            <w:tcW w:w="16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580" w:type="dxa"/>
            <w:vAlign w:val="bottom"/>
            <w:gridSpan w:val="27"/>
          </w:tcPr>
          <w:p>
            <w:pPr>
              <w:spacing w:after="0" w:line="196" w:lineRule="exact"/>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between CytomX Therapeutics, Inc. and Jefferies LLC.</w:t>
              </w:r>
            </w:hyperlink>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4000" w:type="dxa"/>
            <w:vAlign w:val="bottom"/>
            <w:tcBorders>
              <w:top w:val="single" w:sz="8" w:color="0000FF"/>
            </w:tcBorders>
            <w:gridSpan w:val="12"/>
          </w:tcPr>
          <w:p>
            <w:pPr>
              <w:spacing w:after="0"/>
              <w:rPr>
                <w:rFonts w:ascii="Times New Roman" w:cs="Times New Roman" w:eastAsia="Times New Roman" w:hAnsi="Times New Roman"/>
                <w:sz w:val="18"/>
                <w:szCs w:val="18"/>
                <w:color w:val="0000FF"/>
              </w:rPr>
            </w:pPr>
            <w:hyperlink r:id="rId364">
              <w:r>
                <w:rPr>
                  <w:rFonts w:ascii="Times New Roman" w:cs="Times New Roman" w:eastAsia="Times New Roman" w:hAnsi="Times New Roman"/>
                  <w:sz w:val="18"/>
                  <w:szCs w:val="18"/>
                  <w:color w:val="0000FF"/>
                </w:rPr>
                <w:t>Corporate Securities Trading Policy</w:t>
              </w:r>
            </w:hyperlink>
          </w:p>
        </w:tc>
        <w:tc>
          <w:tcPr>
            <w:tcW w:w="2580" w:type="dxa"/>
            <w:vAlign w:val="bottom"/>
            <w:gridSpan w:val="15"/>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Consent of Independent Registered Public Accounting Firm.</w:t>
            </w:r>
          </w:p>
        </w:tc>
        <w:tc>
          <w:tcPr>
            <w:tcW w:w="2220" w:type="dxa"/>
            <w:vAlign w:val="bottom"/>
            <w:gridSpan w:val="12"/>
          </w:tcPr>
          <w:p>
            <w:pPr>
              <w:spacing w:after="0"/>
              <w:rPr>
                <w:sz w:val="24"/>
                <w:szCs w:val="24"/>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34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Power of Attorney (included on signature page)</w:t>
            </w:r>
          </w:p>
        </w:tc>
        <w:tc>
          <w:tcPr>
            <w:tcW w:w="20" w:type="dxa"/>
            <w:vAlign w:val="bottom"/>
            <w:tcBorders>
              <w:bottom w:val="single" w:sz="8" w:color="0000EE"/>
            </w:tcBorders>
          </w:tcPr>
          <w:p>
            <w:pPr>
              <w:spacing w:after="0"/>
              <w:rPr>
                <w:sz w:val="24"/>
                <w:szCs w:val="24"/>
                <w:color w:val="auto"/>
              </w:rPr>
            </w:pPr>
          </w:p>
        </w:tc>
        <w:tc>
          <w:tcPr>
            <w:tcW w:w="3120" w:type="dxa"/>
            <w:vAlign w:val="bottom"/>
            <w:gridSpan w:val="18"/>
          </w:tcPr>
          <w:p>
            <w:pPr>
              <w:spacing w:after="0"/>
              <w:rPr>
                <w:sz w:val="24"/>
                <w:szCs w:val="24"/>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2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w:t>
            </w:r>
          </w:p>
        </w:tc>
        <w:tc>
          <w:tcPr>
            <w:tcW w:w="300" w:type="dxa"/>
            <w:vAlign w:val="bottom"/>
            <w:gridSpan w:val="6"/>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26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 as Adopted Pursuant to Section 302 of the</w:t>
            </w:r>
          </w:p>
        </w:tc>
        <w:tc>
          <w:tcPr>
            <w:tcW w:w="320" w:type="dxa"/>
            <w:vAlign w:val="bottom"/>
            <w:gridSpan w:val="7"/>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1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4480" w:type="dxa"/>
            <w:vAlign w:val="bottom"/>
            <w:gridSpan w:val="24"/>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2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w:t>
            </w:r>
          </w:p>
        </w:tc>
        <w:tc>
          <w:tcPr>
            <w:tcW w:w="340" w:type="dxa"/>
            <w:vAlign w:val="bottom"/>
            <w:gridSpan w:val="8"/>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26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 as Adopted Pursuant to Section 302 of the</w:t>
            </w:r>
          </w:p>
        </w:tc>
        <w:tc>
          <w:tcPr>
            <w:tcW w:w="320" w:type="dxa"/>
            <w:vAlign w:val="bottom"/>
            <w:gridSpan w:val="7"/>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1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4480" w:type="dxa"/>
            <w:vAlign w:val="bottom"/>
            <w:gridSpan w:val="24"/>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52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w:t>
            </w:r>
          </w:p>
        </w:tc>
        <w:tc>
          <w:tcPr>
            <w:tcW w:w="6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5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U.S.C. Section 1350, as Adopted Pursuant to Section 906 of the Sarbanes-Oxley Act of</w:t>
            </w:r>
          </w:p>
        </w:tc>
      </w:tr>
      <w:tr>
        <w:trPr>
          <w:trHeight w:val="196"/>
        </w:trPr>
        <w:tc>
          <w:tcPr>
            <w:tcW w:w="102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20" w:type="dxa"/>
            <w:vAlign w:val="bottom"/>
            <w:tcBorders>
              <w:top w:val="single" w:sz="8" w:color="0000FF"/>
              <w:bottom w:val="single" w:sz="8" w:color="0000EE"/>
            </w:tcBorders>
          </w:tcPr>
          <w:p>
            <w:pPr>
              <w:spacing w:after="0"/>
              <w:rPr>
                <w:sz w:val="17"/>
                <w:szCs w:val="17"/>
                <w:color w:val="auto"/>
              </w:rPr>
            </w:pPr>
          </w:p>
        </w:tc>
        <w:tc>
          <w:tcPr>
            <w:tcW w:w="168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3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6580" w:type="dxa"/>
            <w:vAlign w:val="bottom"/>
            <w:gridSpan w:val="27"/>
          </w:tcPr>
          <w:p>
            <w:pPr>
              <w:spacing w:after="0"/>
              <w:rPr>
                <w:rFonts w:ascii="Times New Roman" w:cs="Times New Roman" w:eastAsia="Times New Roman" w:hAnsi="Times New Roman"/>
                <w:sz w:val="18"/>
                <w:szCs w:val="18"/>
                <w:color w:val="0000FF"/>
              </w:rPr>
            </w:pPr>
            <w:hyperlink r:id="rId365">
              <w:r>
                <w:rPr>
                  <w:rFonts w:ascii="Times New Roman" w:cs="Times New Roman" w:eastAsia="Times New Roman" w:hAnsi="Times New Roman"/>
                  <w:sz w:val="18"/>
                  <w:szCs w:val="18"/>
                  <w:color w:val="0000FF"/>
                </w:rPr>
                <w:t>Executive Compensation Clawback Policy</w:t>
              </w:r>
            </w:hyperlink>
          </w:p>
        </w:tc>
      </w:tr>
      <w:tr>
        <w:trPr>
          <w:trHeight w:val="20"/>
        </w:trPr>
        <w:tc>
          <w:tcPr>
            <w:tcW w:w="1020" w:type="dxa"/>
            <w:vAlign w:val="bottom"/>
          </w:tcPr>
          <w:p>
            <w:pPr>
              <w:spacing w:after="0" w:line="20" w:lineRule="exact"/>
              <w:rPr>
                <w:sz w:val="1"/>
                <w:szCs w:val="1"/>
                <w:color w:val="auto"/>
              </w:rPr>
            </w:pPr>
          </w:p>
        </w:tc>
        <w:tc>
          <w:tcPr>
            <w:tcW w:w="3080" w:type="dxa"/>
            <w:vAlign w:val="bottom"/>
            <w:tcBorders>
              <w:right w:val="single" w:sz="8" w:color="0000EE"/>
            </w:tcBorders>
            <w:gridSpan w:val="7"/>
            <w:shd w:val="clear" w:color="auto" w:fill="0000FF"/>
          </w:tcPr>
          <w:p>
            <w:pPr>
              <w:spacing w:after="0" w:line="20" w:lineRule="exact"/>
              <w:rPr>
                <w:sz w:val="1"/>
                <w:szCs w:val="1"/>
                <w:color w:val="auto"/>
              </w:rPr>
            </w:pPr>
          </w:p>
        </w:tc>
        <w:tc>
          <w:tcPr>
            <w:tcW w:w="3500" w:type="dxa"/>
            <w:vAlign w:val="bottom"/>
            <w:gridSpan w:val="20"/>
          </w:tcPr>
          <w:p>
            <w:pPr>
              <w:spacing w:after="0" w:line="20" w:lineRule="exact"/>
              <w:rPr>
                <w:sz w:val="1"/>
                <w:szCs w:val="1"/>
                <w:color w:val="auto"/>
              </w:rPr>
            </w:pPr>
          </w:p>
        </w:tc>
      </w:tr>
      <w:tr>
        <w:trPr>
          <w:trHeight w:val="4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6580" w:type="dxa"/>
            <w:vAlign w:val="bottom"/>
            <w:gridSpan w:val="27"/>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w:t>
            </w:r>
          </w:p>
        </w:tc>
      </w:tr>
      <w:tr>
        <w:trPr>
          <w:trHeight w:val="234"/>
        </w:trPr>
        <w:tc>
          <w:tcPr>
            <w:tcW w:w="1020" w:type="dxa"/>
            <w:vAlign w:val="bottom"/>
          </w:tcPr>
          <w:p>
            <w:pPr>
              <w:spacing w:after="0"/>
              <w:rPr>
                <w:sz w:val="20"/>
                <w:szCs w:val="20"/>
                <w:color w:val="auto"/>
              </w:rPr>
            </w:pPr>
          </w:p>
        </w:tc>
        <w:tc>
          <w:tcPr>
            <w:tcW w:w="658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Data File because its XBRL tags are embedded within the Inline XBRL document</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658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658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658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658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658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8" w:lineRule="exact"/>
        <w:rPr>
          <w:sz w:val="20"/>
          <w:szCs w:val="20"/>
          <w:color w:val="auto"/>
        </w:rPr>
      </w:pPr>
    </w:p>
    <w:p>
      <w:pPr>
        <w:ind w:left="5460" w:right="60" w:hanging="5459"/>
        <w:spacing w:after="0" w:line="485" w:lineRule="auto"/>
        <w:tabs>
          <w:tab w:leader="none" w:pos="100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333375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3/27/2023</w:t>
            </w:r>
          </w:p>
        </w:tc>
        <w:tc>
          <w:tcPr>
            <w:tcW w:w="5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10.24</w:t>
            </w:r>
          </w:p>
        </w:tc>
      </w:tr>
      <w:tr>
        <w:trPr>
          <w:trHeight w:val="648"/>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8/8/2024</w:t>
            </w:r>
          </w:p>
        </w:tc>
        <w:tc>
          <w:tcPr>
            <w:tcW w:w="5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10.1</w:t>
            </w:r>
          </w:p>
        </w:tc>
      </w:tr>
      <w:tr>
        <w:trPr>
          <w:trHeight w:val="648"/>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3/27/2023</w:t>
            </w:r>
          </w:p>
        </w:tc>
        <w:tc>
          <w:tcPr>
            <w:tcW w:w="5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10.25</w:t>
            </w:r>
          </w:p>
        </w:tc>
      </w:tr>
      <w:tr>
        <w:trPr>
          <w:trHeight w:val="648"/>
        </w:trPr>
        <w:tc>
          <w:tcPr>
            <w:tcW w:w="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7/3/2023</w:t>
            </w:r>
          </w:p>
        </w:tc>
        <w:tc>
          <w:tcPr>
            <w:tcW w:w="5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10.1</w:t>
            </w:r>
          </w:p>
        </w:tc>
      </w:tr>
      <w:tr>
        <w:trPr>
          <w:trHeight w:val="648"/>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2/27/2020</w:t>
            </w:r>
          </w:p>
        </w:tc>
        <w:tc>
          <w:tcPr>
            <w:tcW w:w="5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1.1</w:t>
            </w:r>
          </w:p>
        </w:tc>
      </w:tr>
      <w:tr>
        <w:trPr>
          <w:trHeight w:val="648"/>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8/9/2024</w:t>
            </w:r>
          </w:p>
        </w:tc>
        <w:tc>
          <w:tcPr>
            <w:tcW w:w="5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1.3</w:t>
            </w:r>
          </w:p>
        </w:tc>
      </w:tr>
      <w:tr>
        <w:trPr>
          <w:trHeight w:val="648"/>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8/9/2024</w:t>
            </w:r>
          </w:p>
        </w:tc>
        <w:tc>
          <w:tcPr>
            <w:tcW w:w="5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1.4</w:t>
            </w:r>
          </w:p>
        </w:tc>
      </w:tr>
      <w:tr>
        <w:trPr>
          <w:trHeight w:val="432"/>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3/11/2024</w:t>
            </w:r>
          </w:p>
        </w:tc>
        <w:tc>
          <w:tcPr>
            <w:tcW w:w="5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19.1</w:t>
            </w: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spacing w:after="0"/>
        <w:tabs>
          <w:tab w:leader="none" w:pos="760" w:val="left"/>
          <w:tab w:leader="none" w:pos="190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3/11/2024</w:t>
      </w:r>
      <w:r>
        <w:rPr>
          <w:sz w:val="20"/>
          <w:szCs w:val="20"/>
          <w:color w:val="auto"/>
        </w:rPr>
        <w:tab/>
      </w:r>
      <w:r>
        <w:rPr>
          <w:rFonts w:ascii="Times New Roman" w:cs="Times New Roman" w:eastAsia="Times New Roman" w:hAnsi="Times New Roman"/>
          <w:sz w:val="18"/>
          <w:szCs w:val="18"/>
          <w:color w:val="auto"/>
        </w:rPr>
        <w:t>97.1</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7600" w:space="320"/>
            <w:col w:w="2980"/>
          </w:cols>
          <w:pgMar w:left="340" w:top="1363" w:right="659" w:bottom="1440" w:gutter="0" w:footer="0" w:header="0"/>
        </w:sectPr>
      </w:pPr>
    </w:p>
    <w:bookmarkStart w:id="124" w:name="page125"/>
    <w:bookmarkEnd w:id="124"/>
    <w:p>
      <w:pPr>
        <w:ind w:right="160" w:firstLine="8"/>
        <w:spacing w:after="0" w:line="298" w:lineRule="auto"/>
        <w:tabs>
          <w:tab w:leader="none" w:pos="121"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Confidential treatment has been granted for certain information contained in this exhibit. Such information has been omitted and filed separately with the Securities and Exchange Commission.</w:t>
      </w:r>
    </w:p>
    <w:p>
      <w:pPr>
        <w:spacing w:after="0" w:line="205" w:lineRule="exact"/>
        <w:rPr>
          <w:sz w:val="20"/>
          <w:szCs w:val="20"/>
          <w:color w:val="auto"/>
        </w:rPr>
      </w:pPr>
    </w:p>
    <w:p>
      <w:pPr>
        <w:ind w:left="240" w:hanging="232"/>
        <w:spacing w:after="0"/>
        <w:tabs>
          <w:tab w:leader="none" w:pos="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Certain confidential portions of this exhibit have been omitted from this exhibit.</w:t>
      </w:r>
    </w:p>
    <w:p>
      <w:pPr>
        <w:spacing w:after="0" w:line="23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Indicates management contract or compensatory plan.</w:t>
      </w:r>
    </w:p>
    <w:p>
      <w:pPr>
        <w:spacing w:after="0" w:line="262" w:lineRule="exact"/>
        <w:rPr>
          <w:sz w:val="20"/>
          <w:szCs w:val="20"/>
          <w:color w:val="auto"/>
        </w:rPr>
      </w:pPr>
    </w:p>
    <w:p>
      <w:pPr>
        <w:ind w:firstLine="8"/>
        <w:spacing w:after="0" w:line="281" w:lineRule="auto"/>
        <w:tabs>
          <w:tab w:leader="none" w:pos="202"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 32.1 that accompany this Annual Report on Form 10-K are not deemed filed with the Securities and Exchange Commission and are not to be incorporated by reference into any filing of CytomX Therapeutics,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Registrants may voluntarily include a summary of information required by Form 10-K under Item 16. We have elected not to include such summary.</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5" w:right="39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p>
        </w:tc>
        <w:tc>
          <w:tcPr>
            <w:tcW w:w="7080" w:type="dxa"/>
            <w:vAlign w:val="bottom"/>
            <w:gridSpan w:val="2"/>
          </w:tcPr>
          <w:p>
            <w:pPr>
              <w:ind w:left="2640"/>
              <w:spacing w:after="0"/>
              <w:rPr>
                <w:sz w:val="20"/>
                <w:szCs w:val="20"/>
                <w:color w:val="auto"/>
              </w:rPr>
            </w:pPr>
            <w:r>
              <w:rPr>
                <w:rFonts w:ascii="Times New Roman" w:cs="Times New Roman" w:eastAsia="Times New Roman" w:hAnsi="Times New Roman"/>
                <w:sz w:val="18"/>
                <w:szCs w:val="18"/>
                <w:b w:val="1"/>
                <w:bCs w:val="1"/>
                <w:color w:val="auto"/>
              </w:rPr>
              <w:t>CytomX Therapeutics, Inc.</w:t>
            </w:r>
          </w:p>
        </w:tc>
      </w:tr>
      <w:tr>
        <w:trPr>
          <w:trHeight w:val="432"/>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Date: March 6, 2025</w:t>
            </w:r>
          </w:p>
        </w:tc>
        <w:tc>
          <w:tcPr>
            <w:tcW w:w="32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Sean A. McCarthy</w:t>
            </w:r>
          </w:p>
        </w:tc>
      </w:tr>
      <w:tr>
        <w:trPr>
          <w:trHeight w:val="187"/>
        </w:trPr>
        <w:tc>
          <w:tcPr>
            <w:tcW w:w="4140" w:type="dxa"/>
            <w:vAlign w:val="bottom"/>
          </w:tcPr>
          <w:p>
            <w:pPr>
              <w:spacing w:after="0"/>
              <w:rPr>
                <w:sz w:val="16"/>
                <w:szCs w:val="16"/>
                <w:color w:val="auto"/>
              </w:rPr>
            </w:pPr>
          </w:p>
        </w:tc>
        <w:tc>
          <w:tcPr>
            <w:tcW w:w="3240" w:type="dxa"/>
            <w:vAlign w:val="bottom"/>
          </w:tcPr>
          <w:p>
            <w:pPr>
              <w:ind w:left="2640"/>
              <w:spacing w:after="0" w:line="188"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Sean A. McCarthy, D.Phil.</w:t>
            </w:r>
          </w:p>
        </w:tc>
      </w:tr>
      <w:tr>
        <w:trPr>
          <w:trHeight w:val="218"/>
        </w:trPr>
        <w:tc>
          <w:tcPr>
            <w:tcW w:w="4140" w:type="dxa"/>
            <w:vAlign w:val="bottom"/>
          </w:tcPr>
          <w:p>
            <w:pPr>
              <w:spacing w:after="0"/>
              <w:rPr>
                <w:sz w:val="18"/>
                <w:szCs w:val="18"/>
                <w:color w:val="auto"/>
              </w:rPr>
            </w:pPr>
          </w:p>
        </w:tc>
        <w:tc>
          <w:tcPr>
            <w:tcW w:w="32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 and Chairman</w:t>
            </w:r>
          </w:p>
        </w:tc>
      </w:tr>
      <w:tr>
        <w:trPr>
          <w:trHeight w:val="236"/>
        </w:trPr>
        <w:tc>
          <w:tcPr>
            <w:tcW w:w="41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32"/>
        </w:trPr>
        <w:tc>
          <w:tcPr>
            <w:tcW w:w="4140" w:type="dxa"/>
            <w:vAlign w:val="bottom"/>
          </w:tcPr>
          <w:p>
            <w:pPr>
              <w:spacing w:after="0"/>
              <w:rPr>
                <w:sz w:val="24"/>
                <w:szCs w:val="24"/>
                <w:color w:val="auto"/>
              </w:rPr>
            </w:pPr>
          </w:p>
        </w:tc>
        <w:tc>
          <w:tcPr>
            <w:tcW w:w="32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Christopher W. Ogden</w:t>
            </w:r>
          </w:p>
        </w:tc>
      </w:tr>
      <w:tr>
        <w:trPr>
          <w:trHeight w:val="187"/>
        </w:trPr>
        <w:tc>
          <w:tcPr>
            <w:tcW w:w="4140" w:type="dxa"/>
            <w:vAlign w:val="bottom"/>
          </w:tcPr>
          <w:p>
            <w:pPr>
              <w:spacing w:after="0"/>
              <w:rPr>
                <w:sz w:val="16"/>
                <w:szCs w:val="16"/>
                <w:color w:val="auto"/>
              </w:rPr>
            </w:pPr>
          </w:p>
        </w:tc>
        <w:tc>
          <w:tcPr>
            <w:tcW w:w="3240" w:type="dxa"/>
            <w:vAlign w:val="bottom"/>
          </w:tcPr>
          <w:p>
            <w:pPr>
              <w:ind w:left="2640"/>
              <w:spacing w:after="0" w:line="188"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Christopher W. Ogden</w:t>
            </w:r>
          </w:p>
        </w:tc>
      </w:tr>
      <w:tr>
        <w:trPr>
          <w:trHeight w:val="218"/>
        </w:trPr>
        <w:tc>
          <w:tcPr>
            <w:tcW w:w="4140" w:type="dxa"/>
            <w:vAlign w:val="bottom"/>
          </w:tcPr>
          <w:p>
            <w:pPr>
              <w:spacing w:after="0"/>
              <w:rPr>
                <w:sz w:val="18"/>
                <w:szCs w:val="18"/>
                <w:color w:val="auto"/>
              </w:rPr>
            </w:pPr>
          </w:p>
        </w:tc>
        <w:tc>
          <w:tcPr>
            <w:tcW w:w="32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16"/>
        </w:trPr>
        <w:tc>
          <w:tcPr>
            <w:tcW w:w="41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 and Principal</w:t>
            </w:r>
          </w:p>
        </w:tc>
      </w:tr>
      <w:tr>
        <w:trPr>
          <w:trHeight w:val="236"/>
        </w:trPr>
        <w:tc>
          <w:tcPr>
            <w:tcW w:w="41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and appoints Sean A. McCarthy, D. Phil. and Lloyd Rowland and each of them, with full power of substitution and resubstitution,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attorney-in-fact and agents full power and authority to do and perform each and every act and thing, ratifying and confirming all that said attorney-in-fact and agents or his substitute or substitutes may lawfully do or cause to be done by virtue thereof. 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157" w:right="339" w:bottom="1440" w:gutter="0" w:footer="0" w:header="0"/>
        </w:sectPr>
      </w:pP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Sean A. McCarthy</w:t>
            </w:r>
          </w:p>
        </w:tc>
        <w:tc>
          <w:tcPr>
            <w:tcW w:w="398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8"/>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Sean A. McCarthy, D.Phil.</w:t>
            </w:r>
          </w:p>
        </w:tc>
        <w:tc>
          <w:tcPr>
            <w:tcW w:w="3980" w:type="dxa"/>
            <w:vAlign w:val="bottom"/>
          </w:tcPr>
          <w:p>
            <w:pPr>
              <w:jc w:val="center"/>
              <w:ind w:left="123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14"/>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Matthew P. Young</w:t>
            </w:r>
          </w:p>
        </w:tc>
        <w:tc>
          <w:tcPr>
            <w:tcW w:w="398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Matthew P. Young</w:t>
            </w:r>
          </w:p>
        </w:tc>
        <w:tc>
          <w:tcPr>
            <w:tcW w:w="3980" w:type="dxa"/>
            <w:vAlign w:val="bottom"/>
          </w:tcPr>
          <w:p>
            <w:pPr>
              <w:spacing w:after="0"/>
              <w:rPr>
                <w:sz w:val="19"/>
                <w:szCs w:val="19"/>
                <w:color w:val="auto"/>
              </w:rPr>
            </w:pPr>
          </w:p>
        </w:tc>
      </w:tr>
      <w:tr>
        <w:trPr>
          <w:trHeight w:val="414"/>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Alan Ashworth</w:t>
            </w:r>
          </w:p>
        </w:tc>
        <w:tc>
          <w:tcPr>
            <w:tcW w:w="398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Alan Ashworth, Ph.D. FRS</w:t>
            </w:r>
          </w:p>
        </w:tc>
        <w:tc>
          <w:tcPr>
            <w:tcW w:w="3980" w:type="dxa"/>
            <w:vAlign w:val="bottom"/>
          </w:tcPr>
          <w:p>
            <w:pPr>
              <w:spacing w:after="0"/>
              <w:rPr>
                <w:sz w:val="19"/>
                <w:szCs w:val="19"/>
                <w:color w:val="auto"/>
              </w:rPr>
            </w:pPr>
          </w:p>
        </w:tc>
      </w:tr>
      <w:tr>
        <w:trPr>
          <w:trHeight w:val="414"/>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Elaine V. Jones</w:t>
            </w:r>
          </w:p>
        </w:tc>
        <w:tc>
          <w:tcPr>
            <w:tcW w:w="398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Elaine V. Jones, Ph.D.</w:t>
            </w:r>
          </w:p>
        </w:tc>
        <w:tc>
          <w:tcPr>
            <w:tcW w:w="3980" w:type="dxa"/>
            <w:vAlign w:val="bottom"/>
          </w:tcPr>
          <w:p>
            <w:pPr>
              <w:spacing w:after="0"/>
              <w:rPr>
                <w:sz w:val="19"/>
                <w:szCs w:val="19"/>
                <w:color w:val="auto"/>
              </w:rPr>
            </w:pPr>
          </w:p>
        </w:tc>
      </w:tr>
      <w:tr>
        <w:trPr>
          <w:trHeight w:val="414"/>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R. Meyers</w:t>
            </w:r>
          </w:p>
        </w:tc>
        <w:tc>
          <w:tcPr>
            <w:tcW w:w="398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James R. Meyers</w:t>
            </w:r>
          </w:p>
        </w:tc>
        <w:tc>
          <w:tcPr>
            <w:tcW w:w="3980" w:type="dxa"/>
            <w:vAlign w:val="bottom"/>
          </w:tcPr>
          <w:p>
            <w:pPr>
              <w:spacing w:after="0"/>
              <w:rPr>
                <w:sz w:val="19"/>
                <w:szCs w:val="19"/>
                <w:color w:val="auto"/>
              </w:rPr>
            </w:pPr>
          </w:p>
        </w:tc>
      </w:tr>
      <w:tr>
        <w:trPr>
          <w:trHeight w:val="414"/>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Mani Mohindru</w:t>
            </w:r>
          </w:p>
        </w:tc>
        <w:tc>
          <w:tcPr>
            <w:tcW w:w="398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Mani Mohindru, Ph.D.</w:t>
            </w:r>
          </w:p>
        </w:tc>
        <w:tc>
          <w:tcPr>
            <w:tcW w:w="3980" w:type="dxa"/>
            <w:vAlign w:val="bottom"/>
          </w:tcPr>
          <w:p>
            <w:pPr>
              <w:spacing w:after="0"/>
              <w:rPr>
                <w:sz w:val="19"/>
                <w:szCs w:val="19"/>
                <w:color w:val="auto"/>
              </w:rPr>
            </w:pPr>
          </w:p>
        </w:tc>
      </w:tr>
      <w:tr>
        <w:trPr>
          <w:trHeight w:val="414"/>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Halley E. Gilbert</w:t>
            </w:r>
          </w:p>
        </w:tc>
        <w:tc>
          <w:tcPr>
            <w:tcW w:w="398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Halley E. Gilbert</w:t>
            </w:r>
          </w:p>
        </w:tc>
        <w:tc>
          <w:tcPr>
            <w:tcW w:w="3980" w:type="dxa"/>
            <w:vAlign w:val="bottom"/>
          </w:tcPr>
          <w:p>
            <w:pPr>
              <w:spacing w:after="0"/>
              <w:rPr>
                <w:sz w:val="19"/>
                <w:szCs w:val="19"/>
                <w:color w:val="auto"/>
              </w:rPr>
            </w:pPr>
          </w:p>
        </w:tc>
      </w:tr>
      <w:tr>
        <w:trPr>
          <w:trHeight w:val="414"/>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Zhen Su</w:t>
            </w:r>
          </w:p>
        </w:tc>
        <w:tc>
          <w:tcPr>
            <w:tcW w:w="398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Zhen Su, M.D.</w:t>
            </w:r>
          </w:p>
        </w:tc>
        <w:tc>
          <w:tcPr>
            <w:tcW w:w="39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2025</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2025</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2025</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2025</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2025</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2025</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2025</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2025</w:t>
      </w:r>
    </w:p>
    <w:p>
      <w:pPr>
        <w:spacing w:after="0" w:line="461" w:lineRule="exact"/>
        <w:rPr>
          <w:sz w:val="20"/>
          <w:szCs w:val="20"/>
          <w:color w:val="auto"/>
        </w:rPr>
      </w:pPr>
    </w:p>
    <w:p>
      <w:pPr>
        <w:sectPr>
          <w:pgSz w:w="11900" w:h="16838" w:orient="portrait"/>
          <w:cols w:equalWidth="0" w:num="2">
            <w:col w:w="8840" w:space="720"/>
            <w:col w:w="1680"/>
          </w:cols>
          <w:pgMar w:left="320" w:top="1157" w:right="339" w:bottom="1440" w:gutter="0" w:footer="0" w:header="0"/>
          <w:type w:val="continuous"/>
        </w:sect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type w:val="continuous"/>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333" w:lineRule="exact"/>
        <w:rPr>
          <w:sz w:val="20"/>
          <w:szCs w:val="20"/>
          <w:color w:val="auto"/>
        </w:rPr>
      </w:pPr>
    </w:p>
    <w:p>
      <w:pPr>
        <w:ind w:left="1020" w:hanging="503"/>
        <w:spacing w:after="0"/>
        <w:tabs>
          <w:tab w:leader="none" w:pos="1020" w:val="left"/>
        </w:tabs>
        <w:numPr>
          <w:ilvl w:val="0"/>
          <w:numId w:val="64"/>
        </w:numPr>
        <w:rPr>
          <w:rFonts w:ascii="Arial" w:cs="Arial" w:eastAsia="Arial" w:hAnsi="Arial"/>
          <w:sz w:val="18"/>
          <w:szCs w:val="18"/>
          <w:color w:val="auto"/>
        </w:rPr>
      </w:pPr>
      <w:r>
        <w:rPr>
          <w:rFonts w:ascii="Times New Roman" w:cs="Times New Roman" w:eastAsia="Times New Roman" w:hAnsi="Times New Roman"/>
          <w:sz w:val="18"/>
          <w:szCs w:val="18"/>
          <w:color w:val="auto"/>
        </w:rPr>
        <w:t>Registration Statements on Form S-3 Nos. 333-274010 and 333-281433 and related prospectuses of CytomX Therapeutics, Inc., and</w:t>
      </w:r>
    </w:p>
    <w:p>
      <w:pPr>
        <w:spacing w:after="0" w:line="116" w:lineRule="exact"/>
        <w:rPr>
          <w:rFonts w:ascii="Arial" w:cs="Arial" w:eastAsia="Arial" w:hAnsi="Arial"/>
          <w:sz w:val="18"/>
          <w:szCs w:val="18"/>
          <w:color w:val="auto"/>
        </w:rPr>
      </w:pPr>
    </w:p>
    <w:p>
      <w:pPr>
        <w:jc w:val="both"/>
        <w:ind w:left="1020" w:hanging="503"/>
        <w:spacing w:after="0" w:line="265" w:lineRule="auto"/>
        <w:tabs>
          <w:tab w:leader="none" w:pos="1020" w:val="left"/>
        </w:tabs>
        <w:numPr>
          <w:ilvl w:val="0"/>
          <w:numId w:val="64"/>
        </w:numPr>
        <w:rPr>
          <w:rFonts w:ascii="Arial" w:cs="Arial" w:eastAsia="Arial" w:hAnsi="Arial"/>
          <w:sz w:val="18"/>
          <w:szCs w:val="18"/>
          <w:color w:val="auto"/>
        </w:rPr>
      </w:pPr>
      <w:r>
        <w:rPr>
          <w:rFonts w:ascii="Times New Roman" w:cs="Times New Roman" w:eastAsia="Times New Roman" w:hAnsi="Times New Roman"/>
          <w:sz w:val="18"/>
          <w:szCs w:val="18"/>
          <w:color w:val="auto"/>
        </w:rPr>
        <w:t>Registration Statements (Form S-8 Nos. 333-207694, 333-209992, 333-215795, 333-223491, 333-229916, 333-236711, 333-253452, 333-255832, 333-263321, 333-270869, and 333-277819) pertaining to the 2015 Equity Incentive Plan, the Employee Stock Purchase Plan and the 2019 Employment Inducement Incentive Plan, of CytomX Therapeutics, Inc.;</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our report dated March 6, 2025, with respect to the financial statements of CytomX Therapeutics, Inc., and the effectiveness of internal control over financial reporting of CytomX Therapeutics, Inc., included in this Annual Report (Form 10-K) of CytomX Therapeutics Inc.,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8" w:name="page129"/>
    <w:bookmarkEnd w:id="128"/>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SECTION 302 OF THE SARBANES 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A. McCarthy, Chief Executive Officer of CytomX Therapeutics, Inc., certify that:</w:t>
      </w:r>
    </w:p>
    <w:p>
      <w:pPr>
        <w:spacing w:after="0" w:line="117" w:lineRule="exact"/>
        <w:rPr>
          <w:sz w:val="20"/>
          <w:szCs w:val="20"/>
          <w:color w:val="auto"/>
        </w:rPr>
      </w:pPr>
    </w:p>
    <w:p>
      <w:pPr>
        <w:ind w:left="760" w:hanging="363"/>
        <w:spacing w:after="0"/>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CytomX Therapeutics, Inc. for the year ended December 31, 2024;</w:t>
      </w:r>
    </w:p>
    <w:p>
      <w:pPr>
        <w:spacing w:after="0" w:line="117" w:lineRule="exact"/>
        <w:rPr>
          <w:rFonts w:ascii="Times New Roman" w:cs="Times New Roman" w:eastAsia="Times New Roman" w:hAnsi="Times New Roman"/>
          <w:sz w:val="18"/>
          <w:szCs w:val="18"/>
          <w:color w:val="auto"/>
        </w:rPr>
      </w:pPr>
    </w:p>
    <w:p>
      <w:pPr>
        <w:jc w:val="both"/>
        <w:ind w:left="760" w:right="20" w:hanging="363"/>
        <w:spacing w:after="0" w:line="266" w:lineRule="auto"/>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60" w:right="240" w:hanging="363"/>
        <w:spacing w:after="0" w:line="282" w:lineRule="auto"/>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760" w:hanging="363"/>
        <w:spacing w:after="0" w:line="266" w:lineRule="auto"/>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220" w:hanging="383"/>
        <w:spacing w:after="0" w:line="266" w:lineRule="auto"/>
        <w:tabs>
          <w:tab w:leader="none" w:pos="11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80" w:hanging="383"/>
        <w:spacing w:after="0" w:line="312" w:lineRule="auto"/>
        <w:tabs>
          <w:tab w:leader="none" w:pos="114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140" w:right="80" w:hanging="383"/>
        <w:spacing w:after="0" w:line="266" w:lineRule="auto"/>
        <w:tabs>
          <w:tab w:leader="none" w:pos="11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760" w:right="160" w:hanging="363"/>
        <w:spacing w:after="0" w:line="312" w:lineRule="auto"/>
        <w:tabs>
          <w:tab w:leader="none" w:pos="76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140" w:right="620" w:hanging="383"/>
        <w:spacing w:after="0" w:line="282" w:lineRule="auto"/>
        <w:tabs>
          <w:tab w:leader="none" w:pos="11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300" w:hanging="383"/>
        <w:spacing w:after="0" w:line="282" w:lineRule="auto"/>
        <w:tabs>
          <w:tab w:leader="none" w:pos="11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/s/ Sean A.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17145</wp:posOffset>
            </wp:positionV>
            <wp:extent cx="241744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71">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7"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Sean A. McCarthy, D.Phil.</w:t>
      </w:r>
    </w:p>
    <w:p>
      <w:pPr>
        <w:spacing w:after="0" w:line="23" w:lineRule="exact"/>
        <w:rPr>
          <w:sz w:val="20"/>
          <w:szCs w:val="20"/>
          <w:color w:val="auto"/>
        </w:rPr>
      </w:pPr>
    </w:p>
    <w:p>
      <w:pPr>
        <w:jc w:val="center"/>
        <w:ind w:left="69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69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29" w:name="page130"/>
    <w:bookmarkEnd w:id="129"/>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SECTION 302 OF THE SARBANES 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W. Ogden, Chief Financial Officer of CytomX Therapeutics, Inc., certify that:</w:t>
      </w:r>
    </w:p>
    <w:p>
      <w:pPr>
        <w:spacing w:after="0" w:line="117" w:lineRule="exact"/>
        <w:rPr>
          <w:sz w:val="20"/>
          <w:szCs w:val="20"/>
          <w:color w:val="auto"/>
        </w:rPr>
      </w:pPr>
    </w:p>
    <w:p>
      <w:pPr>
        <w:ind w:left="760" w:hanging="363"/>
        <w:spacing w:after="0"/>
        <w:tabs>
          <w:tab w:leader="none" w:pos="7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CytomX Therapeutics, Inc. for the year ended December 31, 2024;</w:t>
      </w:r>
    </w:p>
    <w:p>
      <w:pPr>
        <w:spacing w:after="0" w:line="117" w:lineRule="exact"/>
        <w:rPr>
          <w:rFonts w:ascii="Times New Roman" w:cs="Times New Roman" w:eastAsia="Times New Roman" w:hAnsi="Times New Roman"/>
          <w:sz w:val="18"/>
          <w:szCs w:val="18"/>
          <w:color w:val="auto"/>
        </w:rPr>
      </w:pPr>
    </w:p>
    <w:p>
      <w:pPr>
        <w:jc w:val="both"/>
        <w:ind w:left="760" w:right="20" w:hanging="363"/>
        <w:spacing w:after="0" w:line="266" w:lineRule="auto"/>
        <w:tabs>
          <w:tab w:leader="none" w:pos="7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60" w:right="240" w:hanging="363"/>
        <w:spacing w:after="0" w:line="282" w:lineRule="auto"/>
        <w:tabs>
          <w:tab w:leader="none" w:pos="7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760" w:hanging="363"/>
        <w:spacing w:after="0" w:line="266" w:lineRule="auto"/>
        <w:tabs>
          <w:tab w:leader="none" w:pos="7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220" w:hanging="383"/>
        <w:spacing w:after="0" w:line="266" w:lineRule="auto"/>
        <w:tabs>
          <w:tab w:leader="none" w:pos="11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80" w:hanging="383"/>
        <w:spacing w:after="0" w:line="312" w:lineRule="auto"/>
        <w:tabs>
          <w:tab w:leader="none" w:pos="114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140" w:right="80" w:hanging="383"/>
        <w:spacing w:after="0" w:line="266" w:lineRule="auto"/>
        <w:tabs>
          <w:tab w:leader="none" w:pos="11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760" w:right="160" w:hanging="363"/>
        <w:spacing w:after="0" w:line="312" w:lineRule="auto"/>
        <w:tabs>
          <w:tab w:leader="none" w:pos="76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140" w:right="620" w:hanging="383"/>
        <w:spacing w:after="0" w:line="282" w:lineRule="auto"/>
        <w:tabs>
          <w:tab w:leader="none" w:pos="11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300" w:hanging="383"/>
        <w:spacing w:after="0" w:line="282" w:lineRule="auto"/>
        <w:tabs>
          <w:tab w:leader="none" w:pos="11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/s/ Christopher W. Ogden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17145</wp:posOffset>
            </wp:positionV>
            <wp:extent cx="241744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73">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7"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b w:val="1"/>
          <w:bCs w:val="1"/>
          <w:color w:val="auto"/>
        </w:rPr>
        <w:t>Christopher W. Ogden</w:t>
      </w:r>
    </w:p>
    <w:p>
      <w:pPr>
        <w:spacing w:after="0" w:line="23" w:lineRule="exact"/>
        <w:rPr>
          <w:sz w:val="20"/>
          <w:szCs w:val="20"/>
          <w:color w:val="auto"/>
        </w:rPr>
      </w:pPr>
    </w:p>
    <w:p>
      <w:pPr>
        <w:jc w:val="center"/>
        <w:ind w:left="69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920"/>
        <w:spacing w:after="0"/>
        <w:rPr>
          <w:sz w:val="20"/>
          <w:szCs w:val="20"/>
          <w:color w:val="auto"/>
        </w:rPr>
      </w:pPr>
      <w:r>
        <w:rPr>
          <w:rFonts w:ascii="Times New Roman" w:cs="Times New Roman" w:eastAsia="Times New Roman" w:hAnsi="Times New Roman"/>
          <w:sz w:val="18"/>
          <w:szCs w:val="18"/>
          <w:i w:val="1"/>
          <w:iCs w:val="1"/>
          <w:color w:val="auto"/>
        </w:rPr>
        <w:t>(Principal Accounting and Finance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404495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p>
      <w:pPr>
        <w:spacing w:after="0" w:line="229" w:lineRule="exact"/>
        <w:rPr>
          <w:sz w:val="20"/>
          <w:szCs w:val="20"/>
          <w:color w:val="auto"/>
        </w:rPr>
      </w:pPr>
    </w:p>
    <w:p>
      <w:pPr>
        <w:jc w:val="both"/>
        <w:ind w:right="40" w:firstLine="478"/>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 1350), Sean A. McCarthy, D.Phil., Chief Executive Officer of CytomX Therapeutics, Inc. (the “Company”) and Christopher W. Ogden, Chief Financial Officer of the Company, each hereby certify that, to the best of his knowledge:</w:t>
      </w:r>
    </w:p>
    <w:p>
      <w:pPr>
        <w:spacing w:after="0" w:line="68" w:lineRule="exact"/>
        <w:rPr>
          <w:sz w:val="20"/>
          <w:szCs w:val="20"/>
          <w:color w:val="auto"/>
        </w:rPr>
      </w:pPr>
    </w:p>
    <w:p>
      <w:pPr>
        <w:ind w:right="240" w:firstLine="486"/>
        <w:spacing w:after="0" w:line="282" w:lineRule="auto"/>
        <w:tabs>
          <w:tab w:leader="none" w:pos="65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year ended December 31, 2024 to which this Certification is attached as Exhibit 32.1 (the “Annual Report”), fully complies with the requirements of Section 13(a) or 15(d) of the Exchange Act; and</w:t>
      </w:r>
    </w:p>
    <w:p>
      <w:pPr>
        <w:spacing w:after="0" w:line="53" w:lineRule="exact"/>
        <w:rPr>
          <w:rFonts w:ascii="Times New Roman" w:cs="Times New Roman" w:eastAsia="Times New Roman" w:hAnsi="Times New Roman"/>
          <w:sz w:val="18"/>
          <w:szCs w:val="18"/>
          <w:color w:val="auto"/>
        </w:rPr>
      </w:pPr>
    </w:p>
    <w:p>
      <w:pPr>
        <w:ind w:right="340" w:firstLine="486"/>
        <w:spacing w:after="0" w:line="282" w:lineRule="auto"/>
        <w:tabs>
          <w:tab w:leader="none" w:pos="65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 for the period covered by the Annual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6, 2025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Sean A. McCarthy</w:t>
            </w:r>
          </w:p>
        </w:tc>
        <w:tc>
          <w:tcPr>
            <w:tcW w:w="360" w:type="dxa"/>
            <w:vAlign w:val="bottom"/>
          </w:tcPr>
          <w:p>
            <w:pPr>
              <w:spacing w:after="0"/>
              <w:rPr>
                <w:sz w:val="20"/>
                <w:szCs w:val="20"/>
                <w:color w:val="auto"/>
              </w:rPr>
            </w:pPr>
          </w:p>
        </w:tc>
        <w:tc>
          <w:tcPr>
            <w:tcW w:w="5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Christopher W. Ogden</w:t>
            </w:r>
          </w:p>
        </w:tc>
      </w:tr>
      <w:tr>
        <w:trPr>
          <w:trHeight w:val="214"/>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Sean A. McCarthy, D.Phil.</w:t>
            </w:r>
          </w:p>
        </w:tc>
        <w:tc>
          <w:tcPr>
            <w:tcW w:w="360" w:type="dxa"/>
            <w:vAlign w:val="bottom"/>
          </w:tcPr>
          <w:p>
            <w:pPr>
              <w:spacing w:after="0"/>
              <w:rPr>
                <w:sz w:val="18"/>
                <w:szCs w:val="18"/>
                <w:color w:val="auto"/>
              </w:rPr>
            </w:pPr>
          </w:p>
        </w:tc>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Christopher W. Ogden</w:t>
            </w:r>
          </w:p>
        </w:tc>
      </w:tr>
      <w:tr>
        <w:trPr>
          <w:trHeight w:val="21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c>
          <w:tcPr>
            <w:tcW w:w="360" w:type="dxa"/>
            <w:vAlign w:val="bottom"/>
          </w:tcPr>
          <w:p>
            <w:pPr>
              <w:spacing w:after="0"/>
              <w:rPr>
                <w:sz w:val="18"/>
                <w:szCs w:val="18"/>
                <w:color w:val="auto"/>
              </w:rPr>
            </w:pPr>
          </w:p>
        </w:tc>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r>
        <w:trPr>
          <w:trHeight w:val="236"/>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360" w:type="dxa"/>
            <w:vAlign w:val="bottom"/>
          </w:tcPr>
          <w:p>
            <w:pPr>
              <w:spacing w:after="0"/>
              <w:rPr>
                <w:sz w:val="20"/>
                <w:szCs w:val="20"/>
                <w:color w:val="auto"/>
              </w:rPr>
            </w:pPr>
          </w:p>
        </w:tc>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Accounting and Finance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29146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5">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both"/>
        <w:ind w:right="140" w:firstLine="8"/>
        <w:spacing w:after="0" w:line="266" w:lineRule="auto"/>
        <w:tabs>
          <w:tab w:leader="none" w:pos="13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Annual Report on Form 10-K,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496570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31" w:name="page132"/>
    <w:bookmarkEnd w:id="1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
      <w:numFmt w:val="bullet"/>
      <w:start w:val="1"/>
    </w:lvl>
  </w:abstractNum>
  <w:abstractNum w:abstractNumId="42">
    <w:nsid w:val="649BB77C"/>
    <w:multiLevelType w:val="hybridMultilevel"/>
    <w:lvl w:ilvl="0">
      <w:lvlJc w:val="left"/>
      <w:lvlText w:val="•"/>
      <w:numFmt w:val="bullet"/>
      <w:start w:val="1"/>
    </w:lvl>
  </w:abstractNum>
  <w:abstractNum w:abstractNumId="43">
    <w:nsid w:val="275AC794"/>
    <w:multiLevelType w:val="hybridMultilevel"/>
    <w:lvl w:ilvl="0">
      <w:lvlJc w:val="left"/>
      <w:lvlText w:val="•"/>
      <w:numFmt w:val="bullet"/>
      <w:start w:val="1"/>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
      <w:numFmt w:val="bullet"/>
      <w:start w:val="1"/>
    </w:lvl>
  </w:abstractNum>
  <w:abstractNum w:abstractNumId="46">
    <w:nsid w:val="180115BE"/>
    <w:multiLevelType w:val="hybridMultilevel"/>
    <w:lvl w:ilvl="0">
      <w:lvlJc w:val="left"/>
      <w:lvlText w:val="•"/>
      <w:numFmt w:val="bullet"/>
      <w:start w:val="1"/>
    </w:lvl>
  </w:abstractNum>
  <w:abstractNum w:abstractNumId="47">
    <w:nsid w:val="235BA861"/>
    <w:multiLevelType w:val="hybridMultilevel"/>
    <w:lvl w:ilvl="0">
      <w:lvlJc w:val="left"/>
      <w:lvlText w:val="•"/>
      <w:numFmt w:val="bullet"/>
      <w:start w:val="1"/>
    </w:lvl>
  </w:abstractNum>
  <w:abstractNum w:abstractNumId="48">
    <w:nsid w:val="47398C89"/>
    <w:multiLevelType w:val="hybridMultilevel"/>
    <w:lvl w:ilvl="0">
      <w:lvlJc w:val="left"/>
      <w:lvlText w:val="(%1)"/>
      <w:numFmt w:val="decimal"/>
      <w:start w:val="1"/>
    </w:lvl>
  </w:abstractNum>
  <w:abstractNum w:abstractNumId="49">
    <w:nsid w:val="354FE9F9"/>
    <w:multiLevelType w:val="hybridMultilevel"/>
    <w:lvl w:ilvl="0">
      <w:lvlJc w:val="left"/>
      <w:lvlText w:val="(%1)"/>
      <w:numFmt w:val="decimal"/>
      <w:start w:val="2"/>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
      <w:numFmt w:val="bullet"/>
      <w:start w:val="1"/>
    </w:lvl>
  </w:abstractNum>
  <w:abstractNum w:abstractNumId="52">
    <w:nsid w:val="D34B6A8"/>
    <w:multiLevelType w:val="hybridMultilevel"/>
    <w:lvl w:ilvl="0">
      <w:lvlJc w:val="left"/>
      <w:lvlText w:val="$"/>
      <w:numFmt w:val="bullet"/>
      <w:start w:val="1"/>
    </w:lvl>
  </w:abstractNum>
  <w:abstractNum w:abstractNumId="53">
    <w:nsid w:val="10233C99"/>
    <w:multiLevelType w:val="hybridMultilevel"/>
    <w:lvl w:ilvl="0">
      <w:lvlJc w:val="left"/>
      <w:lvlText w:val="$"/>
      <w:numFmt w:val="bullet"/>
      <w:start w:val="1"/>
    </w:lvl>
  </w:abstractNum>
  <w:abstractNum w:abstractNumId="54">
    <w:nsid w:val="3F6AB60F"/>
    <w:multiLevelType w:val="hybridMultilevel"/>
    <w:lvl w:ilvl="0">
      <w:lvlJc w:val="left"/>
      <w:lvlText w:val="•"/>
      <w:numFmt w:val="bullet"/>
      <w:start w:val="1"/>
    </w:lvl>
  </w:abstractNum>
  <w:abstractNum w:abstractNumId="55">
    <w:nsid w:val="61574095"/>
    <w:multiLevelType w:val="hybridMultilevel"/>
    <w:lvl w:ilvl="0">
      <w:lvlJc w:val="left"/>
      <w:lvlText w:val="%1."/>
      <w:numFmt w:val="decimal"/>
      <w:start w:val="8"/>
    </w:lvl>
    <w:lvl w:ilvl="1">
      <w:lvlJc w:val="left"/>
      <w:lvlText w:val="•"/>
      <w:numFmt w:val="bullet"/>
      <w:start w:val="1"/>
    </w:lvl>
  </w:abstractNum>
  <w:abstractNum w:abstractNumId="56">
    <w:nsid w:val="7E0C57B1"/>
    <w:multiLevelType w:val="hybridMultilevel"/>
    <w:lvl w:ilvl="0">
      <w:lvlJc w:val="left"/>
      <w:lvlText w:val="(%1)"/>
      <w:numFmt w:val="decimal"/>
      <w:start w:val="1"/>
    </w:lvl>
  </w:abstractNum>
  <w:abstractNum w:abstractNumId="57">
    <w:nsid w:val="77AE35EB"/>
    <w:multiLevelType w:val="hybridMultilevel"/>
    <w:lvl w:ilvl="0">
      <w:lvlJc w:val="left"/>
      <w:lvlText w:val="(%1)"/>
      <w:numFmt w:val="decimal"/>
      <w:start w:val="2"/>
    </w:lvl>
  </w:abstractNum>
  <w:abstractNum w:abstractNumId="58">
    <w:nsid w:val="579BE4F1"/>
    <w:multiLevelType w:val="hybridMultilevel"/>
    <w:lvl w:ilvl="0">
      <w:lvlJc w:val="left"/>
      <w:lvlText w:val="(%1)"/>
      <w:numFmt w:val="decimal"/>
      <w:start w:val="3"/>
    </w:lvl>
  </w:abstractNum>
  <w:abstractNum w:abstractNumId="59">
    <w:nsid w:val="310C50B3"/>
    <w:multiLevelType w:val="hybridMultilevel"/>
    <w:lvl w:ilvl="0">
      <w:lvlJc w:val="left"/>
      <w:lvlText w:val="%1"/>
      <w:numFmt w:val="decimal"/>
      <w:start w:val="104"/>
    </w:lvl>
  </w:abstractNum>
  <w:abstractNum w:abstractNumId="60">
    <w:nsid w:val="5FF87E05"/>
    <w:multiLevelType w:val="hybridMultilevel"/>
    <w:lvl w:ilvl="0">
      <w:lvlJc w:val="left"/>
      <w:lvlText w:val="†"/>
      <w:numFmt w:val="bullet"/>
      <w:start w:val="1"/>
    </w:lvl>
  </w:abstractNum>
  <w:abstractNum w:abstractNumId="61">
    <w:nsid w:val="2F305DEF"/>
    <w:multiLevelType w:val="hybridMultilevel"/>
    <w:lvl w:ilvl="0">
      <w:lvlJc w:val="left"/>
      <w:lvlText w:val="††"/>
      <w:numFmt w:val="bullet"/>
      <w:start w:val="1"/>
    </w:lvl>
  </w:abstractNum>
  <w:abstractNum w:abstractNumId="62">
    <w:nsid w:val="25A70BF7"/>
    <w:multiLevelType w:val="hybridMultilevel"/>
    <w:lvl w:ilvl="0">
      <w:lvlJc w:val="left"/>
      <w:lvlText w:val="**"/>
      <w:numFmt w:val="bullet"/>
      <w:start w:val="1"/>
    </w:lvl>
  </w:abstractNum>
  <w:abstractNum w:abstractNumId="63">
    <w:nsid w:val="1DBABF00"/>
    <w:multiLevelType w:val="hybridMultilevel"/>
    <w:lvl w:ilvl="0">
      <w:lvlJc w:val="left"/>
      <w:lvlText w:val="(%1)"/>
      <w:numFmt w:val="decimal"/>
      <w:start w:val="1"/>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15" Type="http://schemas.openxmlformats.org/officeDocument/2006/relationships/image" Target="media/image293.png"/><Relationship Id="rId316" Type="http://schemas.openxmlformats.org/officeDocument/2006/relationships/image" Target="media/image294.png"/><Relationship Id="rId329" Type="http://schemas.openxmlformats.org/officeDocument/2006/relationships/image" Target="media/image295.png"/><Relationship Id="rId330" Type="http://schemas.openxmlformats.org/officeDocument/2006/relationships/image" Target="media/image296.png"/><Relationship Id="rId332" Type="http://schemas.openxmlformats.org/officeDocument/2006/relationships/image" Target="media/image297.png"/><Relationship Id="rId333" Type="http://schemas.openxmlformats.org/officeDocument/2006/relationships/image" Target="media/image298.png"/><Relationship Id="rId335" Type="http://schemas.openxmlformats.org/officeDocument/2006/relationships/image" Target="media/image299.png"/><Relationship Id="rId336" Type="http://schemas.openxmlformats.org/officeDocument/2006/relationships/image" Target="media/image300.png"/><Relationship Id="rId338" Type="http://schemas.openxmlformats.org/officeDocument/2006/relationships/image" Target="media/image301.png"/><Relationship Id="rId339" Type="http://schemas.openxmlformats.org/officeDocument/2006/relationships/image" Target="media/image302.png"/><Relationship Id="rId340" Type="http://schemas.openxmlformats.org/officeDocument/2006/relationships/image" Target="media/image303.png"/><Relationship Id="rId356" Type="http://schemas.openxmlformats.org/officeDocument/2006/relationships/image" Target="media/image304.png"/><Relationship Id="rId366" Type="http://schemas.openxmlformats.org/officeDocument/2006/relationships/image" Target="media/image305.png"/><Relationship Id="rId367" Type="http://schemas.openxmlformats.org/officeDocument/2006/relationships/image" Target="media/image306.png"/><Relationship Id="rId368" Type="http://schemas.openxmlformats.org/officeDocument/2006/relationships/image" Target="media/image307.png"/><Relationship Id="rId369" Type="http://schemas.openxmlformats.org/officeDocument/2006/relationships/image" Target="media/image308.png"/><Relationship Id="rId370" Type="http://schemas.openxmlformats.org/officeDocument/2006/relationships/image" Target="media/image309.png"/><Relationship Id="rId371" Type="http://schemas.openxmlformats.org/officeDocument/2006/relationships/image" Target="media/image310.png"/><Relationship Id="rId372" Type="http://schemas.openxmlformats.org/officeDocument/2006/relationships/image" Target="media/image311.png"/><Relationship Id="rId373" Type="http://schemas.openxmlformats.org/officeDocument/2006/relationships/image" Target="media/image312.png"/><Relationship Id="rId374" Type="http://schemas.openxmlformats.org/officeDocument/2006/relationships/image" Target="media/image313.png"/><Relationship Id="rId375" Type="http://schemas.openxmlformats.org/officeDocument/2006/relationships/image" Target="media/image314.png"/><Relationship Id="rId376" Type="http://schemas.openxmlformats.org/officeDocument/2006/relationships/image" Target="media/image315.png"/><Relationship Id="rId300" Type="http://schemas.openxmlformats.org/officeDocument/2006/relationships/hyperlink" Target="https://www.sec.gov/ix?doc=/Archives/edgar/data/0001501989/000119312524141699/d816353d8k.htm" TargetMode="External"/><Relationship Id="rId301" Type="http://schemas.openxmlformats.org/officeDocument/2006/relationships/hyperlink" Target="https://www.sec.gov/ix?doc=/Archives/edgar/data/0001501989/000119312524075211/d803852d8k.htm" TargetMode="External"/><Relationship Id="rId302" Type="http://schemas.openxmlformats.org/officeDocument/2006/relationships/hyperlink" Target="https://www.sec.gov/Archives/edgar/data/0001501989/000119312515329662/d948537dex41.htm" TargetMode="External"/><Relationship Id="rId303" Type="http://schemas.openxmlformats.org/officeDocument/2006/relationships/hyperlink" Target="https://www.sec.gov/Archives/edgar/data/0001501989/000156459017022252/ctmx-ex44_91.htm" TargetMode="External"/><Relationship Id="rId304" Type="http://schemas.openxmlformats.org/officeDocument/2006/relationships/hyperlink" Target="https://www.sec.gov/Archives/edgar/data/1501989/000156459020037722/ctmx-ex44_216.htm" TargetMode="External"/><Relationship Id="rId305" Type="http://schemas.openxmlformats.org/officeDocument/2006/relationships/hyperlink" Target="https://www.sec.gov/Archives/edgar/data/1501989/000119312523180722/d500160dex41.htm" TargetMode="External"/><Relationship Id="rId306" Type="http://schemas.openxmlformats.org/officeDocument/2006/relationships/hyperlink" Target="https://www.sec.gov/Archives/edgar/data/1501989/000119312523180722/d500160dex42.htm" TargetMode="External"/><Relationship Id="rId307" Type="http://schemas.openxmlformats.org/officeDocument/2006/relationships/hyperlink" Target="https://www.sec.gov/Archives/edgar/data/0001501989/000119312515307013/d948537dex103.htm" TargetMode="External"/><Relationship Id="rId308" Type="http://schemas.openxmlformats.org/officeDocument/2006/relationships/hyperlink" Target="https://www.sec.gov/Archives/edgar/data/0001501989/000119312515307013/d948537dex104.htm" TargetMode="External"/><Relationship Id="rId309" Type="http://schemas.openxmlformats.org/officeDocument/2006/relationships/hyperlink" Target="https://www.sec.gov/Archives/edgar/data/0001501989/000119312515307013/d948537dex101.htm" TargetMode="External"/><Relationship Id="rId310" Type="http://schemas.openxmlformats.org/officeDocument/2006/relationships/hyperlink" Target="https://www.sec.gov/Archives/edgar/data/0001501989/000119312515307013/d948537dex102.htm" TargetMode="External"/><Relationship Id="rId311" Type="http://schemas.openxmlformats.org/officeDocument/2006/relationships/hyperlink" Target="https://www.sec.gov/Archives/edgar/data/0001501989/000119312515338434/d948537dex105.htm" TargetMode="External"/><Relationship Id="rId312" Type="http://schemas.openxmlformats.org/officeDocument/2006/relationships/hyperlink" Target="https://www.sec.gov/Archives/edgar/data/0001501989/000156459015010977/ctmx-ex104_591.htm" TargetMode="External"/><Relationship Id="rId313" Type="http://schemas.openxmlformats.org/officeDocument/2006/relationships/hyperlink" Target="https://www.sec.gov/Archives/edgar/data/0001501989/000156459015010977/ctmx-ex105_592.htm" TargetMode="External"/><Relationship Id="rId314" Type="http://schemas.openxmlformats.org/officeDocument/2006/relationships/hyperlink" Target="https://www.sec.gov/Archives/edgar/data/1501989/000095017022002519/ctmx-ex10_3.htm" TargetMode="External"/><Relationship Id="rId317" Type="http://schemas.openxmlformats.org/officeDocument/2006/relationships/hyperlink" Target="https://www.sec.gov/Archives/edgar/data/1501989/000156459019041726/ctmx-ex101_559.htm" TargetMode="External"/><Relationship Id="rId318" Type="http://schemas.openxmlformats.org/officeDocument/2006/relationships/hyperlink" Target="https://www.sec.gov/Archives/edgar/data/1501989/000156459019041726/ctmx-ex102_564.htm" TargetMode="External"/><Relationship Id="rId319" Type="http://schemas.openxmlformats.org/officeDocument/2006/relationships/hyperlink" Target="https://www.sec.gov/Archives/edgar/data/0001501989/000119312515329662/d948537dex106.htm" TargetMode="External"/><Relationship Id="rId320" Type="http://schemas.openxmlformats.org/officeDocument/2006/relationships/hyperlink" Target="https://www.sec.gov/Archives/edgar/data/0001501989/000119312515307013/d948537dex1016.htm" TargetMode="External"/><Relationship Id="rId321" Type="http://schemas.openxmlformats.org/officeDocument/2006/relationships/hyperlink" Target="https://www.sec.gov/Archives/edgar/data/0001501989/000119312515307013/d948537dex107.htm" TargetMode="External"/><Relationship Id="rId322" Type="http://schemas.openxmlformats.org/officeDocument/2006/relationships/hyperlink" Target="https://www.sec.gov/Archives/edgar/data/1501989/000095017023039761/ctmx-ex10_3.htm" TargetMode="External"/><Relationship Id="rId323" Type="http://schemas.openxmlformats.org/officeDocument/2006/relationships/hyperlink" Target="https://www.sec.gov/Archives/edgar/data/1501989/000156459019017968/ctmx-ex101_193.htm" TargetMode="External"/><Relationship Id="rId324" Type="http://schemas.openxmlformats.org/officeDocument/2006/relationships/hyperlink" Target="https://www.sec.gov/Archives/edgar/data/1501989/000156459019017968/ctmx-ex102_194.htm" TargetMode="External"/><Relationship Id="rId325" Type="http://schemas.openxmlformats.org/officeDocument/2006/relationships/hyperlink" Target="https://www.sec.gov/Archives/edgar/data/1501989/000095017023039761/ctmx-ex10_2.htm" TargetMode="External"/><Relationship Id="rId326" Type="http://schemas.openxmlformats.org/officeDocument/2006/relationships/hyperlink" Target="https://www.sec.gov/Archives/edgar/data/0001501989/000156459015011520/ctmx-ex101_6.htm" TargetMode="External"/><Relationship Id="rId327" Type="http://schemas.openxmlformats.org/officeDocument/2006/relationships/hyperlink" Target="https://www.sec.gov/Archives/edgar/data/1501989/000095017023019654/ctmx-ex10_1.htm" TargetMode="External"/><Relationship Id="rId328" Type="http://schemas.openxmlformats.org/officeDocument/2006/relationships/hyperlink" Target="https://www.sec.gov/Archives/edgar/data/0001501989/000119312515322694/d948537dex1021.htm" TargetMode="External"/><Relationship Id="rId331" Type="http://schemas.openxmlformats.org/officeDocument/2006/relationships/hyperlink" Target="https://www.sec.gov/Archives/edgar/data/1501989/000156459019017968/ctmx-ex106_447.htm" TargetMode="External"/><Relationship Id="rId334" Type="http://schemas.openxmlformats.org/officeDocument/2006/relationships/hyperlink" Target="https://www.sec.gov/Archives/edgar/data/1501989/000156459020051302/ctmx-ex102_356.htm" TargetMode="External"/><Relationship Id="rId337" Type="http://schemas.openxmlformats.org/officeDocument/2006/relationships/hyperlink" Target="https://www.sec.gov/Archives/edgar/data/0001501989/000156459017008943/ctmx-ex101_883.htm" TargetMode="External"/><Relationship Id="rId341" Type="http://schemas.openxmlformats.org/officeDocument/2006/relationships/hyperlink" Target="https://www.sec.gov/Archives/edgar/data/0001501989/000156459021024969/ctmx-ex102_137.htm" TargetMode="External"/><Relationship Id="rId342" Type="http://schemas.openxmlformats.org/officeDocument/2006/relationships/hyperlink" Target="https://www.sec.gov/Archives/edgar/data/1501989/000095017022023190/ctmx-ex10_6.htm" TargetMode="External"/><Relationship Id="rId343" Type="http://schemas.openxmlformats.org/officeDocument/2006/relationships/hyperlink" Target="https://www.sec.gov/Archives/edgar/data/0001501989/000156459016022364/ctmx-ex101_550.htm" TargetMode="External"/><Relationship Id="rId344" Type="http://schemas.openxmlformats.org/officeDocument/2006/relationships/hyperlink" Target="https://www.sec.gov/Archives/edgar/data/1501989/000156459018027387/ctmx-ex101_175.htm" TargetMode="External"/><Relationship Id="rId345" Type="http://schemas.openxmlformats.org/officeDocument/2006/relationships/hyperlink" Target="https://www.sec.gov/Archives/edgar/data/1501989/000156459018027387/ctmx-ex102_176.htm" TargetMode="External"/><Relationship Id="rId346" Type="http://schemas.openxmlformats.org/officeDocument/2006/relationships/hyperlink" Target="https://www.sec.gov/Archives/edgar/data/1501989/000156459018027387/ctmx-ex103_177.htm" TargetMode="External"/><Relationship Id="rId347" Type="http://schemas.openxmlformats.org/officeDocument/2006/relationships/hyperlink" Target="https://www.sec.gov/Archives/edgar/data/1501989/000156459019030054/ctmx-ex101_505.htm" TargetMode="External"/><Relationship Id="rId348" Type="http://schemas.openxmlformats.org/officeDocument/2006/relationships/hyperlink" Target="https://www.sec.gov/Archives/edgar/data/1501989/000095017023060201/ctmx-ex10_1.htm" TargetMode="External"/><Relationship Id="rId349" Type="http://schemas.openxmlformats.org/officeDocument/2006/relationships/hyperlink" Target="https://www.sec.gov/Archives/edgar/data/0001501989/000156459017022252/ctmx-ex101_92.htm" TargetMode="External"/><Relationship Id="rId350" Type="http://schemas.openxmlformats.org/officeDocument/2006/relationships/hyperlink" Target="https://www.sec.gov/Archives/edgar/data/1501989/000156459020051302/ctmx-ex103_355.htm" TargetMode="External"/><Relationship Id="rId351" Type="http://schemas.openxmlformats.org/officeDocument/2006/relationships/hyperlink" Target="https://www.sec.gov/Archives/edgar/data/1501989/000095017022002519/ctmx-ex10_20.htm" TargetMode="External"/><Relationship Id="rId352" Type="http://schemas.openxmlformats.org/officeDocument/2006/relationships/hyperlink" Target="https://www.sec.gov/Archives/edgar/data/1501989/000095017023039761/ctmx-ex10_1.htm" TargetMode="External"/><Relationship Id="rId353" Type="http://schemas.openxmlformats.org/officeDocument/2006/relationships/hyperlink" Target="https://www.sec.gov/Archives/edgar/data/1501989/000095017024055588/ctmx-ex10_1.htm" TargetMode="External"/><Relationship Id="rId354" Type="http://schemas.openxmlformats.org/officeDocument/2006/relationships/hyperlink" Target="https://www.sec.gov/Archives/edgar/data/1501989/000156459020022844/ctmx-ex104_330.htm" TargetMode="External"/><Relationship Id="rId355" Type="http://schemas.openxmlformats.org/officeDocument/2006/relationships/hyperlink" Target="https://www.sec.gov/Archives/edgar/data/1501989/000156459018027387/ctmx-ex104_178.htm" TargetMode="External"/><Relationship Id="rId357" Type="http://schemas.openxmlformats.org/officeDocument/2006/relationships/hyperlink" Target="https://www.sec.gov/Archives/edgar/data/1501989/000095017023009991/ctmx-ex10_24.htm" TargetMode="External"/><Relationship Id="rId358" Type="http://schemas.openxmlformats.org/officeDocument/2006/relationships/hyperlink" Target="https://www.sec.gov/Archives/edgar/data/1501989/000095017024093865/ctmx-ex10_1.htm" TargetMode="External"/><Relationship Id="rId359" Type="http://schemas.openxmlformats.org/officeDocument/2006/relationships/hyperlink" Target="https://www.sec.gov/Archives/edgar/data/1501989/000095017023009991/ctmx-ex10_25.htm" TargetMode="External"/><Relationship Id="rId360" Type="http://schemas.openxmlformats.org/officeDocument/2006/relationships/hyperlink" Target="https://www.sec.gov/Archives/edgar/data/1501989/000119312523180722/d500160dex101.htm" TargetMode="External"/><Relationship Id="rId361" Type="http://schemas.openxmlformats.org/officeDocument/2006/relationships/hyperlink" Target="https://www.sec.gov/Archives/edgar/data/1501989/000156459020007395/ctmx-ex11_1755.htm" TargetMode="External"/><Relationship Id="rId362" Type="http://schemas.openxmlformats.org/officeDocument/2006/relationships/hyperlink" Target="https://www.sec.gov/Archives/edgar/data/1501989/000119312524197826/d864122dex13.htm" TargetMode="External"/><Relationship Id="rId363" Type="http://schemas.openxmlformats.org/officeDocument/2006/relationships/hyperlink" Target="https://www.sec.gov/Archives/edgar/data/1501989/000119312524197826/d864122dex14.htm" TargetMode="External"/><Relationship Id="rId364" Type="http://schemas.openxmlformats.org/officeDocument/2006/relationships/hyperlink" Target="https://www.sec.gov/Archives/edgar/data/1501989/000095017024029191/ctmx-ex19_1.htm" TargetMode="External"/><Relationship Id="rId365" Type="http://schemas.openxmlformats.org/officeDocument/2006/relationships/hyperlink" Target="https://www.sec.gov/Archives/edgar/data/1501989/000095017024029191/ctmx-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2025-03-06T15:18:01Z</dcterms:created>
  <dcterms:modified xsi:type="dcterms:W3CDTF">2025-03-06T15:18:01Z</dcterms:modified>
</cp:coreProperties>
</file>