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CytomX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8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11,866,012.00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11,867,012.00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11,867,012.00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9780"/>
          </w:cols>
          <w:pgMar w:left="320" w:top="111" w:right="6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beneficial ownership calculation relies on the 217,899,284 outstanding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disclosed in the Form 10-Q by the issuer on August 6, 2026, which reports share totals as of July 31,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CytomX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1"/>
          <w:szCs w:val="21"/>
          <w:color w:val="auto"/>
        </w:rPr>
        <w:t>151 OYSTER POINT BLVD., 151 OYSTER POINT BLVD., SOUTH SAN FRANCISCO, CALIFORNIA, 94080.</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N TRYON ST CHARLOTTE, NC 28255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ind w:left="960" w:hanging="912"/>
        <w:spacing w:after="0" w:line="180" w:lineRule="auto"/>
        <w:tabs>
          <w:tab w:leader="none" w:pos="96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0940"/>
          </w:cols>
          <w:pgMar w:left="320" w:top="111" w:right="6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11,867,012.00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0.00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11,866,012.00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0.00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11,867,012.00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This statement on Schedule 13G is being filed by Bank of America Corporation on behalf of itself and its wholly owned subsidiaries BofA Securities, Inc., a broker dealer registered under section 15 of the Act (15 U.S.C. 78o); Bank of America N.A., a bank as defined in section 3(a)(6) of the Act (15 U.S.C. 78c); Merrill Lynch International, a non-U.S. institution in accordance with section 240.13d-1(b)(1)(ii)(J); and Merrill Lynch Pierce Fenner &amp; Smith, Inc., a broker dealer registered under section 15 of the Act (15 U.S.C. 78o).</w:t>
      </w:r>
    </w:p>
    <w:p>
      <w:pPr>
        <w:spacing w:after="0" w:line="15"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11"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152" w:lineRule="exact"/>
        <w:rPr>
          <w:sz w:val="20"/>
          <w:szCs w:val="20"/>
          <w:color w:val="auto"/>
        </w:rPr>
      </w:pPr>
    </w:p>
    <w:p>
      <w:pPr>
        <w:ind w:left="294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Monica Yako</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294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sectPr>
      <w:pgSz w:w="11900" w:h="16838" w:orient="portrait"/>
      <w:cols w:equalWidth="0" w:num="1">
        <w:col w:w="10920"/>
      </w:cols>
      <w:pgMar w:left="580" w:top="12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2026-10-28T12:38:50Z</dcterms:created>
  <dcterms:modified xsi:type="dcterms:W3CDTF">2026-10-28T12:38:50Z</dcterms:modified>
</cp:coreProperties>
</file>