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13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136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Ashworth Alan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CytomX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CTMX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77"/>
        <w:spacing w:after="0" w:line="269" w:lineRule="auto"/>
        <w:rPr>
          <w:sz w:val="20"/>
          <w:szCs w:val="20"/>
          <w:color w:val="auto"/>
        </w:rPr>
      </w:pPr>
      <w:r>
        <w:rPr>
          <w:rFonts w:ascii="Arial" w:cs="Arial" w:eastAsia="Arial" w:hAnsi="Arial"/>
          <w:sz w:val="20"/>
          <w:szCs w:val="20"/>
          <w:color w:val="0000FF"/>
        </w:rPr>
        <w:t>C/O CYTOMX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151 OYSTER POINT BLVD., STE.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400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5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8"/>
              </w:rPr>
              <w:t>/s/ Lloyd Rowland, as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3"/>
              </w:rPr>
              <w:t>Attorney-in-Fact for Alan  10/07/2021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70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rPr>
              <w:t>Ashworth</w:t>
            </w:r>
          </w:p>
        </w:tc>
        <w:tc>
          <w:tcPr>
            <w:tcW w:w="3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70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24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4"/>
          <w:szCs w:val="24"/>
          <w:b w:val="1"/>
          <w:bCs w:val="1"/>
          <w:color w:val="auto"/>
        </w:rPr>
        <w:t>POWER OF ATTORNEY</w:t>
      </w:r>
    </w:p>
    <w:p>
      <w:pPr>
        <w:spacing w:after="0" w:line="240" w:lineRule="exact"/>
        <w:rPr>
          <w:sz w:val="20"/>
          <w:szCs w:val="20"/>
          <w:color w:val="auto"/>
        </w:rPr>
      </w:pPr>
    </w:p>
    <w:p>
      <w:pPr>
        <w:ind w:right="20" w:firstLine="720"/>
        <w:spacing w:after="0" w:line="254" w:lineRule="auto"/>
        <w:rPr>
          <w:sz w:val="20"/>
          <w:szCs w:val="20"/>
          <w:color w:val="auto"/>
        </w:rPr>
      </w:pPr>
      <w:r>
        <w:rPr>
          <w:rFonts w:ascii="Arial" w:cs="Arial" w:eastAsia="Arial" w:hAnsi="Arial"/>
          <w:sz w:val="23"/>
          <w:szCs w:val="23"/>
          <w:color w:val="auto"/>
        </w:rPr>
        <w:t>Know all by these presents, that the undersigned hereby constitutes and appoints each of (i) the Chief Financial Officer of CytomX Therapeutics, Inc., a Delaware corporation (the “</w:t>
      </w:r>
      <w:r>
        <w:rPr>
          <w:rFonts w:ascii="Arial" w:cs="Arial" w:eastAsia="Arial" w:hAnsi="Arial"/>
          <w:sz w:val="23"/>
          <w:szCs w:val="23"/>
          <w:b w:val="1"/>
          <w:bCs w:val="1"/>
          <w:color w:val="auto"/>
        </w:rPr>
        <w:t>Company</w:t>
      </w:r>
      <w:r>
        <w:rPr>
          <w:rFonts w:ascii="Arial" w:cs="Arial" w:eastAsia="Arial" w:hAnsi="Arial"/>
          <w:sz w:val="23"/>
          <w:szCs w:val="23"/>
          <w:color w:val="auto"/>
        </w:rPr>
        <w:t>”), who is currently Carlos Campoy, (ii) the Company’s General Counsel, who is currently Lloyd Rowland, and (iii) the Company’s Vice President of Finance, who is currently Chris Ogden, and their respective successors, signing singly, with full power of substitution, as the undersigned's true and lawful attorney-in-fact to:</w:t>
      </w:r>
    </w:p>
    <w:p>
      <w:pPr>
        <w:spacing w:after="0" w:line="199" w:lineRule="exact"/>
        <w:rPr>
          <w:sz w:val="20"/>
          <w:szCs w:val="20"/>
          <w:color w:val="auto"/>
        </w:rPr>
      </w:pPr>
    </w:p>
    <w:p>
      <w:pPr>
        <w:ind w:left="1440" w:right="520" w:hanging="670"/>
        <w:spacing w:after="0" w:line="259" w:lineRule="auto"/>
        <w:tabs>
          <w:tab w:leader="none" w:pos="1440" w:val="left"/>
        </w:tabs>
        <w:numPr>
          <w:ilvl w:val="1"/>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the Company, Forms 3, 4 and 5 (including amendments thereto) in accordance with Section 16(a) of the Securities Exchange Act of 1934 and the rules and regulations thereunder and a Form ID, Uniform Application for Access Codes to File on EDGAR;</w:t>
      </w:r>
    </w:p>
    <w:p>
      <w:pPr>
        <w:spacing w:after="0" w:line="207" w:lineRule="exact"/>
        <w:rPr>
          <w:rFonts w:ascii="Arial" w:cs="Arial" w:eastAsia="Arial" w:hAnsi="Arial"/>
          <w:sz w:val="20"/>
          <w:szCs w:val="20"/>
          <w:color w:val="auto"/>
        </w:rPr>
      </w:pPr>
    </w:p>
    <w:p>
      <w:pPr>
        <w:ind w:left="1440" w:right="20" w:hanging="720"/>
        <w:spacing w:after="0" w:line="259"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Forms 3, 4 or 5 or Form ID and timely file such forms (including amendments thereto) and application with the United States Securities and Exchange Commission and any stock exchange or similar authority; and</w:t>
      </w:r>
    </w:p>
    <w:p>
      <w:pPr>
        <w:spacing w:after="0" w:line="207" w:lineRule="exact"/>
        <w:rPr>
          <w:rFonts w:ascii="Arial" w:cs="Arial" w:eastAsia="Arial" w:hAnsi="Arial"/>
          <w:sz w:val="20"/>
          <w:szCs w:val="20"/>
          <w:color w:val="auto"/>
        </w:rPr>
      </w:pPr>
    </w:p>
    <w:p>
      <w:pPr>
        <w:ind w:left="1440" w:hanging="720"/>
        <w:spacing w:after="0" w:line="257"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right="40" w:firstLine="720"/>
        <w:spacing w:after="0" w:line="249" w:lineRule="auto"/>
        <w:rPr>
          <w:sz w:val="20"/>
          <w:szCs w:val="20"/>
          <w:color w:val="auto"/>
        </w:rPr>
      </w:pPr>
      <w:r>
        <w:rPr>
          <w:rFonts w:ascii="Arial" w:cs="Arial" w:eastAsia="Arial" w:hAnsi="Arial"/>
          <w:sz w:val="23"/>
          <w:szCs w:val="23"/>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32" w:lineRule="exact"/>
        <w:rPr>
          <w:sz w:val="20"/>
          <w:szCs w:val="20"/>
          <w:color w:val="auto"/>
        </w:rPr>
      </w:pPr>
    </w:p>
    <w:p>
      <w:pPr>
        <w:ind w:right="100" w:firstLine="720"/>
        <w:spacing w:after="0" w:line="277" w:lineRule="auto"/>
        <w:rPr>
          <w:sz w:val="20"/>
          <w:szCs w:val="20"/>
          <w:color w:val="auto"/>
        </w:rPr>
      </w:pPr>
      <w:r>
        <w:rPr>
          <w:rFonts w:ascii="Arial" w:cs="Arial" w:eastAsia="Arial" w:hAnsi="Arial"/>
          <w:sz w:val="21"/>
          <w:szCs w:val="21"/>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201" w:lineRule="exact"/>
        <w:rPr>
          <w:sz w:val="20"/>
          <w:szCs w:val="20"/>
          <w:color w:val="auto"/>
        </w:rPr>
      </w:pPr>
    </w:p>
    <w:p>
      <w:pPr>
        <w:ind w:right="240" w:firstLine="720"/>
        <w:spacing w:after="0" w:line="263" w:lineRule="auto"/>
        <w:rPr>
          <w:sz w:val="20"/>
          <w:szCs w:val="20"/>
          <w:color w:val="auto"/>
        </w:rPr>
      </w:pPr>
      <w:r>
        <w:rPr>
          <w:rFonts w:ascii="Arial" w:cs="Arial" w:eastAsia="Arial" w:hAnsi="Arial"/>
          <w:sz w:val="23"/>
          <w:szCs w:val="23"/>
          <w:color w:val="auto"/>
        </w:rPr>
        <w:t>This Power of Attorney supersedes any power of attorney previously executed by the undersigned regarding the purposes outlined in the first paragraph hereof (“</w:t>
      </w:r>
      <w:r>
        <w:rPr>
          <w:rFonts w:ascii="Arial" w:cs="Arial" w:eastAsia="Arial" w:hAnsi="Arial"/>
          <w:sz w:val="23"/>
          <w:szCs w:val="23"/>
          <w:b w:val="1"/>
          <w:bCs w:val="1"/>
          <w:i w:val="1"/>
          <w:iCs w:val="1"/>
          <w:color w:val="auto"/>
        </w:rPr>
        <w:t>Prior Powers of Attorney</w:t>
      </w:r>
      <w:r>
        <w:rPr>
          <w:rFonts w:ascii="Arial" w:cs="Arial" w:eastAsia="Arial" w:hAnsi="Arial"/>
          <w:sz w:val="23"/>
          <w:szCs w:val="23"/>
          <w:color w:val="auto"/>
        </w:rPr>
        <w:t>”), and the authority of the attorneys-in-fact named in any Prior Powers of Attorney is hereby revoked.</w:t>
      </w:r>
    </w:p>
    <w:p>
      <w:pPr>
        <w:spacing w:after="0" w:line="211" w:lineRule="exact"/>
        <w:rPr>
          <w:sz w:val="20"/>
          <w:szCs w:val="20"/>
          <w:color w:val="auto"/>
        </w:rPr>
      </w:pPr>
    </w:p>
    <w:p>
      <w:pPr>
        <w:ind w:right="40" w:firstLine="720"/>
        <w:spacing w:after="0" w:line="241" w:lineRule="auto"/>
        <w:rPr>
          <w:sz w:val="20"/>
          <w:szCs w:val="20"/>
          <w:color w:val="auto"/>
        </w:rPr>
      </w:pPr>
      <w:r>
        <w:rPr>
          <w:rFonts w:ascii="Arial" w:cs="Arial" w:eastAsia="Arial" w:hAnsi="Arial"/>
          <w:sz w:val="24"/>
          <w:szCs w:val="24"/>
          <w:color w:val="auto"/>
        </w:rPr>
        <w:t>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235" w:lineRule="exact"/>
        <w:rPr>
          <w:sz w:val="20"/>
          <w:szCs w:val="20"/>
          <w:color w:val="auto"/>
        </w:rPr>
      </w:pPr>
    </w:p>
    <w:p>
      <w:pPr>
        <w:ind w:right="100"/>
        <w:spacing w:after="0" w:line="260" w:lineRule="auto"/>
        <w:rPr>
          <w:sz w:val="20"/>
          <w:szCs w:val="20"/>
          <w:color w:val="auto"/>
        </w:rPr>
      </w:pPr>
      <w:r>
        <w:rPr>
          <w:rFonts w:ascii="Arial" w:cs="Arial" w:eastAsia="Arial" w:hAnsi="Arial"/>
          <w:sz w:val="24"/>
          <w:szCs w:val="24"/>
          <w:color w:val="auto"/>
        </w:rPr>
        <w:t>IN WITNESS WHEREOF, the undersigned has caused this Power of Attorney to be executed as of this 30th day of September, 2021.</w:t>
      </w:r>
    </w:p>
    <w:p>
      <w:pPr>
        <w:spacing w:after="0" w:line="200" w:lineRule="exact"/>
        <w:rPr>
          <w:sz w:val="20"/>
          <w:szCs w:val="20"/>
          <w:color w:val="auto"/>
        </w:rPr>
      </w:pPr>
    </w:p>
    <w:p>
      <w:pPr>
        <w:spacing w:after="0" w:line="253" w:lineRule="exact"/>
        <w:rPr>
          <w:sz w:val="20"/>
          <w:szCs w:val="20"/>
          <w:color w:val="auto"/>
        </w:rPr>
      </w:pPr>
    </w:p>
    <w:p>
      <w:pPr>
        <w:ind w:left="5580"/>
        <w:spacing w:after="0"/>
        <w:rPr>
          <w:sz w:val="20"/>
          <w:szCs w:val="20"/>
          <w:color w:val="auto"/>
        </w:rPr>
      </w:pPr>
      <w:r>
        <w:rPr>
          <w:rFonts w:ascii="Arial" w:cs="Arial" w:eastAsia="Arial" w:hAnsi="Arial"/>
          <w:sz w:val="24"/>
          <w:szCs w:val="24"/>
          <w:u w:val="single" w:color="auto"/>
          <w:color w:val="auto"/>
        </w:rPr>
        <w:t>/s/ Alan Ashworth</w:t>
      </w:r>
    </w:p>
    <w:p>
      <w:pPr>
        <w:spacing w:after="0" w:line="14" w:lineRule="exact"/>
        <w:rPr>
          <w:sz w:val="20"/>
          <w:szCs w:val="20"/>
          <w:color w:val="auto"/>
        </w:rPr>
      </w:pPr>
    </w:p>
    <w:p>
      <w:pPr>
        <w:ind w:left="5580"/>
        <w:spacing w:after="0"/>
        <w:rPr>
          <w:sz w:val="20"/>
          <w:szCs w:val="20"/>
          <w:color w:val="auto"/>
        </w:rPr>
      </w:pPr>
      <w:r>
        <w:rPr>
          <w:rFonts w:ascii="Arial" w:cs="Arial" w:eastAsia="Arial" w:hAnsi="Arial"/>
          <w:sz w:val="24"/>
          <w:szCs w:val="24"/>
          <w:color w:val="auto"/>
        </w:rPr>
        <w:t>Alan Ashworth</w:t>
      </w:r>
    </w:p>
    <w:sectPr>
      <w:pgSz w:w="11900" w:h="16838" w:orient="portrait"/>
      <w:cols w:equalWidth="0" w:num="1">
        <w:col w:w="10920"/>
      </w:cols>
      <w:pgMar w:left="480" w:top="110" w:right="499" w:bottom="73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decimal"/>
      <w:start w:val="1"/>
    </w:lvl>
  </w:abstractNum>
  <w:abstractNum w:abstractNumId="5">
    <w:nsid w:val="507ED7AB"/>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86426" TargetMode="External"/><Relationship Id="rId11" Type="http://schemas.openxmlformats.org/officeDocument/2006/relationships/hyperlink" Target="http://www.sec.gov/cgi-bin/browse-edgar?action=getcompany&amp;CIK=0001501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2021-10-07T16:13:46Z</dcterms:created>
  <dcterms:modified xsi:type="dcterms:W3CDTF">2021-10-07T16:13:46Z</dcterms:modified>
</cp:coreProperties>
</file>