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7"/>
          <w:szCs w:val="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540" w:hanging="532"/>
        <w:spacing w:after="0" w:line="184" w:lineRule="auto"/>
        <w:tabs>
          <w:tab w:leader="none" w:pos="540" w:val="left"/>
        </w:tabs>
        <w:numPr>
          <w:ilvl w:val="0"/>
          <w:numId w:val="1"/>
        </w:numPr>
        <w:rPr>
          <w:rFonts w:ascii="MS PGothic" w:cs="MS PGothic" w:eastAsia="MS PGothic" w:hAnsi="MS PGothic"/>
          <w:sz w:val="30"/>
          <w:szCs w:val="30"/>
          <w:color w:val="auto"/>
          <w:highlight w:val="black"/>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540" w:hanging="532"/>
        <w:spacing w:after="0" w:line="183" w:lineRule="auto"/>
        <w:tabs>
          <w:tab w:leader="none" w:pos="540" w:val="left"/>
        </w:tabs>
        <w:numPr>
          <w:ilvl w:val="0"/>
          <w:numId w:val="2"/>
        </w:numPr>
        <w:rPr>
          <w:rFonts w:ascii="MS PGothic" w:cs="MS PGothic" w:eastAsia="MS PGothic" w:hAnsi="MS PGothic"/>
          <w:sz w:val="39"/>
          <w:szCs w:val="39"/>
          <w:color w:val="auto"/>
          <w:highlight w:val="black"/>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38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67310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CytomX Therapeutics,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980" w:type="dxa"/>
            <w:vAlign w:val="bottom"/>
            <w:gridSpan w:val="3"/>
          </w:tcPr>
          <w:p>
            <w:pPr>
              <w:jc w:val="center"/>
              <w:ind w:left="1484"/>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20" w:type="dxa"/>
            <w:vAlign w:val="bottom"/>
            <w:gridSpan w:val="3"/>
          </w:tcPr>
          <w:p>
            <w:pPr>
              <w:jc w:val="right"/>
              <w:ind w:right="2285"/>
              <w:spacing w:after="0"/>
              <w:rPr>
                <w:sz w:val="20"/>
                <w:szCs w:val="20"/>
                <w:color w:val="auto"/>
              </w:rPr>
            </w:pPr>
            <w:r>
              <w:rPr>
                <w:rFonts w:ascii="Times New Roman" w:cs="Times New Roman" w:eastAsia="Times New Roman" w:hAnsi="Times New Roman"/>
                <w:sz w:val="16"/>
                <w:szCs w:val="16"/>
                <w:b w:val="1"/>
                <w:bCs w:val="1"/>
                <w:color w:val="auto"/>
              </w:rPr>
              <w:t>27-3521219</w:t>
            </w:r>
          </w:p>
        </w:tc>
        <w:tc>
          <w:tcPr>
            <w:tcW w:w="0" w:type="dxa"/>
            <w:vAlign w:val="bottom"/>
          </w:tcPr>
          <w:p>
            <w:pPr>
              <w:spacing w:after="0"/>
              <w:rPr>
                <w:sz w:val="1"/>
                <w:szCs w:val="1"/>
                <w:color w:val="auto"/>
              </w:rPr>
            </w:pPr>
          </w:p>
        </w:tc>
      </w:tr>
      <w:tr>
        <w:trPr>
          <w:trHeight w:val="148"/>
        </w:trPr>
        <w:tc>
          <w:tcPr>
            <w:tcW w:w="3980" w:type="dxa"/>
            <w:vAlign w:val="bottom"/>
            <w:gridSpan w:val="3"/>
          </w:tcPr>
          <w:p>
            <w:pPr>
              <w:jc w:val="center"/>
              <w:ind w:left="146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60" w:type="dxa"/>
            <w:vAlign w:val="bottom"/>
            <w:gridSpan w:val="2"/>
          </w:tcPr>
          <w:p>
            <w:pPr>
              <w:jc w:val="center"/>
              <w:ind w:right="204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980" w:type="dxa"/>
            <w:vAlign w:val="bottom"/>
            <w:gridSpan w:val="3"/>
          </w:tcPr>
          <w:p>
            <w:pPr>
              <w:jc w:val="center"/>
              <w:ind w:left="146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60" w:type="dxa"/>
            <w:vAlign w:val="bottom"/>
            <w:gridSpan w:val="2"/>
          </w:tcPr>
          <w:p>
            <w:pPr>
              <w:jc w:val="center"/>
              <w:ind w:right="2065"/>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1"/>
        </w:trPr>
        <w:tc>
          <w:tcPr>
            <w:tcW w:w="6900" w:type="dxa"/>
            <w:vAlign w:val="bottom"/>
            <w:gridSpan w:val="8"/>
          </w:tcPr>
          <w:p>
            <w:pPr>
              <w:jc w:val="center"/>
              <w:ind w:right="1380"/>
              <w:spacing w:after="0"/>
              <w:rPr>
                <w:sz w:val="20"/>
                <w:szCs w:val="20"/>
                <w:color w:val="auto"/>
              </w:rPr>
            </w:pPr>
            <w:r>
              <w:rPr>
                <w:rFonts w:ascii="Times New Roman" w:cs="Times New Roman" w:eastAsia="Times New Roman" w:hAnsi="Times New Roman"/>
                <w:sz w:val="16"/>
                <w:szCs w:val="16"/>
                <w:b w:val="1"/>
                <w:bCs w:val="1"/>
                <w:color w:val="auto"/>
              </w:rPr>
              <w:t>151 Oyster Point Boulevard, Suite 400</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980" w:type="dxa"/>
            <w:vAlign w:val="bottom"/>
            <w:gridSpan w:val="3"/>
          </w:tcPr>
          <w:p>
            <w:pPr>
              <w:jc w:val="center"/>
              <w:ind w:left="1464"/>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20" w:type="dxa"/>
            <w:vAlign w:val="bottom"/>
            <w:gridSpan w:val="3"/>
          </w:tcPr>
          <w:p>
            <w:pPr>
              <w:jc w:val="right"/>
              <w:ind w:right="2465"/>
              <w:spacing w:after="0"/>
              <w:rPr>
                <w:sz w:val="20"/>
                <w:szCs w:val="20"/>
                <w:color w:val="auto"/>
              </w:rPr>
            </w:pPr>
            <w:r>
              <w:rPr>
                <w:rFonts w:ascii="Times New Roman" w:cs="Times New Roman" w:eastAsia="Times New Roman" w:hAnsi="Times New Roman"/>
                <w:sz w:val="16"/>
                <w:szCs w:val="16"/>
                <w:b w:val="1"/>
                <w:bCs w:val="1"/>
                <w:color w:val="auto"/>
              </w:rPr>
              <w:t>94080</w:t>
            </w:r>
          </w:p>
        </w:tc>
        <w:tc>
          <w:tcPr>
            <w:tcW w:w="0" w:type="dxa"/>
            <w:vAlign w:val="bottom"/>
          </w:tcPr>
          <w:p>
            <w:pPr>
              <w:spacing w:after="0"/>
              <w:rPr>
                <w:sz w:val="1"/>
                <w:szCs w:val="1"/>
                <w:color w:val="auto"/>
              </w:rPr>
            </w:pPr>
          </w:p>
        </w:tc>
      </w:tr>
      <w:tr>
        <w:trPr>
          <w:trHeight w:val="190"/>
        </w:trPr>
        <w:tc>
          <w:tcPr>
            <w:tcW w:w="3980" w:type="dxa"/>
            <w:vAlign w:val="bottom"/>
            <w:gridSpan w:val="3"/>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tcPr>
          <w:p>
            <w:pPr>
              <w:jc w:val="center"/>
              <w:ind w:right="230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40" w:type="dxa"/>
            <w:vAlign w:val="bottom"/>
            <w:gridSpan w:val="3"/>
          </w:tcPr>
          <w:p>
            <w:pPr>
              <w:jc w:val="center"/>
              <w:ind w:left="684"/>
              <w:spacing w:after="0"/>
              <w:rPr>
                <w:sz w:val="20"/>
                <w:szCs w:val="20"/>
                <w:color w:val="auto"/>
              </w:rPr>
            </w:pPr>
            <w:r>
              <w:rPr>
                <w:rFonts w:ascii="Times New Roman" w:cs="Times New Roman" w:eastAsia="Times New Roman" w:hAnsi="Times New Roman"/>
                <w:sz w:val="16"/>
                <w:szCs w:val="16"/>
                <w:b w:val="1"/>
                <w:bCs w:val="1"/>
                <w:color w:val="auto"/>
              </w:rPr>
              <w:t>(650) 515-3185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4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3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gridSpan w:val="2"/>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80" w:type="dxa"/>
            <w:vAlign w:val="bottom"/>
            <w:gridSpan w:val="7"/>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980" w:type="dxa"/>
            <w:vAlign w:val="bottom"/>
            <w:gridSpan w:val="3"/>
          </w:tcPr>
          <w:p>
            <w:pPr>
              <w:jc w:val="center"/>
              <w:ind w:right="50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2"/>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Common Stock, </w:t>
            </w:r>
            <w:r>
              <w:rPr>
                <w:rFonts w:ascii="Times New Roman" w:cs="Times New Roman" w:eastAsia="Times New Roman" w:hAnsi="Times New Roman"/>
                <w:sz w:val="17"/>
                <w:szCs w:val="17"/>
                <w:b w:val="1"/>
                <w:bCs w:val="1"/>
                <w:color w:val="auto"/>
              </w:rPr>
              <w:t>$0.00001</w:t>
            </w:r>
            <w:r>
              <w:rPr>
                <w:rFonts w:ascii="Times New Roman" w:cs="Times New Roman" w:eastAsia="Times New Roman" w:hAnsi="Times New Roman"/>
                <w:sz w:val="16"/>
                <w:szCs w:val="16"/>
                <w:b w:val="1"/>
                <w:bCs w:val="1"/>
                <w:color w:val="auto"/>
              </w:rPr>
              <w:t xml:space="preserve"> par value</w:t>
            </w:r>
          </w:p>
        </w:tc>
        <w:tc>
          <w:tcPr>
            <w:tcW w:w="2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CTMX</w:t>
            </w:r>
          </w:p>
        </w:tc>
        <w:tc>
          <w:tcPr>
            <w:tcW w:w="6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c>
          <w:tcPr>
            <w:tcW w:w="0" w:type="dxa"/>
            <w:vAlign w:val="bottom"/>
          </w:tcPr>
          <w:p>
            <w:pPr>
              <w:spacing w:after="0"/>
              <w:rPr>
                <w:sz w:val="1"/>
                <w:szCs w:val="1"/>
                <w:color w:val="auto"/>
              </w:rPr>
            </w:pPr>
          </w:p>
        </w:tc>
      </w:tr>
      <w:tr>
        <w:trPr>
          <w:trHeight w:val="272"/>
        </w:trPr>
        <w:tc>
          <w:tcPr>
            <w:tcW w:w="3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0" w:type="dxa"/>
            <w:vAlign w:val="bottom"/>
            <w:gridSpan w:val="10"/>
          </w:tcPr>
          <w:p>
            <w:pPr>
              <w:jc w:val="center"/>
              <w:ind w:right="356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0" w:type="dxa"/>
            <w:vAlign w:val="bottom"/>
          </w:tcPr>
          <w:p>
            <w:pPr>
              <w:spacing w:after="0"/>
              <w:rPr>
                <w:sz w:val="1"/>
                <w:szCs w:val="1"/>
                <w:color w:val="auto"/>
              </w:rPr>
            </w:pPr>
          </w:p>
        </w:tc>
      </w:tr>
      <w:tr>
        <w:trPr>
          <w:trHeight w:val="212"/>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None</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740" w:type="dxa"/>
            <w:vAlign w:val="bottom"/>
            <w:gridSpan w:val="5"/>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380" w:type="dxa"/>
            <w:vAlign w:val="bottom"/>
            <w:gridSpan w:val="2"/>
          </w:tcPr>
          <w:p>
            <w:pPr>
              <w:spacing w:after="0"/>
              <w:rPr>
                <w:sz w:val="6"/>
                <w:szCs w:val="6"/>
                <w:color w:val="auto"/>
              </w:rPr>
            </w:pPr>
          </w:p>
        </w:tc>
        <w:tc>
          <w:tcPr>
            <w:tcW w:w="62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20" w:type="dxa"/>
            <w:vAlign w:val="bottom"/>
            <w:gridSpan w:val="3"/>
            <w:vMerge w:val="restart"/>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75"/>
        </w:trPr>
        <w:tc>
          <w:tcPr>
            <w:tcW w:w="69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620" w:type="dxa"/>
            <w:vAlign w:val="bottom"/>
            <w:vMerge w:val="continue"/>
          </w:tcPr>
          <w:p>
            <w:pPr>
              <w:spacing w:after="0"/>
              <w:rPr>
                <w:sz w:val="23"/>
                <w:szCs w:val="23"/>
                <w:color w:val="auto"/>
              </w:rPr>
            </w:pPr>
          </w:p>
        </w:tc>
        <w:tc>
          <w:tcPr>
            <w:tcW w:w="37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62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720" w:type="dxa"/>
            <w:vAlign w:val="bottom"/>
            <w:gridSpan w:val="3"/>
          </w:tcPr>
          <w:p>
            <w:pPr>
              <w:ind w:left="16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1"/>
        </w:trPr>
        <w:tc>
          <w:tcPr>
            <w:tcW w:w="1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60" w:type="dxa"/>
            <w:vAlign w:val="bottom"/>
          </w:tcPr>
          <w:p>
            <w:pPr>
              <w:ind w:left="2660"/>
              <w:spacing w:after="0"/>
              <w:rPr>
                <w:sz w:val="20"/>
                <w:szCs w:val="20"/>
                <w:color w:val="auto"/>
              </w:rPr>
            </w:pPr>
            <w:r>
              <w:rPr>
                <w:rFonts w:ascii="Times New Roman" w:cs="Times New Roman" w:eastAsia="Times New Roman" w:hAnsi="Times New Roman"/>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ind w:right="56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7"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6660" w:val="left"/>
          <w:tab w:leader="none" w:pos="72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120"/>
        <w:spacing w:after="0" w:line="236"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the registrant’s common stock held by non-affiliates of the registrant was approximately $372.3 million, based on the closing price of the registrant’s common stock on the Nasdaq Global Select Market on June 30, 2025 of $2.27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28, 2026, 170,186,742 shares of the registrant’s common stock, $0.00001 par value per share, were outstanding.</w:t>
      </w:r>
    </w:p>
    <w:p>
      <w:pPr>
        <w:spacing w:after="0" w:line="6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for its 2026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80" w:type="dxa"/>
            <w:vAlign w:val="bottom"/>
            <w:gridSpan w:val="11"/>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8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gridSpan w:val="9"/>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1"/>
        </w:trPr>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20" w:type="dxa"/>
            <w:vAlign w:val="bottom"/>
            <w:tcBorders>
              <w:bottom w:val="single" w:sz="8" w:color="0000EE"/>
            </w:tcBorders>
          </w:tcPr>
          <w:p>
            <w:pPr>
              <w:spacing w:after="0"/>
              <w:rPr>
                <w:sz w:val="24"/>
                <w:szCs w:val="24"/>
                <w:color w:val="auto"/>
              </w:rPr>
            </w:pPr>
          </w:p>
        </w:tc>
        <w:tc>
          <w:tcPr>
            <w:tcW w:w="50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6"/>
            <w:vMerge w:val="continue"/>
          </w:tcPr>
          <w:p>
            <w:pPr>
              <w:spacing w:after="0"/>
              <w:rPr>
                <w:sz w:val="24"/>
                <w:szCs w:val="24"/>
                <w:color w:val="auto"/>
              </w:rPr>
            </w:pP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6"/>
            <w:vMerge w:val="continue"/>
          </w:tcPr>
          <w:p>
            <w:pPr>
              <w:spacing w:after="0"/>
              <w:rPr>
                <w:sz w:val="24"/>
                <w:szCs w:val="24"/>
                <w:color w:val="auto"/>
              </w:rPr>
            </w:pPr>
          </w:p>
        </w:tc>
        <w:tc>
          <w:tcPr>
            <w:tcW w:w="20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3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1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420" w:type="dxa"/>
            <w:vAlign w:val="bottom"/>
            <w:gridSpan w:val="19"/>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24"/>
                <w:szCs w:val="24"/>
                <w:color w:val="auto"/>
              </w:rPr>
            </w:pPr>
          </w:p>
        </w:tc>
        <w:tc>
          <w:tcPr>
            <w:tcW w:w="8680" w:type="dxa"/>
            <w:vAlign w:val="bottom"/>
            <w:gridSpan w:val="2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24"/>
                <w:szCs w:val="24"/>
                <w:color w:val="auto"/>
              </w:rPr>
            </w:pPr>
          </w:p>
        </w:tc>
        <w:tc>
          <w:tcPr>
            <w:tcW w:w="808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ITEM 5.</w:t>
            </w:r>
          </w:p>
        </w:tc>
        <w:tc>
          <w:tcPr>
            <w:tcW w:w="460" w:type="dxa"/>
            <w:vAlign w:val="bottom"/>
            <w:gridSpan w:val="3"/>
          </w:tcPr>
          <w:p>
            <w:pPr>
              <w:spacing w:after="0"/>
              <w:rPr>
                <w:sz w:val="24"/>
                <w:szCs w:val="24"/>
                <w:color w:val="auto"/>
              </w:rPr>
            </w:pP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top w:val="single" w:sz="8" w:color="0000FF"/>
              <w:bottom w:val="single" w:sz="8" w:color="0000EE"/>
            </w:tcBorders>
          </w:tcPr>
          <w:p>
            <w:pPr>
              <w:spacing w:after="0"/>
              <w:rPr>
                <w:sz w:val="24"/>
                <w:szCs w:val="24"/>
                <w:color w:val="auto"/>
              </w:rPr>
            </w:pPr>
          </w:p>
        </w:tc>
        <w:tc>
          <w:tcPr>
            <w:tcW w:w="7320" w:type="dxa"/>
            <w:vAlign w:val="bottom"/>
            <w:tcBorders>
              <w:top w:val="single" w:sz="8" w:color="0000FF"/>
            </w:tcBorders>
            <w:gridSpan w:val="20"/>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43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FF"/>
            </w:tcBorders>
            <w:gridSpan w:val="3"/>
          </w:tcPr>
          <w:p>
            <w:pPr>
              <w:spacing w:after="0"/>
              <w:rPr>
                <w:sz w:val="24"/>
                <w:szCs w:val="24"/>
                <w:color w:val="auto"/>
              </w:rPr>
            </w:pPr>
          </w:p>
        </w:tc>
        <w:tc>
          <w:tcPr>
            <w:tcW w:w="298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6"/>
            <w:vMerge w:val="continue"/>
          </w:tcPr>
          <w:p>
            <w:pPr>
              <w:spacing w:after="0"/>
              <w:rPr>
                <w:sz w:val="24"/>
                <w:szCs w:val="24"/>
                <w:color w:val="auto"/>
              </w:rPr>
            </w:pPr>
          </w:p>
        </w:tc>
        <w:tc>
          <w:tcPr>
            <w:tcW w:w="64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9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17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60" w:type="dxa"/>
            <w:vAlign w:val="bottom"/>
            <w:gridSpan w:val="1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24"/>
                <w:szCs w:val="24"/>
                <w:color w:val="auto"/>
              </w:rPr>
            </w:pPr>
          </w:p>
        </w:tc>
        <w:tc>
          <w:tcPr>
            <w:tcW w:w="8100" w:type="dxa"/>
            <w:vAlign w:val="bottom"/>
            <w:gridSpan w:val="17"/>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36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4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34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760" w:type="dxa"/>
            <w:vAlign w:val="bottom"/>
            <w:gridSpan w:val="3"/>
            <w:shd w:val="clear" w:color="auto" w:fill="0000FF"/>
          </w:tcPr>
          <w:p>
            <w:pPr>
              <w:spacing w:after="0" w:line="20" w:lineRule="exact"/>
              <w:rPr>
                <w:sz w:val="1"/>
                <w:szCs w:val="1"/>
                <w:color w:val="auto"/>
              </w:rPr>
            </w:pPr>
          </w:p>
        </w:tc>
        <w:tc>
          <w:tcPr>
            <w:tcW w:w="800" w:type="dxa"/>
            <w:vAlign w:val="bottom"/>
            <w:gridSpan w:val="8"/>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6"/>
            <w:vMerge w:val="continue"/>
          </w:tcPr>
          <w:p>
            <w:pPr>
              <w:spacing w:after="0"/>
              <w:rPr>
                <w:sz w:val="24"/>
                <w:szCs w:val="24"/>
                <w:color w:val="auto"/>
              </w:rPr>
            </w:pPr>
          </w:p>
        </w:tc>
        <w:tc>
          <w:tcPr>
            <w:tcW w:w="73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21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5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98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5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24"/>
                <w:szCs w:val="24"/>
                <w:color w:val="auto"/>
              </w:rPr>
            </w:pPr>
          </w:p>
        </w:tc>
        <w:tc>
          <w:tcPr>
            <w:tcW w:w="6280" w:type="dxa"/>
            <w:vAlign w:val="bottom"/>
            <w:gridSpan w:val="10"/>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3"/>
        </w:trPr>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175" w:lineRule="exact"/>
        <w:rPr>
          <w:sz w:val="20"/>
          <w:szCs w:val="20"/>
          <w:color w:val="auto"/>
        </w:rPr>
      </w:pPr>
    </w:p>
    <w:p>
      <w:pPr>
        <w:ind w:left="1020" w:right="400" w:hanging="503"/>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activity, effectiveness and safety of our product candidates and therapeutics developed utilizing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conditionally activated platform technology;</w:t>
      </w:r>
    </w:p>
    <w:p>
      <w:pPr>
        <w:spacing w:after="0" w:line="1"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completion of our ongoing clinical trials and the timing and availability of clinical data from such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right="8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collaborators for developing, obtaining regulatory approval for and commercializing product candidates in the collaboration;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 collaborator’s ability to obtain and maintain regulatory approval of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and timing of any milestone payments or royalties under any research collaboration and license agreements or arrangements;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beliefs regarding the evolution of the market and competitive landscape for cancer therapies and development of the oncology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and retain commercial rights for our product candidates in such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technologies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and capital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funds for our operations;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our preclinical studies or any future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supply and manufacturing partners to supply the materials and components for, and manufacture, our research and development, preclinical and clinical trial product supplies, including third parties in Europe and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key management and technical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licenses of intellectual property to protect our technologies and product candidates;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our industry, international conflict or uncertainties;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future pandemic and related governmental regulations and restrictions may impact our business, including our research, clinical trials (which include ongoing site initiation and patient enrollment), manufacturing and financial condition.</w:t>
      </w:r>
    </w:p>
    <w:p>
      <w:pPr>
        <w:spacing w:after="0" w:line="16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discussed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This Annual Report on Form 10-K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Except where the context otherwise requires, in this Annual Report on Form 10-K, “we,” “us,” “our” and the “Company” refer to CytomX Therapeutics,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Annual Report on Form 10-K includes trademarks, service marks and trade names owned by us or other companies. All trademarks, service marks and trade names included in this Annual Report on Form 10-K are the property of their respective owners.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are providing the following summary of risk factors contained in this Annual Report on Form 10-K to enhance the readability and accessibility of our risk factor disclosures in accordance with SEC rules. Please carefully review the full risk factors pertaining to this summary and to additional general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7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with a limited operating history and have not generated any revenue from product sales.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to raise substantial additional funds to advance development of our product candidates and we cannot guarantee that this additional funding will be available on acceptable terms or at all.</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results of earlier studies and trials may not be predictive of future trial results.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early stages of development and may fail or suffer delays that materially and adversely affect their commercial viability.</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initial and preliminary data from our clinical trials, including the ongoing Phase 1 clinical trials of varsetatug masetecan (Varseta-M) and CX-801, that we announce or publish from time to time may change as more patient data become available and are subject to audit and verification procedures that could result in material changes in the final data.</w:t>
      </w:r>
    </w:p>
    <w:p>
      <w:pPr>
        <w:spacing w:after="0" w:line="67"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including Varseta-M and CX-801,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ind w:left="503" w:right="2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conduct clinical trials and contract with third-party manufacturers in foreign countries, including Europe and China, which could expose us to risks that could have a material adverse effect on the success of our business.</w:t>
      </w:r>
    </w:p>
    <w:p>
      <w:pPr>
        <w:spacing w:after="0" w:line="53"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6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our therapeutic treatments is based on novel technologies that are unproven and may not result in marketable products.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may not be receptive to our product candidates based on a novel therapeutic modality, and we may not generate any future revenue from the sale or licensing of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67" w:lineRule="exact"/>
        <w:rPr>
          <w:rFonts w:ascii="Times New Roman" w:cs="Times New Roman" w:eastAsia="Times New Roman" w:hAnsi="Times New Roman"/>
          <w:sz w:val="18"/>
          <w:szCs w:val="18"/>
          <w:color w:val="auto"/>
        </w:rPr>
      </w:pPr>
    </w:p>
    <w:p>
      <w:pPr>
        <w:ind w:left="503" w:right="5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7" w:lineRule="exact"/>
        <w:rPr>
          <w:rFonts w:ascii="Times New Roman" w:cs="Times New Roman" w:eastAsia="Times New Roman" w:hAnsi="Times New Roman"/>
          <w:sz w:val="18"/>
          <w:szCs w:val="18"/>
          <w:color w:val="auto"/>
        </w:rPr>
      </w:pPr>
    </w:p>
    <w:p>
      <w:pPr>
        <w:ind w:left="503" w:right="11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and commercialization goals in the time frames we announce and expect, the commercialization of any of our product candidates may be delayed, or never attained, and our business will be harmed.</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w:t>
      </w:r>
    </w:p>
    <w:p>
      <w:pPr>
        <w:spacing w:after="0" w:line="6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3" w:lineRule="exact"/>
        <w:rPr>
          <w:rFonts w:ascii="Times New Roman" w:cs="Times New Roman" w:eastAsia="Times New Roman" w:hAnsi="Times New Roman"/>
          <w:sz w:val="18"/>
          <w:szCs w:val="18"/>
          <w:color w:val="auto"/>
        </w:rPr>
      </w:pPr>
    </w:p>
    <w:p>
      <w:pPr>
        <w:ind w:left="503" w:right="160" w:hanging="503"/>
        <w:spacing w:after="0" w:line="261"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71" w:lineRule="exact"/>
        <w:rPr>
          <w:rFonts w:ascii="Times New Roman" w:cs="Times New Roman" w:eastAsia="Times New Roman" w:hAnsi="Times New Roman"/>
          <w:sz w:val="18"/>
          <w:szCs w:val="18"/>
          <w:color w:val="auto"/>
        </w:rPr>
      </w:pPr>
    </w:p>
    <w:p>
      <w:pPr>
        <w:ind w:left="503"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67" w:lineRule="exact"/>
        <w:rPr>
          <w:rFonts w:ascii="Times New Roman" w:cs="Times New Roman" w:eastAsia="Times New Roman" w:hAnsi="Times New Roman"/>
          <w:sz w:val="18"/>
          <w:szCs w:val="18"/>
          <w:color w:val="auto"/>
        </w:rPr>
      </w:pPr>
    </w:p>
    <w:p>
      <w:pPr>
        <w:ind w:left="503" w:right="220" w:hanging="503"/>
        <w:spacing w:after="0" w:line="312" w:lineRule="auto"/>
        <w:tabs>
          <w:tab w:leader="none" w:pos="503"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31"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purchasers of our common stock could incur substantial losses.</w:t>
      </w:r>
    </w:p>
    <w:p>
      <w:pPr>
        <w:spacing w:after="0" w:line="117"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pandemic could adversely impact our business, including our research, development, including clinical trials, manufacturing and financial condition.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3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093" w:right="39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dedicated to developing innovative therapies to address major unmet need in oncology. CytomX has led the field of conditionally activated, masked biologics through the development of its PROBODY technology platform. This versatile, multi-modality platform is built on a strong foundation of tumor biology expertise, including deep knowledge of tumor-associated enzymes known as proteases. Our masking strategy is designed to reduce binding of biologic therapeutics to their targets until the mask is removed by proteases in the tumor microenvironment, providing more selective targeting of the tumor and optimizing the predicted therapeutic index of our clinical candidates.</w:t>
      </w:r>
    </w:p>
    <w:p>
      <w:pPr>
        <w:spacing w:after="0" w:line="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CytomX’s experience and leadership with the PROBODY platform for over 15 years has led to a highly focused strategy for the application of its technology in product development that has resulted in a current pipeline of novel clinical-stage and pre-clinical stage programs. In identifying and designing potential PROBODY therapeutics, we evaluate the following:</w:t>
      </w:r>
    </w:p>
    <w:p>
      <w:pPr>
        <w:spacing w:after="0" w:line="176" w:lineRule="exact"/>
        <w:rPr>
          <w:sz w:val="20"/>
          <w:szCs w:val="20"/>
          <w:color w:val="auto"/>
        </w:rPr>
      </w:pPr>
    </w:p>
    <w:p>
      <w:pPr>
        <w:ind w:left="1020" w:right="2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Drug targets that have been validated previously as having clinical anti-tumor activity, but have been limited in their utility due to expression and toxicity in healthy tissues.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 The significance of the clinical unmet need that may be addressed if the target could be targeted systemically and unlocked through masking.</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Effector Mechanism: the PROBODY platform is highly versatile and is being applied to a wide range of modalities including antibody drug conjugates (“ADCs”), T-cell engagers (“TCEs”), and cytokines. In PROBODY therapeutic design, the goal is to align the selected indication with the most validated drug modality (e.g. ADC, TCE) and cancer cell killing mechanism (e.g. cytotoxic payload) to maximize the potential for clinical activity.</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CytomX’s two current clinical programs, varsetatug masetecan (“Varseta-M”) and CX-801 are in Phase 1 clinical development and are examples of our focused program development strategy. We aim to continue to advance our clinical pipeline towards later stage development and ultimately build a commercial enterprise to maximize our impact on the treatment of cancer.</w:t>
      </w:r>
    </w:p>
    <w:p>
      <w:pPr>
        <w:spacing w:after="0" w:line="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Varsetatug Masetecan (Varseta-M)</w:t>
      </w:r>
    </w:p>
    <w:p>
      <w:pPr>
        <w:spacing w:after="0" w:line="121" w:lineRule="exact"/>
        <w:rPr>
          <w:sz w:val="20"/>
          <w:szCs w:val="20"/>
          <w:color w:val="auto"/>
        </w:rPr>
      </w:pPr>
    </w:p>
    <w:p>
      <w:pPr>
        <w:ind w:left="760" w:right="120"/>
        <w:spacing w:after="0" w:line="254" w:lineRule="auto"/>
        <w:rPr>
          <w:sz w:val="20"/>
          <w:szCs w:val="20"/>
          <w:color w:val="auto"/>
        </w:rPr>
      </w:pPr>
      <w:r>
        <w:rPr>
          <w:rFonts w:ascii="Times New Roman" w:cs="Times New Roman" w:eastAsia="Times New Roman" w:hAnsi="Times New Roman"/>
          <w:sz w:val="18"/>
          <w:szCs w:val="18"/>
          <w:color w:val="auto"/>
        </w:rPr>
        <w:t>Our most advanced clinical-stage program is Varseta-M, an investigational, conditionally activated antibody-drug conjugate (“ADC”) targeting epithelial cell adhesion molecule (“EpCAM”). Varseta-M is initially focused on the lead indication of colorectal cancer (“CRC”). Varseta-M is designed to bring the promise of ADCs, which have made a meaningful clinical difference in other solid tumors such as lung and breast cancer, to CRC by leveraging EpCAM as a potentially ideal CRC antigen to target this disease. Varseta-M is a high affinity EpCAM antibody that is designed to preferentially bind EpCAM in the tumor microenvironment and minimize toxicities in healthy tissues, which have limited prior attempts in the field to target EpCAM systemically. Varseta-M is armed with a topoisomerase-1 inhibitor payload. Topoisomerase-1 inhibitors are known to have clinical activity in CRC, including irinotecan chemotherapy which is a standard component of the approved standard of care in CRC.</w:t>
      </w:r>
    </w:p>
    <w:p>
      <w:pPr>
        <w:spacing w:after="0" w:line="84" w:lineRule="exact"/>
        <w:rPr>
          <w:sz w:val="20"/>
          <w:szCs w:val="20"/>
          <w:color w:val="auto"/>
        </w:rPr>
      </w:pPr>
    </w:p>
    <w:p>
      <w:pPr>
        <w:ind w:left="760" w:right="240"/>
        <w:spacing w:after="0" w:line="246" w:lineRule="auto"/>
        <w:rPr>
          <w:sz w:val="20"/>
          <w:szCs w:val="20"/>
          <w:color w:val="auto"/>
        </w:rPr>
      </w:pPr>
      <w:r>
        <w:rPr>
          <w:rFonts w:ascii="Times New Roman" w:cs="Times New Roman" w:eastAsia="Times New Roman" w:hAnsi="Times New Roman"/>
          <w:sz w:val="17"/>
          <w:szCs w:val="17"/>
          <w:color w:val="auto"/>
        </w:rPr>
        <w:t>EpCAM is a high potential oncology target based on its documented high expression in many solid tumors, including CRC where it was first discovered due to its very high and uniform expression. Historically, previous efforts across the drug development landscape to target this antigen systemically have been limited by dose-limiting toxicities. For example, high affinity EpCAM antibodies were limited by pancreatitis and liver toxicities and discontinued. However, EpCAM has been validated as a cancer target, including by the drug KORJUNY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which is approved for the treatment of malignant ascites in Europe. KORJUNY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however, must be given directly into the peritoneum due to systemic toxicity, but its approval provides evidence that local delivery of an EpCAM therapeutic to the tumor can be effective.</w:t>
      </w:r>
    </w:p>
    <w:p>
      <w:pPr>
        <w:spacing w:after="0" w:line="87" w:lineRule="exact"/>
        <w:rPr>
          <w:sz w:val="20"/>
          <w:szCs w:val="20"/>
          <w:color w:val="auto"/>
        </w:rPr>
      </w:pPr>
    </w:p>
    <w:p>
      <w:pPr>
        <w:ind w:left="760"/>
        <w:spacing w:after="0" w:line="266" w:lineRule="auto"/>
        <w:rPr>
          <w:sz w:val="20"/>
          <w:szCs w:val="20"/>
          <w:color w:val="auto"/>
        </w:rPr>
      </w:pPr>
      <w:r>
        <w:rPr>
          <w:rFonts w:ascii="Times New Roman" w:cs="Times New Roman" w:eastAsia="Times New Roman" w:hAnsi="Times New Roman"/>
          <w:sz w:val="18"/>
          <w:szCs w:val="18"/>
          <w:color w:val="auto"/>
        </w:rPr>
        <w:t>The Varseta-M payload is a topoisomerase-1 inhibitor licensed from AbbVie (formerly ImmunoGen), tailored to have anti-tumor activity against EpCAM-expressing cancer types. The payload-antibody linker is specifically designed to drive bystander killing of neighboring tumor cells, contributing to robust anti-tumor activity.</w:t>
      </w:r>
    </w:p>
    <w:p>
      <w:pPr>
        <w:spacing w:after="0" w:line="68"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auto"/>
        </w:rPr>
        <w:t>Overall, the design of Varseta-M seeks to establish a clinically meaningful therapeutic window for the systemic treatment of patients with EpCAM-expressing cancers, for the first time.</w:t>
      </w:r>
    </w:p>
    <w:p>
      <w:pPr>
        <w:spacing w:after="0" w:line="54" w:lineRule="exact"/>
        <w:rPr>
          <w:sz w:val="20"/>
          <w:szCs w:val="20"/>
          <w:color w:val="auto"/>
        </w:rPr>
      </w:pPr>
    </w:p>
    <w:p>
      <w:pPr>
        <w:jc w:val="both"/>
        <w:ind w:left="760" w:right="140"/>
        <w:spacing w:after="0" w:line="258" w:lineRule="auto"/>
        <w:rPr>
          <w:sz w:val="20"/>
          <w:szCs w:val="20"/>
          <w:color w:val="auto"/>
        </w:rPr>
      </w:pPr>
      <w:r>
        <w:rPr>
          <w:rFonts w:ascii="Times New Roman" w:cs="Times New Roman" w:eastAsia="Times New Roman" w:hAnsi="Times New Roman"/>
          <w:sz w:val="18"/>
          <w:szCs w:val="18"/>
          <w:color w:val="auto"/>
        </w:rPr>
        <w:t>Varseta-M is designed to potentially address a broad range of EpCAM-expressing tumors, but is initially focused in CRC which is one of the largest unmet needs in oncology with over 1.9 million cases diagnosed annually around the world. It is also a disease that is expected to grow and estimated that there will be over 3 million cases globally by 2040. CRC is the second leading cause of cancer death worldwide and has a 5 year survival rate in the metastastic setting of only 13%. CRC is also the leading cause of cancer death in the U.S. for patients under the age of 50 and has been growing in incidence in younger patients over the last 3 decades.</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t>Varseta-M clinical development is initially being focused on late-line metastatic CRC where there is significant unmet need and treatment options are highly inadequate. In third line or later metastatic CRC, patients have typically progressed through multiple chemotherapy-based regimens. Later stage treatment is limited to therapies that provide single digit percentage response rates, median progression free survival of 2 to 5.6 months and overall survival outcomes ranging from approximately 6 to 11 months. It is estimated that there are more than 35,000 patients in the U.S. with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line or later metastatic CRC, with the number expected to grow over the next decade.</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While Varseta-M is initially being developed in late-line metastatic CRC, the program was developed with the vision to help a broad population of metastatic CRC patients, including those in the first- and second-line settings. Given Varseta-M’s mechanism of action, our longer-term development vision is to make Varseta-M a core component of the CRC treatment landscape in earlier lines of therapy, consistent with the development strategy that has been employed for other solid tumor ADCs. We plan to pursue combination strategies to progress this vision to move Varseta-M to earlier lines of therapy starting in 2026.</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given the broad solid tumor expression profile of EpCAM, Varseta-M has the potential to be an innovative new treatment option in a wide range of solid tumors. High expression of EpCAM has been documented in other tumors such as gastric, gastroesophageal, pancreatic, ovarian, endometrial, non-small cell lung and triple negative breast cancers. We plan to potentially initiate development in indications outside of CRC in the second half of 2026, with the ultimate vision to develop Varseta-M as a pan-tumor therapy.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Varsetatug Masetecan Development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investigational new drug application (“IND”) for Varseta-M was allowed to proceed by the FDA in January 2024, and a Phase 1 clinical trial in patients with EpCAM-expressing solid tumors, with an initial focus on metastatic CRC, commenced in April 2024. No pre-screening of CRC patients by EpCAM expression has been conducted due to the anticipated high and uniform EpCAM expression in CRC. As of May 2025, the Phase 1 study had reached the seventh dose escalation level and had enrolled only mCRC patients.</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May 2025, we announced positive interim Phase 1 data as of an April 7, 2025 data cutoff in advanced metastatic CRC. The data encompassed results from 25 CRC patients treated with Varseta-M at 5 dose levels ranging from 2.4 mg/kg to 10 mg/kg, administered every three weeks (“Q3W”). The 2.4 mg/kg and 4.8 mg/kg doses were single patient dose escalation cohorts not anticipated to be therapeutically active. At the 7.2 mg/kg, 8.6 mg/kg, and 10 mg/kg doses, 23 patients were treated, 18 of whom were efficacy evaluable, having had at least one post-baseline tumor assessment as of the data cutoff. Patients enrolled in the study at the time of data cutoff had previously received a median of 4 prior lines of therapy and all patients had previously been treated with irinotecan. 64% of patients had liver metastases, 64% had KRAS mutations, and 96% were microsatellite stable. Patients were not preselected based on EpCAM expression levels.</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the data cutoff, 18 patients were efficacy-evaluable at doses of 7.2 mg/kg, 8.6 mg/kg, and 10 mg/kg Q3W. Five of eighteen (28%) patients demonstrated confirmed partial responses per RECIST v1.1. Three of seven (43%) efficacy evaluable patients at the dose of 10 mg/kg Q3W demonstrated confirmed partial responses per RECIST v1.1. Seventeen of eighteen patients (94%) had disease control, defined as having an objective response or stable disease. Preliminary median progression free survival (“PFS”) was 5.8 months as of the data cutoff with 10 of 18 patients remaining on study treatment.</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the data cutoff, 25 patients were evaluable for safety. Varseta-M was generally well-tolerated as of the data cutoff with manageable adverse events, with no dose limiting toxicities. Most treatment related adverse events (“TRAEs”) were Grade 1 or Grade 2 in severity. The most common reported TRAEs were diarrhea (18 patients, 5 Grade 3), nausea (11 patients, 1 Grade 3), vomiting (8 patients, No Grade 3), fatigue (8 patients, 1 Grade 3), anemia (5 patients, 3 Grade 3), hypokalemia (3 patients, 1 Grade 3), neutrophil count decrease (2 patients, 2 Grade 3) and neutropenia (2 patients, 1 Grade 3). TRAEs included serious adverse events (“SAEs”) in 5 patients (1 Grade 2, 4 Grade 3). The SAEs included Grade 3 Diarrhea (1 patient), Grade 3 Anemia (1 patient), Grade 3 colitis (1 patient), Grade 3 Diarrhea and Acute kidney injury (1 patient) and Grade 2 Asthenia (1 patient). No Grade 4 or 5 TRAEs were observed as of the April 7, 2025 data cutoff. No events of interstitial lung disease or febrile neutropenia were reported as of the data cutoff. On August 13, 2025, we announced that a single Grade 5 treatment-related acute kidney injury occurred in a patient with a complex medical history, including having a solitary kidney. The Grade 5 event was believed to be secondary to nausea, vomiting and diarrhea. We reported the event to the FDA in accordance with regulatory requirements. The CTMX-2051-101 Safety Review Committee reviewed the event and supported continued study execution.</w:t>
      </w:r>
    </w:p>
    <w:p>
      <w:pPr>
        <w:spacing w:after="0" w:line="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Based on the positive interim Phase 1 dose escalation data in May 2025, dose expansions were initiated at the dose levels of 7.2 mg/kg, 8.6 mg/kg, and 10 mg/kg, administered Q3W and are currently ongoing.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Varsetatug Masetecan March 2026 Interim Data Update from Phase 1 Dose Expansions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March 2026, we announced positive interim results from the ongoing Phase 1 dose expansions as of a January 16, 2026 data cutoff date. As of the data cutoff, a total of 93 patients with late-line metastatic CRC had been enrolled in the study. 60</w:t>
      </w:r>
    </w:p>
    <w:p>
      <w:pPr>
        <w:spacing w:after="0" w:line="1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093" w:right="339" w:bottom="1440" w:gutter="0" w:footer="0" w:header="0"/>
        </w:sectPr>
      </w:pPr>
    </w:p>
    <w:bookmarkStart w:id="7" w:name="page8"/>
    <w:bookmarkEnd w:id="7"/>
    <w:p>
      <w:pPr>
        <w:ind w:left="760"/>
        <w:spacing w:after="0" w:line="282" w:lineRule="auto"/>
        <w:rPr>
          <w:sz w:val="20"/>
          <w:szCs w:val="20"/>
          <w:color w:val="auto"/>
        </w:rPr>
      </w:pPr>
      <w:r>
        <w:rPr>
          <w:rFonts w:ascii="Times New Roman" w:cs="Times New Roman" w:eastAsia="Times New Roman" w:hAnsi="Times New Roman"/>
          <w:sz w:val="18"/>
          <w:szCs w:val="18"/>
          <w:color w:val="auto"/>
        </w:rPr>
        <w:t>patients were enrolled across the Phase 1 expansion dose range of 7.2 mg/kg, 8.6 mg/kg, and 10 mg/kg of which 56 were efficacy evaluable as of the data cutoff.</w:t>
      </w:r>
    </w:p>
    <w:p>
      <w:pPr>
        <w:spacing w:after="0" w:line="54" w:lineRule="exact"/>
        <w:rPr>
          <w:sz w:val="20"/>
          <w:szCs w:val="20"/>
          <w:color w:val="auto"/>
        </w:rPr>
      </w:pPr>
    </w:p>
    <w:p>
      <w:pPr>
        <w:ind w:left="760" w:right="40"/>
        <w:spacing w:after="0" w:line="272" w:lineRule="auto"/>
        <w:rPr>
          <w:sz w:val="20"/>
          <w:szCs w:val="20"/>
          <w:color w:val="auto"/>
        </w:rPr>
      </w:pPr>
      <w:r>
        <w:rPr>
          <w:rFonts w:ascii="Times New Roman" w:cs="Times New Roman" w:eastAsia="Times New Roman" w:hAnsi="Times New Roman"/>
          <w:sz w:val="18"/>
          <w:szCs w:val="18"/>
          <w:color w:val="auto"/>
        </w:rPr>
        <w:t>Starting in October 2025, the expansion doses of 8.6 mg/kg and 10 mg/kg were prioritized for dose optimization utilizing optimized adverse event management guidelines and adjusted ideal body weight (AIBW) dosing. 20 patients had been enrolled in expanded dose optimization as of the January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data cutoff towards an enrollment goal of 40 patients.</w:t>
      </w:r>
    </w:p>
    <w:p>
      <w:pPr>
        <w:spacing w:after="0" w:line="96" w:lineRule="exact"/>
        <w:rPr>
          <w:sz w:val="20"/>
          <w:szCs w:val="20"/>
          <w:color w:val="auto"/>
        </w:rPr>
      </w:pPr>
    </w:p>
    <w:p>
      <w:pPr>
        <w:ind w:left="760" w:right="40"/>
        <w:spacing w:after="0" w:line="292" w:lineRule="auto"/>
        <w:rPr>
          <w:sz w:val="20"/>
          <w:szCs w:val="20"/>
          <w:color w:val="auto"/>
        </w:rPr>
      </w:pPr>
      <w:r>
        <w:rPr>
          <w:rFonts w:ascii="Times New Roman" w:cs="Times New Roman" w:eastAsia="Times New Roman" w:hAnsi="Times New Roman"/>
          <w:sz w:val="17"/>
          <w:szCs w:val="17"/>
          <w:color w:val="auto"/>
        </w:rPr>
        <w:t>Patients enrolled in the study had previously received a median of 3 prior lines of therapy in the metastatic setting and 96% of patients had previously been treated with irinotecan. 76% of patients had liver metastases and 71% had KRAS mutations. Patients were not preselected based on EpCAM expression levels. All patients with evaluable tumor biopsies had high EpCAM levels as measured by immunohistochemistry.</w:t>
      </w:r>
      <w:r>
        <w:rPr>
          <w:rFonts w:ascii="Times New Roman" w:cs="Times New Roman" w:eastAsia="Times New Roman" w:hAnsi="Times New Roman"/>
          <w:sz w:val="23"/>
          <w:szCs w:val="23"/>
          <w:color w:val="auto"/>
          <w:vertAlign w:val="superscript"/>
        </w:rPr>
        <w:t>1</w:t>
      </w:r>
    </w:p>
    <w:p>
      <w:pPr>
        <w:spacing w:after="0" w:line="80" w:lineRule="exact"/>
        <w:rPr>
          <w:sz w:val="20"/>
          <w:szCs w:val="20"/>
          <w:color w:val="auto"/>
        </w:rPr>
      </w:pPr>
    </w:p>
    <w:p>
      <w:pPr>
        <w:jc w:val="both"/>
        <w:ind w:left="760" w:right="40"/>
        <w:spacing w:after="0" w:line="266" w:lineRule="auto"/>
        <w:rPr>
          <w:sz w:val="20"/>
          <w:szCs w:val="20"/>
          <w:color w:val="auto"/>
        </w:rPr>
      </w:pPr>
      <w:r>
        <w:rPr>
          <w:rFonts w:ascii="Times New Roman" w:cs="Times New Roman" w:eastAsia="Times New Roman" w:hAnsi="Times New Roman"/>
          <w:sz w:val="18"/>
          <w:szCs w:val="18"/>
          <w:color w:val="auto"/>
        </w:rPr>
        <w:t>As of the data cutoff, 56 patients were efficacy-evaluable at the expansion doses of 7.2 mg/kg, 8.6 mg/kg, and 10 mg/kg Q3W. Median duration of follow-up across the efficacy-evaluable patient population was approximately 8 months. Efficacy data across the Phase 1 Expansion doses are summarized below in Table 1.</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1. Varseta-M Efficacy Summary by Phase 1 Expansion Dose</w:t>
      </w:r>
    </w:p>
    <w:p>
      <w:pPr>
        <w:spacing w:after="0" w:line="224" w:lineRule="exact"/>
        <w:rPr>
          <w:sz w:val="20"/>
          <w:szCs w:val="20"/>
          <w:color w:val="auto"/>
        </w:rPr>
      </w:pPr>
    </w:p>
    <w:tbl>
      <w:tblPr>
        <w:tblLayout w:type="fixed"/>
        <w:tblInd w:w="750" w:type="dxa"/>
        <w:tblCellMar>
          <w:top w:w="0" w:type="dxa"/>
          <w:left w:w="0" w:type="dxa"/>
          <w:bottom w:w="0" w:type="dxa"/>
          <w:right w:w="0" w:type="dxa"/>
        </w:tblCellMar>
      </w:tblPr>
      <w:tr>
        <w:trPr>
          <w:trHeight w:val="230"/>
        </w:trPr>
        <w:tc>
          <w:tcPr>
            <w:tcW w:w="29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2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7.2 mg/kg</w:t>
            </w:r>
          </w:p>
        </w:tc>
        <w:tc>
          <w:tcPr>
            <w:tcW w:w="2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8.6 mg/kg</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 mg/kg</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rPr>
              <w:t>Confirmed Overall Response Rate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(1/17)</w:t>
            </w:r>
          </w:p>
        </w:tc>
        <w:tc>
          <w:tcPr>
            <w:tcW w:w="2600" w:type="dxa"/>
            <w:vAlign w:val="bottom"/>
            <w:tcBorders>
              <w:right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20% (4/20)</w:t>
            </w:r>
          </w:p>
        </w:tc>
        <w:tc>
          <w:tcPr>
            <w:tcW w:w="2620" w:type="dxa"/>
            <w:vAlign w:val="bottom"/>
            <w:tcBorders>
              <w:right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32% (6/19)</w:t>
            </w:r>
          </w:p>
        </w:tc>
        <w:tc>
          <w:tcPr>
            <w:tcW w:w="0" w:type="dxa"/>
            <w:vAlign w:val="bottom"/>
          </w:tcPr>
          <w:p>
            <w:pPr>
              <w:spacing w:after="0"/>
              <w:rPr>
                <w:sz w:val="1"/>
                <w:szCs w:val="1"/>
                <w:color w:val="auto"/>
              </w:rPr>
            </w:pPr>
          </w:p>
        </w:tc>
      </w:tr>
      <w:tr>
        <w:trPr>
          <w:trHeight w:val="126"/>
        </w:trPr>
        <w:tc>
          <w:tcPr>
            <w:tcW w:w="2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(cORR)</w:t>
            </w:r>
          </w:p>
        </w:tc>
        <w:tc>
          <w:tcPr>
            <w:tcW w:w="1020" w:type="dxa"/>
            <w:vAlign w:val="bottom"/>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2600" w:type="dxa"/>
            <w:vAlign w:val="bottom"/>
            <w:tcBorders>
              <w:right w:val="single" w:sz="8" w:color="auto"/>
            </w:tcBorders>
            <w:vMerge w:val="continue"/>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Median Progression Free Survival</w:t>
            </w:r>
          </w:p>
        </w:tc>
        <w:tc>
          <w:tcPr>
            <w:tcW w:w="22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5.5 mo.</w:t>
            </w:r>
          </w:p>
        </w:tc>
        <w:tc>
          <w:tcPr>
            <w:tcW w:w="26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6.8 mo.</w:t>
            </w:r>
          </w:p>
        </w:tc>
        <w:tc>
          <w:tcPr>
            <w:tcW w:w="26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7.1 mo.</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(PFS)</w:t>
            </w:r>
          </w:p>
        </w:tc>
        <w:tc>
          <w:tcPr>
            <w:tcW w:w="2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 CI: 2.5, NE)</w:t>
            </w:r>
          </w:p>
        </w:tc>
        <w:tc>
          <w:tcPr>
            <w:tcW w:w="2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 CI: 2.8, NE)</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 CI: 3.9, NE)</w:t>
            </w:r>
          </w:p>
        </w:tc>
        <w:tc>
          <w:tcPr>
            <w:tcW w:w="0" w:type="dxa"/>
            <w:vAlign w:val="bottom"/>
          </w:tcPr>
          <w:p>
            <w:pPr>
              <w:spacing w:after="0"/>
              <w:rPr>
                <w:sz w:val="1"/>
                <w:szCs w:val="1"/>
                <w:color w:val="auto"/>
              </w:rPr>
            </w:pP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Disease Control Rate (DCR)</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(15/17)</w:t>
            </w:r>
          </w:p>
        </w:tc>
        <w:tc>
          <w:tcPr>
            <w:tcW w:w="260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90% (18/20)</w:t>
            </w:r>
          </w:p>
        </w:tc>
        <w:tc>
          <w:tcPr>
            <w:tcW w:w="262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84% (16/19)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right="140"/>
        <w:spacing w:after="0" w:line="266" w:lineRule="auto"/>
        <w:rPr>
          <w:sz w:val="20"/>
          <w:szCs w:val="20"/>
          <w:color w:val="auto"/>
        </w:rPr>
      </w:pPr>
      <w:r>
        <w:rPr>
          <w:rFonts w:ascii="Times New Roman" w:cs="Times New Roman" w:eastAsia="Times New Roman" w:hAnsi="Times New Roman"/>
          <w:sz w:val="18"/>
          <w:szCs w:val="18"/>
          <w:color w:val="auto"/>
        </w:rPr>
        <w:t>At the 8.6 mg/kg dose, the confirmed response rate was 20% with an estimated median PFS of 6.8 months and at the 10 mg/kg dose, the confirmed response rate was 32% with an estimated median PFS of 7.1 months. The disease control rate was 88% (49/56) across the expansion doses of 7.2 – 10 mg/kg.</w:t>
      </w:r>
    </w:p>
    <w:p>
      <w:pPr>
        <w:spacing w:after="0" w:line="14" w:lineRule="exact"/>
        <w:rPr>
          <w:sz w:val="20"/>
          <w:szCs w:val="20"/>
          <w:color w:val="auto"/>
        </w:rPr>
      </w:pPr>
    </w:p>
    <w:p>
      <w:pPr>
        <w:ind w:left="760" w:right="80"/>
        <w:spacing w:after="0" w:line="312" w:lineRule="auto"/>
        <w:rPr>
          <w:sz w:val="20"/>
          <w:szCs w:val="20"/>
          <w:color w:val="auto"/>
        </w:rPr>
      </w:pPr>
      <w:r>
        <w:rPr>
          <w:rFonts w:ascii="Times New Roman" w:cs="Times New Roman" w:eastAsia="Times New Roman" w:hAnsi="Times New Roman"/>
          <w:sz w:val="17"/>
          <w:szCs w:val="17"/>
          <w:color w:val="auto"/>
        </w:rPr>
        <w:t>The doses of 8.6 mg/kg and 10 mg/kg have been prioritized for further evaluation with the goal of selecting a dose or doses for a registrational study. Dose optimization at 8.6 mg/kg and 10 mg/kg utilizing AIBW dosing and updated prophylaxis for adverse event management is ongoing.</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the doses of 11 mg/kg Q3W and 12 mg/kg Q3W, which were not expanded for further evaluation, the overall response rate was 30% (3/10).</w:t>
      </w:r>
    </w:p>
    <w:p>
      <w:pPr>
        <w:spacing w:after="0" w:line="117" w:lineRule="exact"/>
        <w:rPr>
          <w:sz w:val="20"/>
          <w:szCs w:val="20"/>
          <w:color w:val="auto"/>
        </w:rPr>
      </w:pPr>
    </w:p>
    <w:p>
      <w:pPr>
        <w:ind w:left="760" w:right="340"/>
        <w:spacing w:after="0" w:line="261" w:lineRule="auto"/>
        <w:rPr>
          <w:sz w:val="20"/>
          <w:szCs w:val="20"/>
          <w:color w:val="auto"/>
        </w:rPr>
      </w:pPr>
      <w:r>
        <w:rPr>
          <w:rFonts w:ascii="Times New Roman" w:cs="Times New Roman" w:eastAsia="Times New Roman" w:hAnsi="Times New Roman"/>
          <w:sz w:val="18"/>
          <w:szCs w:val="18"/>
          <w:color w:val="auto"/>
        </w:rPr>
        <w:t>As of the data cutoff, 93 patients were evaluable for safety including 80 patients across the expansion dose range of 7.2 mg/kg to 10 mg/kg. Varseta-M’s safety profile was generally consistent with data presented in Phase 1 dose escalation. Most TRAEs were Grade 1 or Grade 2 in severity. No interstitial lung disease, febrile neutropenia or pancreatitis were observed. The most common TRAE was diarrhea which was generally manageable and reversible.</w:t>
      </w:r>
    </w:p>
    <w:p>
      <w:pPr>
        <w:spacing w:after="0" w:line="72" w:lineRule="exact"/>
        <w:rPr>
          <w:sz w:val="20"/>
          <w:szCs w:val="20"/>
          <w:color w:val="auto"/>
        </w:rPr>
      </w:pPr>
    </w:p>
    <w:p>
      <w:pPr>
        <w:ind w:left="760" w:right="20"/>
        <w:spacing w:after="0" w:line="246" w:lineRule="auto"/>
        <w:rPr>
          <w:sz w:val="20"/>
          <w:szCs w:val="20"/>
          <w:color w:val="auto"/>
        </w:rPr>
      </w:pPr>
      <w:r>
        <w:rPr>
          <w:rFonts w:ascii="Times New Roman" w:cs="Times New Roman" w:eastAsia="Times New Roman" w:hAnsi="Times New Roman"/>
          <w:sz w:val="18"/>
          <w:szCs w:val="18"/>
          <w:color w:val="auto"/>
        </w:rPr>
        <w:t>In Phase 1 dose expansions starting in Q2 2025, prophylactic strategies for diarrhea management were investigated. In dose optimization starting in Q4 2025, an updated prophylaxis regimen of anti-motility medication (loperamide or diphenoxylate/atropine) plus budesonide was implemented.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the 20 patients receiving the updated prophylactic regimen at the Varseta-M expansion doses of 8.6 mg/kg and 10 mg/kg, Grade 3 diarrhea was 10%.</w:t>
      </w:r>
      <w:r>
        <w:rPr>
          <w:rFonts w:ascii="Times New Roman" w:cs="Times New Roman" w:eastAsia="Times New Roman" w:hAnsi="Times New Roman"/>
          <w:sz w:val="24"/>
          <w:szCs w:val="24"/>
          <w:color w:val="auto"/>
          <w:vertAlign w:val="superscript"/>
        </w:rPr>
        <w:t>3,4</w:t>
      </w:r>
    </w:p>
    <w:p>
      <w:pPr>
        <w:spacing w:after="0" w:line="124" w:lineRule="exact"/>
        <w:rPr>
          <w:sz w:val="20"/>
          <w:szCs w:val="20"/>
          <w:color w:val="auto"/>
        </w:rPr>
      </w:pPr>
    </w:p>
    <w:p>
      <w:pPr>
        <w:ind w:left="760" w:right="140"/>
        <w:spacing w:after="0" w:line="237" w:lineRule="auto"/>
        <w:rPr>
          <w:sz w:val="20"/>
          <w:szCs w:val="20"/>
          <w:color w:val="auto"/>
        </w:rPr>
      </w:pPr>
      <w:r>
        <w:rPr>
          <w:rFonts w:ascii="Times New Roman" w:cs="Times New Roman" w:eastAsia="Times New Roman" w:hAnsi="Times New Roman"/>
          <w:sz w:val="18"/>
          <w:szCs w:val="18"/>
          <w:color w:val="auto"/>
        </w:rPr>
        <w:t>Overall, as of the January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2026 data cutoff, in the 80 patients treated at expansion and optimization doses ranging between 7.2 mg/kg to 10 mg/kg, the most common TRAEs were diarrhea (68 pts, 19 Gr 3), nausea (44 pts, 4 Gr 3), vomiting (29 pts, 3 Gr 3), fatigue (32 pts, 2 Gr 3), hypokalemia (21 pts, 13 Gr 3+), and anemia (13 pts, 6 Gr 3). Serious treatment related adverse events (SAEs) in &gt; 1 patient included diarrhea (4), vomiting (3), hypokalemia (3), dehydration (3), acute kidney injury (2), and colitis (2).</w:t>
      </w:r>
    </w:p>
    <w:p>
      <w:pPr>
        <w:spacing w:after="0" w:line="201" w:lineRule="exact"/>
        <w:rPr>
          <w:sz w:val="20"/>
          <w:szCs w:val="20"/>
          <w:color w:val="auto"/>
        </w:rPr>
      </w:pPr>
    </w:p>
    <w:p>
      <w:pPr>
        <w:jc w:val="both"/>
        <w:ind w:left="760" w:right="420"/>
        <w:spacing w:after="0" w:line="272" w:lineRule="auto"/>
        <w:rPr>
          <w:sz w:val="20"/>
          <w:szCs w:val="20"/>
          <w:color w:val="auto"/>
        </w:rPr>
      </w:pPr>
      <w:r>
        <w:rPr>
          <w:rFonts w:ascii="Times New Roman" w:cs="Times New Roman" w:eastAsia="Times New Roman" w:hAnsi="Times New Roman"/>
          <w:sz w:val="18"/>
          <w:szCs w:val="18"/>
          <w:color w:val="auto"/>
        </w:rPr>
        <w:t>As previously reported on August 13, 2025, there was one treatment-related grade 5 acute kidney injury (AKI) in a patient treated at the 7.2 mg/kg dose. The patient had a complex medical history including having a solitary kidney, and the AKI was determined to be secondary to Grade 3 nausea and Grade 2 diarrhea. No other Grade 5 TRAEs have been reported as of the January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2026 data cutoff.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wp:posOffset>
            </wp:positionV>
            <wp:extent cx="168846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78"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96% of patients with an evaluable biopsy had an H score by immunohistochemistry above 250 and all patients had H scores above 200.</w:t>
      </w:r>
    </w:p>
    <w:p>
      <w:pPr>
        <w:spacing w:after="0" w:line="57" w:lineRule="exact"/>
        <w:rPr>
          <w:rFonts w:ascii="Times New Roman" w:cs="Times New Roman" w:eastAsia="Times New Roman" w:hAnsi="Times New Roman"/>
          <w:sz w:val="24"/>
          <w:szCs w:val="24"/>
          <w:color w:val="auto"/>
          <w:vertAlign w:val="superscript"/>
        </w:rPr>
      </w:pPr>
    </w:p>
    <w:p>
      <w:pPr>
        <w:ind w:right="6500"/>
        <w:spacing w:after="0" w:line="25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4"/>
          <w:szCs w:val="14"/>
          <w:color w:val="auto"/>
        </w:rPr>
        <w:t xml:space="preserve"> Budesonide is a corticosteroid locally absorbed in the gastrointestinal (GI) tract.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4"/>
          <w:szCs w:val="14"/>
          <w:color w:val="auto"/>
        </w:rPr>
        <w:t xml:space="preserve"> 8.6 mg/kg and 10 mg/kg dosed utilizing adjusted ideal body weight (AIBW).</w:t>
      </w:r>
    </w:p>
    <w:p>
      <w:pPr>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4"/>
          <w:szCs w:val="14"/>
          <w:color w:val="auto"/>
        </w:rPr>
        <w:t xml:space="preserve"> Based on March 2, 2026 data snapshot</w:t>
      </w:r>
      <w:r>
        <w:rPr>
          <w:rFonts w:ascii="Times New Roman" w:cs="Times New Roman" w:eastAsia="Times New Roman" w:hAnsi="Times New Roman"/>
          <w:sz w:val="16"/>
          <w:szCs w:val="16"/>
          <w:color w:val="auto"/>
        </w:rPr>
        <w:t>.</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At the 11 mg/kg and 12 mg/kg doses, there were no dose limiting toxicities in dose escalation. The most common TRAEs across the patients in the 11 mg/kg dose (n=8) and 12 mg/kg dose (n=3) were diarrhea (9 pts, 6 GR 3), nausea, (8 pts, 0 Gr 3), and vomiting (8 pts, 1 Gr 3). Patients treated at the 11 and 12 mg/kg doses did not receive the optimized prophylactic regimen or adjusted ideal body weight dosing.</w:t>
      </w:r>
    </w:p>
    <w:p>
      <w:pPr>
        <w:spacing w:after="0" w:line="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plan to present additional Phase 1 Varseta-M data at a medical meeting in 2026 and aim to align with the FDA in 2026 on a potential registrational study designed for Varseta-M monotherapy in advanced late-line CRC.</w:t>
      </w:r>
    </w:p>
    <w:p>
      <w:pPr>
        <w:spacing w:after="0" w:line="4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Additionally, in the first quarter of 2026, a Phase 1 study of Varseta-M in combination with bevacizumab has been initiated, data from which is intended to inform potential Varseta-M development in earlier lines of CRC therapy. Initial data from the combination study with bevacizumab is expected by the first half of 2027. A Phase 1b/2 study in combination with bevacizumab and chemotherapy is expected to start by the end of 2026.</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also continue to evaluate additional non-CRC, EpCAM positive indications for potential Varseta-M development and anticipate initiating Phase 1 expansion cohorts in one or more additional indications in the second half of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CX-801</w:t>
      </w:r>
    </w:p>
    <w:p>
      <w:pPr>
        <w:spacing w:after="0" w:line="12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8"/>
          <w:szCs w:val="18"/>
          <w:color w:val="auto"/>
        </w:rPr>
        <w:t>In addition to Varseta-M, our pipeline includes CX-801, an investigational, masked version of interferon alpha-2b (“IFNα2b”), currently in a Phase 1 clinical trial. CX-801 leverages a similarly focused application of the PROBODY technology platform in that it leverages a well validated and high potential mechanism that has been limited by systemic toxicity. Interferon-alpha was one of the first immunotherapies approved, but has fallen out of broad use because of poor tolerability. Like EpCAM, IFNα2b has also been validated as a localized therapy, including the approved therapy ADSTILADRIN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bladder cancer, which is a gene therapy encoding the protein IFNα2b that is administered directly into the bladder as a single agent, providing evidence that localized IFNα2b can be a powerful and effective therapy.</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IFNα2b is also an attractive cytokine in that it is a potent and multi-faceted modulator of the immune system that also has direct anti-tumor cell killing effects, providing a potentially superior approach to activating anti-tumor immune responses compared with other cytokines such as IL-2, IL-12 or IL-15.</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applied our significant masking and protein engineering expertise to the design of CX-801, which is a dually-masked, conditionally activated version of IFNα2b that is designed to be inactive in the periphery. The dual masks on CX-801 include a peptide mask on the cytokine domain designed to limit binding in normal tissues as well as a steric Fc mask designed to further mitigate systemic activity as well as extend CX-801’s half-life.</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CX-801, we have also employed a focused initial development strategy in Phase 1, centered on the treatment of late-line melanoma where patient options are limited once they have typically progressed through earlier line checkpoint-based therapies. With CX-801, our initial focus is to treat patients with CX-801 in the late-line setting to potentially re-activate the immune system and improve patient outcomes in combination with PD-1 inhibition. Our ultimate vision for CX-801 is to potentially become a cornerstone of combination immunotherapy for a wide range of tumor types, including cancers beyond melanoma.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CX-801 Development</w:t>
      </w:r>
    </w:p>
    <w:p>
      <w:pPr>
        <w:spacing w:after="0" w:line="121"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the second quarter of 2024, CytomX announced a clinical collaboration with Merck to supply KEYTRUDA for evaluation of its combination with CX-801 in the Phase 1 study. The Phase 1 study is currently in the fourth monotherapy dose escalation cohort. In May 2025, Phase 1 dose escalation enrollment of CX-801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in advanced melanoma was initiated and is currently enrolling at the second dose level.</w:t>
      </w:r>
    </w:p>
    <w:p>
      <w:pPr>
        <w:spacing w:after="0" w:line="9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Phase 1 CX-801 monotherapy translational data in melanoma patients was presented at the Society of Immunotherapy of Cancer (“SITC”) 2025 Annual Meeting in November 2025, providing evidence that the CX-801 mechanism of action was working as designed. As of the November 8, 2025 SITC presentation, CX-801 had been generally well tolerated and the translational data presented suggest consistently increased expression of interferon-stimulated genes in paired tumor biopsies. Upregulation of immune checkpoint genes, including PD-1 and PD-L1, and activation of immune cell populations, was also observed, providing a rationale for evaluating the combination of CX-801 and pembrolizumab.</w:t>
      </w:r>
    </w:p>
    <w:p>
      <w:pPr>
        <w:spacing w:after="0" w:line="3" w:lineRule="exact"/>
        <w:rPr>
          <w:sz w:val="20"/>
          <w:szCs w:val="20"/>
          <w:color w:val="auto"/>
        </w:rPr>
      </w:pPr>
    </w:p>
    <w:p>
      <w:pPr>
        <w:ind w:right="320"/>
        <w:spacing w:after="0" w:line="230" w:lineRule="auto"/>
        <w:rPr>
          <w:sz w:val="20"/>
          <w:szCs w:val="20"/>
          <w:color w:val="auto"/>
        </w:rPr>
      </w:pPr>
      <w:r>
        <w:rPr>
          <w:rFonts w:ascii="Times New Roman" w:cs="Times New Roman" w:eastAsia="Times New Roman" w:hAnsi="Times New Roman"/>
          <w:sz w:val="18"/>
          <w:szCs w:val="18"/>
          <w:color w:val="auto"/>
        </w:rPr>
        <w:t>Pharmacokinetics (“PK”) analysis also demonstrated dose-proportional exposure of CX-801, which remained predominantly in its intact (masked) form in circulation. Phase 1 clinical data from the CX-801 and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combination dose escalation portion of the study are expected by the end of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PROBODY Program and Platform</w:t>
      </w:r>
    </w:p>
    <w:p>
      <w:pPr>
        <w:spacing w:after="0" w:line="1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201" w:right="359" w:bottom="1440" w:gutter="0" w:footer="0" w:header="0"/>
        </w:sectPr>
      </w:pPr>
    </w:p>
    <w:bookmarkStart w:id="9" w:name="page10"/>
    <w:bookmarkEnd w:id="9"/>
    <w:p>
      <w:pPr>
        <w:ind w:left="760" w:right="40"/>
        <w:spacing w:after="0" w:line="261" w:lineRule="auto"/>
        <w:rPr>
          <w:sz w:val="20"/>
          <w:szCs w:val="20"/>
          <w:color w:val="auto"/>
        </w:rPr>
      </w:pPr>
      <w:r>
        <w:rPr>
          <w:rFonts w:ascii="Times New Roman" w:cs="Times New Roman" w:eastAsia="Times New Roman" w:hAnsi="Times New Roman"/>
          <w:sz w:val="18"/>
          <w:szCs w:val="18"/>
          <w:color w:val="auto"/>
        </w:rPr>
        <w:t>In addition to our clinical program focus on PROBODY ADCs such as Varseta-M and PROBODY cytokines such as CX-801, we view the field of masked biologics as having broad potential applicability across a range of therapeutic modalities, reflecting the versatility of our platform technology. A key focus of our current work with collaboration partners is T-cell engaging bispecific therapies (“TCEs”) where we have significant ongoing efforts with partners such as Bristol Myers Squibb and Regeneron and maintain significant research expertise.</w:t>
      </w:r>
    </w:p>
    <w:p>
      <w:pPr>
        <w:spacing w:after="0" w:line="72" w:lineRule="exact"/>
        <w:rPr>
          <w:sz w:val="20"/>
          <w:szCs w:val="20"/>
          <w:color w:val="auto"/>
        </w:rPr>
      </w:pPr>
    </w:p>
    <w:p>
      <w:pPr>
        <w:ind w:left="760" w:right="140"/>
        <w:spacing w:after="0" w:line="258" w:lineRule="auto"/>
        <w:rPr>
          <w:sz w:val="20"/>
          <w:szCs w:val="20"/>
          <w:color w:val="auto"/>
        </w:rPr>
      </w:pPr>
      <w:r>
        <w:rPr>
          <w:rFonts w:ascii="Times New Roman" w:cs="Times New Roman" w:eastAsia="Times New Roman" w:hAnsi="Times New Roman"/>
          <w:sz w:val="18"/>
          <w:szCs w:val="18"/>
          <w:color w:val="auto"/>
        </w:rPr>
        <w:t>For example, at SITC 2025, we presented preclinical data for CX-908, a dually-masked PROBODY TCE targeting CDH3 and CD3. CX-908 potently induced tumor regressions in established breast and lung cancer xenograft tumor models and demonstrated a 100-fold improvement in tolerability, including significantly reduced cytokine release vs. an unmasked CDH3xCD3 molecule. We view masking as a key strategy to widen a therapeutic window for TCEs and view strategic partnering in this area as an important way to extend the reach of the PROBODY platform.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Strategy</w:t>
      </w:r>
    </w:p>
    <w:p>
      <w:pPr>
        <w:spacing w:after="0" w:line="121"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We are utilizing our proprietary, versatile, multi-modality PROBODY platform to create a pipeline of conditionally activatable biologic therapeutics to improve the lives of people with cancer and to build a long-term, multi-product, commercial biopharmaceutical company. We aim to achieve this goal by:</w:t>
      </w:r>
    </w:p>
    <w:p>
      <w:pPr>
        <w:spacing w:after="0" w:line="32" w:lineRule="exact"/>
        <w:rPr>
          <w:sz w:val="20"/>
          <w:szCs w:val="20"/>
          <w:color w:val="auto"/>
        </w:rPr>
      </w:pPr>
    </w:p>
    <w:p>
      <w:pPr>
        <w:ind w:left="1020" w:right="20" w:hanging="503"/>
        <w:spacing w:after="0" w:line="254"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Varseta-M towards late phase development with an initial focus in late line metastatic CRC. Varseta-M, targeting EpCAM, is a novel ADC program that has been uniquely unlocked by the PROBODY technology platform with the potential to be first-in-class. Varseta-M is designed to optimize the therapeutic index for EpCAM-expressing epithelial cancers, including CRC, and has demonstrated encouraging initial data in Phase 1 to-date. CytomX’s top priority is to advance Varseta-M towards a registrational study in late-line CRC, starting the first half of 2027. We also are prioritizing the development of Varseta-M into earlier lines of therapy and initiated a Phase 1 combination study with Varseta-M and bevacizumab in the first quarter of 2026 with initial data expected in the first half of 2027. We also plan to initiate a Phase 1b/2 study or Varseta-M in combination with bevacizumab and chemotherapy by the end of 2026. CytomX also plans to explore the pan-tumor potential of Varseta-M by initiating development in indications outside of CRC in solid tumor indications that express EpCAM in the second half of 2026.</w:t>
      </w:r>
    </w:p>
    <w:p>
      <w:pPr>
        <w:spacing w:after="0" w:line="80" w:lineRule="exact"/>
        <w:rPr>
          <w:rFonts w:ascii="Times New Roman" w:cs="Times New Roman" w:eastAsia="Times New Roman" w:hAnsi="Times New Roman"/>
          <w:sz w:val="18"/>
          <w:szCs w:val="18"/>
          <w:color w:val="auto"/>
        </w:rPr>
      </w:pPr>
    </w:p>
    <w:p>
      <w:pPr>
        <w:ind w:left="1020" w:hanging="503"/>
        <w:spacing w:after="0" w:line="243"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aims to build a multi-program clinical pipeline focused on the most promising applications of our PROBODY platform. The versatility of the platform has enabled the targeting of multiple modalities including cytokines and to this end, we have advanced CX-801, a masked version of interferon alpha-2b, into Phase 1 development. Interferon alpha-2b is a validated, previously approved immunotherapeutic that has demonstrated clinical activity in multiple cancer types, including in combination with checkpoint inhibitors. The CX-801 Phase 1 study commenced monotherapy dosing in the third quarter of 2024 and has demonstrated initial translational data that supports the PROBODY therapeutic design and mechanism of action as a single agent. The program development strategy for CX-801 is focused on combinations with checkpoint inhibitors and a Phase 1 dose escalation study of CX-801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focused exclusively in advanced melanoma is currently enrolling at the second dose level. A company priority for CX-801 is to report in Phase 1 clinical data from the CX-801 and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combination by the end of 2026. Our ultimate vision is to position CX-801 as a cornerstone of combination immunotherapy for a wide range of tumor types, including tumors that are refractory to prior checkpoint inhibition or that have been historically insensitive to immunotherapy.</w:t>
      </w:r>
    </w:p>
    <w:p>
      <w:pPr>
        <w:spacing w:after="0" w:line="93" w:lineRule="exact"/>
        <w:rPr>
          <w:rFonts w:ascii="Times New Roman" w:cs="Times New Roman" w:eastAsia="Times New Roman" w:hAnsi="Times New Roman"/>
          <w:sz w:val="18"/>
          <w:szCs w:val="18"/>
          <w:color w:val="auto"/>
        </w:rPr>
      </w:pPr>
    </w:p>
    <w:p>
      <w:pPr>
        <w:ind w:left="1020" w:right="160" w:hanging="503"/>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integrated research and development capabilities and broad multi-modality applications of our platform, we aim to build a multi-program pipeline and continue to extend the reach of our technology. Our strategy aims to advance programs either as wholly-owned programs or with partners to maximize our potential impact in oncology. We have successfully partnered with leading global biopharmaceutical companies to access capital, additional resources and expertise, as well as to increase the number of PROBODY therapeutic candidates being advanced into clinical studies. We currently have several strategic alliances with major multinational drug companies, including Amgen, Inc. (“Amgen”), Bristol Myers Squibb, Astellas Pharma Inc. (“Astellas”), Regeneron Pharmaceuticals Inc. (“Regeneron”), and ModernaTX, Inc., a wholly owned subsidiary of Moderna, Inc (“Moderna”).</w:t>
      </w:r>
    </w:p>
    <w:p>
      <w:pPr>
        <w:spacing w:after="0" w:line="80"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Fostering a unique, patient-focused culture centered around our Company vision of transforming lives with safer, more effective therapies and executing with focus towards our mission to urgently advance our pipeline of PROBODY therapeutics.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 of Masked, Conditionally Activated Product Candidates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are leveraging our PROBODY platform across multiple modalities to build a robust pipeline of potential therapies that are designed to address high unmet needs. CytomX’s pipeline spans pre-clinical and clinical programs and includes a range of therapeutic formats including antibody drug conjugates, T-cell engagers, immunotherapies, and mRNA. The table below depicts the current status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0" w:name="page11"/>
    <w:bookmarkEnd w:id="10"/>
    <w:p>
      <w:pPr>
        <w:spacing w:after="0" w:line="261" w:lineRule="auto"/>
        <w:rPr>
          <w:sz w:val="20"/>
          <w:szCs w:val="20"/>
          <w:color w:val="auto"/>
        </w:rPr>
      </w:pPr>
      <w:r>
        <w:rPr>
          <w:rFonts w:ascii="Times New Roman" w:cs="Times New Roman" w:eastAsia="Times New Roman" w:hAnsi="Times New Roman"/>
          <w:sz w:val="18"/>
          <w:szCs w:val="18"/>
          <w:color w:val="auto"/>
        </w:rPr>
        <w:t>of our clinical-stage, conditionally activated product candidates, including potential milestones in 2026. Our current lead clinical programs are focused applications of our PROBODY platform, leveraging validated targets that have significant potential in indications of high unmet need. By employing tailored masking strategies and choosing an optimal effector function (e.g. ADC, cytokine, TCE), each program has been designed to optimize therapeutic window in order to address large unmet needs in oncology markets.</w:t>
      </w:r>
    </w:p>
    <w:p>
      <w:pPr>
        <w:spacing w:after="0" w:line="2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CytomX Pipeline of Clinical and Preclinical PROBODY Therapeutics and 2026 Potential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156845</wp:posOffset>
            </wp:positionV>
            <wp:extent cx="6163310" cy="268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6331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*CytomX Commercial Rights include wholly-owned molecules or molecules for which CytomX has development and commercial control</w:t>
      </w:r>
    </w:p>
    <w:p>
      <w:pPr>
        <w:spacing w:after="0" w:line="223" w:lineRule="exact"/>
        <w:rPr>
          <w:sz w:val="20"/>
          <w:szCs w:val="20"/>
          <w:color w:val="auto"/>
        </w:rPr>
      </w:pPr>
    </w:p>
    <w:p>
      <w:pPr>
        <w:jc w:val="right"/>
        <w:ind w:right="5440"/>
        <w:spacing w:after="0" w:line="487" w:lineRule="auto"/>
        <w:rPr>
          <w:sz w:val="20"/>
          <w:szCs w:val="20"/>
          <w:color w:val="auto"/>
        </w:rPr>
      </w:pPr>
      <w:r>
        <w:rPr>
          <w:rFonts w:ascii="Times New Roman" w:cs="Times New Roman" w:eastAsia="Times New Roman" w:hAnsi="Times New Roman"/>
          <w:sz w:val="18"/>
          <w:szCs w:val="18"/>
          <w:i w:val="1"/>
          <w:iCs w:val="1"/>
          <w:color w:val="auto"/>
        </w:rPr>
        <w:t xml:space="preserve">Note: Varseta-M was licensed from ImmunoGen (acquired by AbbVie in 2024) </w:t>
      </w: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Varsetatug Masetecan, A PROBODY Topoisomerase-1 ADC Targeting EpCAM</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field of ADCs has made tremendous progress in recent years in hematologic cancers and increasingly, in solid tumors. ADCs are making a difference for patients across a wide range of tumors and continue to move earlier in the treatment paradigm across certain malignancies. The success of the field has driven increased interest in this modality including the need to identify novel ADC targets as well as optimized linker payloads.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EpCAM is a potential pan-tumor target with promise across many tumor types. EpCAM has been clinically validated with locally administered, approved cancer therapies. However, efforts to generate systemic anti-EpCAM therapeutics have, to date, not been successful due to toxicities in epithelial tissues. Varseta-M, a conditionally activated ADC, is designed to optimize the therapeutic index for EpCAM-expressing epithelial cancers, including colorectal cancer. Varseta-M is armed with a cytotoxic payload (“CAMP59”), a camptothecin-based topoisomerase-1 inhibitor, a drug class with a long history in the treatment of many cancers. The payload-PROBODY linker in Varseta-M is optimized for bystander effect, that is, the killing of neighboring cancer cells.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Preclinically, Varseta-M has demonstrated a wide predicted therapeutic index, as well as strong anti-tumor activity and tolerability in multiple preclinical models, including in colorectal cancer. In preclinical safety studies in cynomolgus monkeys, Varseta-M was tolerated at doses at least six times higher than an unmasked EpCAM ADC. Based on the wide predicted therapeutic index in preclinical studies, and clinical results to date, we believe Varseta-M has the potential to address a broad range of EpCAM-expressing solid tumors and make a significant difference for patients.</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IND for Varseta-M was allowed to proceed by the FDA in January 2024 and the Phase 1 study of Varseta-M started in the second quarter of 2024 with an initial focus in CRC. Based on positive interim Phase 1 dose escalation data presented in May 2025, dose expansions were initiated at the dose levels of 7.2 mg/kg, 8.6 mg/kg, and 10 mg/kg, administered Q3W and are currently ongoing.</w:t>
      </w:r>
    </w:p>
    <w:p>
      <w:pPr>
        <w:spacing w:after="0" w:line="21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March 2026, we announced positive interim data from Phase 1 dose expansions in 93 patients with advanced CRC as of a January 16, 2026 data cutoff. We plan to present additional Phase 1 data for Varseta-M at a medical meeting in 2026 and aim to align with the FDA in 2026 on a potential registrational study designed for Varseta-M monotherapy in advanced CRC.</w:t>
      </w:r>
    </w:p>
    <w:p>
      <w:pPr>
        <w:spacing w:after="0" w:line="17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Additionally, in the first quarter of 2026, a Phase 1 study of Varseta-M in combination with bevacizumab was initiated, data from which is intended to inform potential Varseta-M late phase development in earlier lines of CRC therapy. Initial data from the combination study with bevacizumab is expected by the first half of 2027. We also plan to initiate a Phase 1b/2 study of Varseta-M in combination with bevacizumab and chemotherapy by the end of 2026.</w:t>
      </w:r>
    </w:p>
    <w:p>
      <w:pPr>
        <w:spacing w:after="0" w:line="1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also continue to evaluate additional non-CRC, EpCAM expressing indications for potential Varseta-M development and anticipate initiating Phase 1 expansion cohorts in one or more additional target indications in the second half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CX-801, A PROBODY Cytokine, Interferon alpha-2b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IFNα2b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the emergence and impact of checkpoint inhibitors, many cancer patients have benefited from immunotherapy treatment, yet significant unmet need remains in patients who either do not respond to immunotherapies or who need additional treatments upon recurrence of their disease. We believe our PROBODY IFNα2b provides a potentially unique approach to locally activating anti-tumor immune responses. CX-801 is designed to leverage the dual mechanism of action of IFNα2b that can directly kill cancer cells while also increasing antigen presentation.</w:t>
      </w:r>
    </w:p>
    <w:p>
      <w:pPr>
        <w:spacing w:after="0" w:line="18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Interferon alpha-2b is also a validated, previously approved immunotherapeutic that has demonstrated clinical activity in multiple cancer types, including in combination with checkpoint inhibitors. Additionally, Adstiladrin</w:t>
      </w:r>
      <w:r>
        <w:rPr>
          <w:rFonts w:ascii="Arial" w:cs="Arial" w:eastAsia="Arial" w:hAnsi="Arial"/>
          <w:sz w:val="25"/>
          <w:szCs w:val="25"/>
          <w:color w:val="auto"/>
          <w:vertAlign w:val="superscript"/>
        </w:rPr>
        <w:t>®</w:t>
      </w:r>
      <w:r>
        <w:rPr>
          <w:rFonts w:ascii="Times New Roman" w:cs="Times New Roman" w:eastAsia="Times New Roman" w:hAnsi="Times New Roman"/>
          <w:sz w:val="18"/>
          <w:szCs w:val="18"/>
          <w:color w:val="auto"/>
        </w:rPr>
        <w:t>, a gene therapy encoding interferon alpha-2b and used for local treatment of BCG-unresponsive non-muscle invasive bladder cancer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NMIBC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was approved for use in 2022.</w:t>
      </w:r>
    </w:p>
    <w:p>
      <w:pPr>
        <w:spacing w:after="0" w:line="198"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Despite this previous validation, IFNα2b-based systemic therapies have been limited in their utilization due to systemic toxicities and poor tolerability, leading to high discontinuation rates. CX-801 is an investigational, dually-masked, conditionally activated version of IFNα2b that is designed to be preferentially active in the tumor microenvironment. We believe we have optimized the predicted therapeutic index of CX-801 by masking the molecule using both a peptide mask to block binding to the receptor in the periphery and an Fc steric mask, both of which are unmasked by protease activity in the tumor tissue. In preclinical studies, CX-801 was tolerated at doses more than 100-fold higher than unmasked IFNα2b. PROBODY IFNα2b also showed synergistic effects with checkpoint inhibitors in preclinical models and the ability to inflame the tumor microenvironment. The preclinical profile of CX-801 was presented at SITC 2023.</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IND for CX-801 was allowed to proceed by the FDA in January 2024, and in the third quarter of 2024 the first patient was dosed in the CX-801 Phase 1 dose escalation study in solid tumors. The Phase 1 dose escalation study is focused on patients with advanced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line="230" w:lineRule="auto"/>
        <w:rPr>
          <w:sz w:val="20"/>
          <w:szCs w:val="20"/>
          <w:color w:val="auto"/>
        </w:rPr>
      </w:pPr>
      <w:r>
        <w:rPr>
          <w:rFonts w:ascii="Times New Roman" w:cs="Times New Roman" w:eastAsia="Times New Roman" w:hAnsi="Times New Roman"/>
          <w:sz w:val="18"/>
          <w:szCs w:val="18"/>
          <w:color w:val="auto"/>
        </w:rPr>
        <w:t>melanoma. In Phase 1 dose escalation, the study will evaluate safety, translational biomarkers and signs of clinical activity for CX-801 monotherapy and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the second quarter of 2024, we announced a clinical collaboration with Merck to supply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evaluation of its combination with CX-801 in the Phase 1 study. The Phase 1 study is currently in the fourth monotherapy dose escalation cohort. In May 2025, Phase 1 dose escalation enrollment of CX-801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in advanced melanoma was initiated and is currently enrolling at the second dose level.</w:t>
      </w:r>
    </w:p>
    <w:p>
      <w:pPr>
        <w:spacing w:after="0" w:line="25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Phase 1 CX-801 monotherapy biomarker data in melanoma patients was presented at the SITC 2025 Annual Meeting in November 2025. The data presented suggest that CX-801 has been generally well tolerated to date and consistently increased expression of interferon-stimulated genes in paired tumor biopsies, suggesting preferential activity in tumors. Upregulation of immune checkpoint genes, including PD-1 and PD-L1, and activation of immune cell populations was also observed, providing a rationale for evaluating the combination of CX-801 and pembrolizumab. PK analysis also demonstrated dose-proportional exposure of CX-801, which remained predominantly in its intact (masked) form in circulation. Phase 1 clinical data from the CX-801 and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combination dose escalation portion of the study are expected by the end of 2026.</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CytomX Platform and Pipeline Breadth Including Partnered Pipeline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continue to innovate and improve our platform technology and extend the reach of our science through partnering and internal development of our pipeline. Our sustained efforts in research have resulted in an industry-leading level of breadth and depth with conditional activation and a wide range of therapeutic conditionally activated modalities including ADCs, TCEs, cytokines and mRNAs. Our current generation of pipeline molecules integrate learnings in how to best utilize our technology and optimize the design of product candidates to enhance probability of success.</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successful development of our product candidates involves a lengthy and expensive process with an uncertain outcome, and preliminary or interim results of our studies may not be predictive of the final results from those trials and the results of earlier studies and trials may not be predictive of future trial results. This is due to the numerous risks and uncertainties associated with the development of product candidates. If our PROBODY therapeutic technology and product candidates generally prove to be ineffective, unsafe or commercially unviable, it would have a material and adverse effect on our business, financial condition, results of operations and prospects. See “Risk Factors” for a discussion of the risks and uncertainties associated with our product candidates and our research and development projects.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PROBODY Platform</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Localization of therapeutic activity of potent biologics within disease tissue is of increasing interest in the biopharmaceutical industry due to the desire to maximize the activity of biologics while reducing their toxicities. A PROBODY therapeutic candidate consists of three components: an active anti-cancer biologic therapeutic, a mask, and a protease-cleavable linker which connects the mask to the biologic therapeutic. The mask is a peptide designed to disguise the active binding site of the biologic therapeutic to prevent it from binding to the target present on healthy tissue. We have had sustained research efforts and continuous innovation around the PROBODY Platform and have invested significant resources to develop the technology. As of January 2026, our fully- and co-owned patent portfolio contains at least 245 granted patents and at least 300 pending patent applications.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graphic depicts the three components of a PROBODY therapeutic candidate:</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774700</wp:posOffset>
            </wp:positionV>
            <wp:extent cx="5768975" cy="2477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76897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Depiction of the structure of a PROBODY therapeutic candidate and a protease interacting with the PROBODY candidate to cleave the linker and activate the molecule</w:t>
      </w:r>
    </w:p>
    <w:p>
      <w:pPr>
        <w:spacing w:after="0" w:line="16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When a PROBODY therapeutic candidate enters a tumor, it encounters proteases, which are enzymes that cleave proteins and have increased activity in the tumor microenvironment. The proteases in the tumor cleave the linker, releasing the mask and allowing the biologic to bind to the target on the tumor. The following graphic depicts the way a PROBODY therapeutic candidate is designed to be activated by proteases: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wp:posOffset>
            </wp:positionV>
            <wp:extent cx="5768975" cy="131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897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Depiction of how a PROBODY therapeutic is designed to enter the tumor microenvironment (left), be activated by protease cleavage to remove the mask (middle), thereby enabling the released biologic to bind to the tumor target (right)</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Proteases play an essential role in many aspects of normal physiology, such as digestion of food in the gastrointestinal tract, wound healing and metabolic function. However, uncontrolled protease activity can lead to destruction of essential proteins and tissues. Therefore, proteases are normally very tightly regulated by multiple mechanisms, with only small amounts of extracellular protease activity being detectable in healthy tissues. In contrast, it has been well documented that proteases are not only present, but also activated, in virtually all types of tumors, playing a key role in tumor growth, invasion and metastasis. PROBODY therapeutics are designed to be activated in this protease-rich tumor microenvironment, but not in healthy tissue where proteases are under tight control. Consequently, we believe that toxicities that arise from the binding of a biologic therapeutic to a target in healthy tissues can be reduced, while biological activity against the tumor can be preserved. We and our partners are investigating the potential of our PROBODY platform across multiple modalities, including ADCs, cancer immunotherapy, TCEs, and cytokines.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multi-modality PROBODY therapeutic platform provides the following key advantages:</w:t>
      </w:r>
    </w:p>
    <w:p>
      <w:pPr>
        <w:spacing w:after="0" w:line="113" w:lineRule="exact"/>
        <w:rPr>
          <w:sz w:val="20"/>
          <w:szCs w:val="20"/>
          <w:color w:val="auto"/>
        </w:rPr>
      </w:pPr>
    </w:p>
    <w:p>
      <w:pPr>
        <w:ind w:left="1020" w:right="120" w:hanging="503"/>
        <w:spacing w:after="0" w:line="26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novel biologic therapeutic class enabled by our proprietary platform. </w:t>
      </w:r>
      <w:r>
        <w:rPr>
          <w:rFonts w:ascii="Times New Roman" w:cs="Times New Roman" w:eastAsia="Times New Roman" w:hAnsi="Times New Roman"/>
          <w:sz w:val="18"/>
          <w:szCs w:val="18"/>
          <w:color w:val="auto"/>
        </w:rPr>
        <w:t>By pioneering a novel class of conditionally activated, localized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 candidates, we are a leader in the field and have established masking as a strategic area of biologics research and development. Our technology platform is supported by more than a decade of research and a strong intellectual property portfolio. More than 500 patients with diverse tumor types have been treated with our PROBODY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left="1020" w:right="820"/>
        <w:spacing w:after="0" w:line="282" w:lineRule="auto"/>
        <w:rPr>
          <w:sz w:val="20"/>
          <w:szCs w:val="20"/>
          <w:color w:val="auto"/>
        </w:rPr>
      </w:pPr>
      <w:r>
        <w:rPr>
          <w:rFonts w:ascii="Times New Roman" w:cs="Times New Roman" w:eastAsia="Times New Roman" w:hAnsi="Times New Roman"/>
          <w:sz w:val="18"/>
          <w:szCs w:val="18"/>
          <w:color w:val="auto"/>
        </w:rPr>
        <w:t>therapeutic candidates in multiple clinical studies, providing clinical proof of concept and a deep knowledge base for translational advancement and optimization of our drug candidates and platform.</w:t>
      </w:r>
    </w:p>
    <w:p>
      <w:pPr>
        <w:spacing w:after="0" w:line="50" w:lineRule="exact"/>
        <w:rPr>
          <w:sz w:val="20"/>
          <w:szCs w:val="20"/>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 broad multi-modality technology for improvement of therapeutic index. </w:t>
      </w:r>
      <w:r>
        <w:rPr>
          <w:rFonts w:ascii="Times New Roman" w:cs="Times New Roman" w:eastAsia="Times New Roman" w:hAnsi="Times New Roman"/>
          <w:sz w:val="17"/>
          <w:szCs w:val="17"/>
          <w:color w:val="auto"/>
        </w:rPr>
        <w:t>By engineering our therapeutics to selectively activate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tumor microenvironment, our PROBODY product candidates have the potential to improve safety and tolerability. We are applying our technology to some of the biggest challenges in oncology biologics research and development today. Namely, the validation of potential new targets for ADCs, opening solid tumor opportunities for TCEs, and increasing the therapeutic index for immunotherapies such as cytokines.</w:t>
      </w:r>
    </w:p>
    <w:p>
      <w:pPr>
        <w:spacing w:after="0" w:line="53" w:lineRule="exact"/>
        <w:rPr>
          <w:rFonts w:ascii="Times New Roman" w:cs="Times New Roman" w:eastAsia="Times New Roman" w:hAnsi="Times New Roman"/>
          <w:sz w:val="17"/>
          <w:szCs w:val="17"/>
          <w:color w:val="auto"/>
        </w:rPr>
      </w:pPr>
    </w:p>
    <w:p>
      <w:pPr>
        <w:ind w:left="1020" w:hanging="503"/>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combine more effectively with other therapies. </w:t>
      </w:r>
      <w:r>
        <w:rPr>
          <w:rFonts w:ascii="Times New Roman" w:cs="Times New Roman" w:eastAsia="Times New Roman" w:hAnsi="Times New Roman"/>
          <w:sz w:val="18"/>
          <w:szCs w:val="18"/>
          <w:color w:val="auto"/>
        </w:rPr>
        <w:t>We believe the therapeutic index and tumor specificity of our drug candidates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potential to reduce the dose-limiting toxicities observed in combination therapies and thus enable new combinations with other cancer therapies that are difficult or impossible to use.</w:t>
      </w:r>
    </w:p>
    <w:p>
      <w:pPr>
        <w:spacing w:after="0" w:line="62"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Molecular tunability and applicability across many targets. </w:t>
      </w:r>
      <w:r>
        <w:rPr>
          <w:rFonts w:ascii="Times New Roman" w:cs="Times New Roman" w:eastAsia="Times New Roman" w:hAnsi="Times New Roman"/>
          <w:sz w:val="18"/>
          <w:szCs w:val="18"/>
          <w:color w:val="auto"/>
        </w:rPr>
        <w:t>Our proprietary masking technologies allow for unique customization of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candidate pools from which high potential clinical candidates are selected. Our technology has the potential to address many different molecular targets expressed by a wide range of tumor types, including targets that are difficult to address due to their widespread expression on healthy cells. EpCAM is an example of such a target, for which we have developed Varseta-M, a masked, conditionally activated</w:t>
      </w:r>
    </w:p>
    <w:p>
      <w:pPr>
        <w:spacing w:after="0" w:line="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PROBODY ADC.</w:t>
      </w:r>
    </w:p>
    <w:p>
      <w:pPr>
        <w:spacing w:after="0" w:line="94"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knowledge of the tumor protease microenvironment. </w:t>
      </w:r>
      <w:r>
        <w:rPr>
          <w:rFonts w:ascii="Times New Roman" w:cs="Times New Roman" w:eastAsia="Times New Roman" w:hAnsi="Times New Roman"/>
          <w:sz w:val="18"/>
          <w:szCs w:val="18"/>
          <w:color w:val="auto"/>
        </w:rPr>
        <w:t>Our extensive protease biology expertise, driven by state-of-the-art experimental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computational methods, allows us to employ multiple approaches to generate novel targeted, multi-selective, and potentially indication-tailored protease-cleavable substrates.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that the PROBODY platform has broad applicability across many cancer types, biological targets and therapeutic modalities. We have leveraged strategic partnering to (a) extend the reach of our technology, and (b) bring in significant non-dilutive capital into our company. Since 2013, we have entered into several collaborations, including with Amgen, Astellas, Bristol Myers Squibb, ImmunoGen, Moderna, and Regeneron to enable the discovery and development of certain PROBODY therapeutics. In constructing each of these collaborations, our primary objectives are to collaborate with leading biopharmaceutical players to realize the potential of PROBODY therapeutics, gain meaningful near-term funding or access technology to enable the advancement of our wholly owned PROBODY therapeutics pipeline, potentially broadening the number of PROBODY therapeutics that ultimately reach the clinic.</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Amgen, Inc.</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September 2017, we entered into a Collaboration and License Agreement (the “Amgen Agreement”) with Amgen. Pursuant to the Amgen Agreement, we received an upfront payment of $40.0 million in October 2017. Concurrent with the entry into the Amgen Agreement, Amgen purchased 1,156,069 shares of our common stock for $20.0 million.</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terms of the Amgen Agreement, we and Amgen were co-developing a conditionally activated T-cell engager (“TCE”) targeting epidermal growth factor receptor (the “EGFR Products”). We were responsible for early-stage development of EGFR Products and Amgen was to be responsible for late-stage development and commercialization of EGFR Products.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2021, we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we and Amgen executed an amendment to the Amgen Agreement to extend the target selection period for Amgen to select its additional targets.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Amgen had the right to select a total of up to three targets, including the two additional targets. We and Amgen collaborated in the research and development of conditionally activated T-cell engaging bispecifics therapies directed against such targets. Amgen had selected one such target (the “Amgen Other Product”). Except with respect to preclinical activities to be conducted by CytomX, Amgen would have been responsible, at its expense, for the development, manufacture, and commercialization of all Amgen Products.</w:t>
      </w:r>
    </w:p>
    <w:p>
      <w:pPr>
        <w:spacing w:after="0" w:line="18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January 2022, the IND for the EGFR product candidate (“CX-904”) was allowed to proceed by the “FDA” and the program progressed into Phase 1 dose escalation. In March 2025, we and Amgen jointly decided to not continue CX-904 development and Amgen terminated its license to the EGFR Products. In April 2025, the Amgen Other Product was also terminated with 60 days written notice pursuant to the Amgen Agreement. The Amgen research collaboration remains in effect with the current scope being the preclinical TCE target (P-Cadherin or CDH3) that we selected from Amgen’s preclinical pipeline further discussed below.</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5" w:name="page16"/>
    <w:bookmarkEnd w:id="15"/>
    <w:p>
      <w:pPr>
        <w:ind w:right="280"/>
        <w:spacing w:after="0" w:line="243" w:lineRule="auto"/>
        <w:rPr>
          <w:sz w:val="20"/>
          <w:szCs w:val="20"/>
          <w:color w:val="auto"/>
        </w:rPr>
      </w:pPr>
      <w:r>
        <w:rPr>
          <w:rFonts w:ascii="Times New Roman" w:cs="Times New Roman" w:eastAsia="Times New Roman" w:hAnsi="Times New Roman"/>
          <w:sz w:val="18"/>
          <w:szCs w:val="18"/>
          <w:color w:val="auto"/>
        </w:rPr>
        <w:t>At the initiation of the collaboration, we had the option to select from programs specified in the Amgen Agreement, an existing preclinical stage TCE product from the Amgen preclinical pipeline. In March 2018, we selected the program and this program, CX-908, a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TCE targeting P-Cadherin (CDH3) and CD3, is currently in preclinical development. We are responsible, at our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Astellas Pharma Inc.</w:t>
      </w:r>
    </w:p>
    <w:p>
      <w:pPr>
        <w:spacing w:after="0" w:line="11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March 2020, we entered into a Collaboration and License Agreement (the “Astellas Agreement”) with Astellas, pursuant to which we and Astellas will collaborate on the research, development and commercialization of TCE products (“Products”) directed to CD3 and selected tumor antigen targets using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 and other proprietary technology. Under the Astellas Agreement, we granted Astellas an exclusive, worldwide, royalty-bearing license to develop and commercialize Products in all fields. Astellas was able to select up to four targets to develop, and had an option to expand to six targets. Astellas selected four targets under the Astellas Agreement and the programs for three remain active. The time period for expanding to six targets under the Astellas Agreement has expired. We led preclinical research and discovery activities up to clinical candidate selection for the Products. Astellas led preclinical and clinical development of and regulatory approval for the Products. Astellas was responsible for commercializing each Product, provided that CytomX had the option to elect to co-commercialize certain Products with Astellas in the United States, subject to the terms of a separate commercialization agreement to be entered into between us and Astellas.</w:t>
      </w:r>
    </w:p>
    <w:p>
      <w:pPr>
        <w:spacing w:after="0" w:line="19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terms of the Astellas Agreement, we received an upfront payment of $80.0 million, and Astellas was responsible for funding the cost of preclinical research and discovery activities of both parties for all Products and for funding the cost of development and commercialization of all Products worldwide. Under the agreement, we were eligible to receive future preclinical, clinical and commercial milestones of approximately $1.2 billion. Astellas would have paid us tiered royalties on global net sales of Products from high single-digit to mid-teens percentages, subject to certain reductions. Astellas’ royalty obligations were to continue with respect to each country and each Product until the later of (i) the date on which such Product is no longer covered by certain intellectual property rights, (ii) the 10th anniversary of the first commercial sale of such product in such country, and (iii) the loss of regulatory exclusivity for such Product in such country.</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for a specified number of the targets, at a pre-specified time prior to the initiation of the first pivotal study of a Product directed against such target, we had an option to elect to co-fund certain subsequently initiated clinical trials for such Product. If we had opt in, we would have been responsible for a pre-determined portion of the costs of such trials, subject to specified caps, deferrals and offsets. We would then have had the option to elect to co-commercialize such Products in the United States. For any such Products, in lieu of royalties in the United States, we would have received less than 40% of the profits for such Products in the United States and tiered low double-digit to mid-teens percentage royalties on net sales of such Products outside of the United States, subject to certain reductions.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January 2023, Astellas nominated the first clinical candidate under the collaboration which resulted in a $5.0 million milestone payment to us. In March 2024, we achieved a clinical candidate milestone for a second collaboration target nomination and a GLP toxicology initiation milestone for the first collaboration target nominated in January 2023 under the Astellas Agreement. We collected these milestone payments totaling $10.0 million in April 2024. In the first quarter of 2025, Astellas chose not to continue with IND enabling activities for the first collaboration target and prioritized the second collaboration target nominated in the collaboration. Astellas initiated GLP toxicology studies for the second collaboration target nominated triggering a $5.0 million milestone payment to us in the first quarter of 2025. In March 2026, Astellas chose to not advance the remaining preclinical programs under the alliance, resulting in a termination of the collaboration effective in the second quarter of 2026. CytomX is currently assessing options to advance select targets previously covered under the Astellas collaboration as part of its ongoing research and development strategy.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Bristol Myers Squibb Company</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May 2014, we and Bristol Myers Squibb entered into a Collaboration and License Agreement (the “BMS Agreement”) to discover and develop compounds for use in human therapeutics aimed at multiple immuno-oncology targets using our PROBODY therapeutic technology. Pursuant to the BMS Agreement, the financial consideration from Bristol Myers Squibb was comprised of an upfront payment of $50.0 million and estimated research and development service fees, and we were initially entitled to receive contingent payments of up to $25.0 million for additional targets and contingent payments for development, regulatory and sales milestones. In addition, we were entitled to royalty payments in the mid-single digits to low double-digit percentages from potential future sales.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6" w:name="page17"/>
    <w:bookmarkEnd w:id="16"/>
    <w:p>
      <w:pPr>
        <w:ind w:right="80"/>
        <w:spacing w:after="0" w:line="258" w:lineRule="auto"/>
        <w:rPr>
          <w:sz w:val="20"/>
          <w:szCs w:val="20"/>
          <w:color w:val="auto"/>
        </w:rPr>
      </w:pPr>
      <w:r>
        <w:rPr>
          <w:rFonts w:ascii="Times New Roman" w:cs="Times New Roman" w:eastAsia="Times New Roman" w:hAnsi="Times New Roman"/>
          <w:sz w:val="18"/>
          <w:szCs w:val="18"/>
          <w:color w:val="auto"/>
        </w:rPr>
        <w:t>On March 17, 2017, we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we continued to have obligations to Bristol Myers Squibb to discover and conduct preclinical development of PROBODY therapeutics against any targets they chose to select during the research period under the terms of Amendment 1.</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We were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February 2020, Bristol Myers Squibb dosed the first patient in the Part 2 cohort expansion portion of its ongoing BMS-986249 clinical study for the CTLA-4 program, which triggered a $10.0 million milestone payment to us pursuant to the terms of the BMS Agreement.</w:t>
      </w:r>
    </w:p>
    <w:p>
      <w:pPr>
        <w:spacing w:after="0" w:line="16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February 2021, we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We continued to collaborate with Bristol Myers Squibb to discover and conduct preclinical development of PROBODY therapeutics against targets selected by Bristol Myers Squibb over the estimated research period, which ended in April 2025. Pursuant to Amendment 2, we were eligible to receive contingent payments for development, regulatory and sales milestones. We were also entitled to tiered mid-single to low double-digit percentage of royalties from potential future sales.</w:t>
      </w: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October 2022, we and Bristol Myers Squibb amended the BMS Agreement and entered into Amendment Number 3 (“Amendment 3”), as previously amended by Amendment 1 and Amendment 2, to clarify the rights and restrictions of certain new proprietary antibodies that the parties exchanged.</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March 2024, following a Bristol Myers Squibb corporate portfolio prioritization process, Bristol Myers Squibb notified CytomX that it did not intend to continue the development of the PROBODY CTLA-4 program and terminated its collaboration license on the CTLA-4 target under the collaboration.</w:t>
      </w:r>
    </w:p>
    <w:p>
      <w:pPr>
        <w:spacing w:after="0" w:line="16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 June 2024, Bristol Myers Squibb prioritized its pre-clinical research activities under the collaboration and revised the research scope by one collaboration target. Our research efforts on all the ongoing programs were completed in April 2025. In May 2025, one collaboration target was also terminated with two months written notice pursuant to the BMS Agreement and two preclinical programs remain in development with Bristol Myers Squibb responsible for further advancement.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Inc</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December 2022, we entered into a Collaboration and License Agreement (the “Moderna Agreement”) with Moderna, pursuant to which we and Moderna will collaborate on the creation of mRNA-based conditionally-activated investigational therapies utilizing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platform and Moderna’s mRNA and lipid nanoparticle technologies. The collaboration will leverage core scientific advances at Moderna and ours to open up the strategy of encoding potent, masked biologics through mRNA technologies, for the potential treatment of oncology and non-oncology conditions. We and Moderna will collaborate on a specified number of preclinical research and discovery programs (“Moderna Collaboration Programs”) within a specified period under the Collaboration and License Agreement.</w:t>
      </w:r>
    </w:p>
    <w:p>
      <w:pPr>
        <w:spacing w:after="0" w:line="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Under the Moderna Agreement, we granted Moderna an exclusive, worldwide, royalty-bearing license under certain of our intellectual property to develop, manufacture, commercialize and otherwise exploit certain products (“Moderna Licensed Products”) for all human and non-human diagnostic, prophylactic and therapeutic uses, subject to certain exceptions with respect to Licensed Products within certain Collaboration Programs.</w:t>
      </w:r>
    </w:p>
    <w:p>
      <w:pPr>
        <w:spacing w:after="0" w:line="6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Under the terms of the Moderna Agreement, Moderna made an upfront payment to us of $35.0 million, including $5.0 million of pre-paid research funding which was subsequently utilized by Moderna. We may continue to receive research funding based on potential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ind w:firstLine="45"/>
        <w:spacing w:after="0" w:line="256" w:lineRule="auto"/>
        <w:rPr>
          <w:sz w:val="20"/>
          <w:szCs w:val="20"/>
          <w:color w:val="auto"/>
        </w:rPr>
      </w:pPr>
      <w:r>
        <w:rPr>
          <w:rFonts w:ascii="Times New Roman" w:cs="Times New Roman" w:eastAsia="Times New Roman" w:hAnsi="Times New Roman"/>
          <w:sz w:val="18"/>
          <w:szCs w:val="18"/>
          <w:color w:val="auto"/>
        </w:rPr>
        <w:t>aligned scopes of work between the two companies and we may be eligible to receive future development, regulatory and commercial milestone payments of up to $1.2 billion for all Moderna Licensed Products in total under the Moderna Agreement. Moderna will pay us tiered royalties on global net sales of Moderna Licensed Products from high single digit to low-teen percentages, subject to certain reductions. Moderna's royalty obligations continue with respect to each country and each Product until the later of (i) the date on which such Licensed Product is no longer covered by certain patent rights, (ii) the 10th anniversary of the first commercial sale of such product in such country, and (iii) the loss of regulatory exclusivity for such Moderna Licensed Product in such country. In November 2025, we amended the Moderna Agreement to adjust some administrative obligations relating to certain intellectual property.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first quarter of 2026, due to Moderna's budget considerations, the Moderna Collaboration Programs are paused.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Regeneron Pharmaceuticals, Inc.</w:t>
      </w:r>
    </w:p>
    <w:p>
      <w:pPr>
        <w:spacing w:after="0" w:line="11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We and Regeneron entered into a Collaboration and License Agreement (the “Regeneron Agreement”) in November 2022, to collaborate on the creation of conditionally activated investigational bispecific cancer therapies utilizing our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platform and Regeneron’s Veloci-Bi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bispecific antibody development platform. We and Regeneron will collaborate on preclinical research and discovery activities for initially agreed upon collaboration programs (“Regeneron Collaboration Programs”) with an option to include additional Collaboration Programs (“Additional Collaboration Program Option”).</w:t>
      </w:r>
    </w:p>
    <w:p>
      <w:pPr>
        <w:spacing w:after="0" w:line="19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Regeneron Agreement, we granted Regeneron an exclusive, worldwide, royalty-bearing license under certain of our intellectual property to develop, manufacture, commercialize and otherwise exploit licensed products (“Regeneron Licensed Products”) for all human and non-human diagnostic, prophylactic and therapeutic uses in oncology.</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Regeneron is responsible for funding the cost of preclinical research and discovery activities of both parties for all Regeneron Licensed Products and for funding the cost of development, manufacture and commercialization of all Regeneron Licensed Products worldwide. Pursuant to the Regeneron Agreement, Regeneron made an upfront payment of $30.0 million to us. Upon the achievement of certain development and regulatory milestones and commercial milestones, we are eligible to receive milestone payments of up to approximately $0.8 billion for the initial Regeneron Collaboration Programs. In addition, we will receive research and development funding for the work related to the collaboration. If Regeneron exercises its Additional Collaboration Program Options, we would be eligible to receive additional upfront payments, development and regulatory milestones payments, and commercial milestone payments of up to approximately $1.2 billion in aggregate for the additional Regeneron Collaboration Programs, which amount is exclusive of the $0.8 billion for the initial Regeneron Collaboration Programs. We are also entitled to tiered royalties from high-single digit to low-teen percentage royalties from potential future sales, subject to certain reductions. Regeneron's royalty obligations continue with respect to each country and each Regeneron Licensed Product until the later of (i) the date on which such Regeneron Licensed Product is no longer covered by certain patent rights, (ii) the 10th anniversary of the first commercial sale of such product in such country, and (iii) the loss of regulatory exclusivity for such Regeneron Licensed Product in such country.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PROBODY therapeutic candidates are designed to be produced as fully recombinant biologic prodrugs, with certain additional modifications as necessary, such as conjugation of PROBODY ADCs to the selected cytotoxic payload. Our PROBODY therapeutic candidates are also designed to maintain the manufacturability benefits of biologics such as antibodies and leverage manufacturing process technologies used for biologics production in the industry. We conduct cell line development and process development both in-house and in collaboration with contract development and manufacturing organizations (“CMO”). CMOs are responsible for manufacturing of drug substance and clinical drug product materials.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date, we have generally been able to successfully manufacture our investigational product candidates for our ongoing early-stage clinical trials with contract manufacturers. However, the supply chain for the manufacturing of each of our product candidates is complicated and can involve many parties, including for Varseta-M and CX-801. We do not own manufacturing facilities for producing such supplies and rely on third-party contract manufacturers to manufacture our clinical trial and preclinical study product supplies. Our clinical trial manufacturing contractors and suppliers are our sole source for their respective manufacturing and supplies. Failure of any of these contractors could affect our ability to have clinical trial material available when needed and could result in substantial delay of our clinical trials. Although we are taking steps to manage our long-term supply of Varseta-M, there can be no assurance that we will not have production failures in the future, which could affect our ability to conduct our trials for Varseta-M or any other clinical trial drug candidates, including CX-801, on our planned timeline or at all. We do not have any long-term contracts and we do not currently have readily available alternatives for many of our third-party contract manufacturers. Consequently,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780"/>
        <w:spacing w:after="0" w:line="282" w:lineRule="auto"/>
        <w:rPr>
          <w:sz w:val="20"/>
          <w:szCs w:val="20"/>
          <w:color w:val="auto"/>
        </w:rPr>
      </w:pPr>
      <w:r>
        <w:rPr>
          <w:rFonts w:ascii="Times New Roman" w:cs="Times New Roman" w:eastAsia="Times New Roman" w:hAnsi="Times New Roman"/>
          <w:sz w:val="18"/>
          <w:szCs w:val="18"/>
          <w:color w:val="auto"/>
        </w:rPr>
        <w:t>encounter issues with transferring technology to a new third-party manufacturer, and we may encounter regulatory delays if we need to move the manufacturing of our products from one third-party manufacturer to another.</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conduct later-stage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Additionally, in some cases, we may have to start late-stage trials with our earlier clinical trial drug product and later switch to the late-stage or commercial drug product in trial. In such cases, the FDA will require us to complete bridging studies to compare the earlier stage material with the late-stage or commercial material to assure comparability between the earlier trial material and the late-stage or commercial material. Changing the formulation and scale up process is a complicated and difficult task and there can be no assurances that the changes we make to the drug product and manufacturing process will be successful or completed in a timely manner or that the FDA will not require additional development steps or studies.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In-Licenses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from UCSB</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2010, we entered into an agreement with UCSB, that grants us an exclusive license, with the right to sublicense, under the patent rights owned by UCSB covering mask and screening technologies relating to the identification and discovery of pro-protein biologics, including masks and substrates, for the identification of pro-proteins, for use in the fields of therapeutics, in vivo diagnostics, and prophylactics (the “UCSB Agreement”). The UCSB Agreement also grants us an exclusive license, with the right to sublicense, under UCSB’s interest in certain patent rights we co-own with UCSB covering certain conditionally activatable antibodies in the fields of therapeutics, in vivo diagnostics and prophylactics.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obligated to pay to UCSB royalties on net sales of licensed products in the low single-digit percentages, subject to annual minimum amounts as well as certain reductions. We are required to make milestone payments to UCSB on the accomplishment of certain milestones totaling up to $1.1 million for each of the first two indications for each licensed product consisting of a molecule or compound covered by the licensed patent rights. If we sublicense our rights under the UCSB Agreement, we must pay UCSB a percentage of our total sublicense revenues ranging from the mid-single to mid-teen percentages, which total amount would be first reduced by the aggregate amount of certain research and development related expenses incurred by us and other permitted deductions.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from ImmunoGen, Inc. (acquired by AbbVie in 2024)</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2014, we entered into the Research Collaboration Agreement with ImmunoGen (the “ImmunoGen Research Agreement”). The ImmunoGen Research Agreement provided us with the right to use ImmunoGen’s ADC technology for praluzatamab ravtansine (CX-2009) (the “CX-2009 License”). In July 2022, we announced Phase 2 clinical trial results for CX-2009 in breast cancer. The study met its primary endpoint but did not show the required progression free survival. The program was deprioritized. In 2025, CytomX terminated the CX-2009 License. Under the ImmunoGen Research Agreement, ImmunoGen exercised its option to obtain a development and commercialization license for a target, EpCAM. At the end of 2019, as a result of a strategic restructuring by ImmunoGen and its decision to out-license certain programs, we obtained a worldwide, exclusive, sublicensable license to the EpCAM conditionally activated ADC program from ImmunoGen (the “ImmunoGen 2019 License”).</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the ImmunoGen 2019 License, we gained worldwide development and commercialization rights to the EpCAM conditionally activated ADC program and, in return, we made an upfront payment of $7.5 million, and we will pay up to $35.0 million in certain clinical development milestones and up to $320.0 million in regulatory approval and commercial milestones payments, if achieved. ImmunoGen is also entitled to royalties on product sales ranging from the mid-to-high single digits percentages.</w:t>
      </w:r>
    </w:p>
    <w:p>
      <w:pPr>
        <w:spacing w:after="0" w:line="180" w:lineRule="exact"/>
        <w:rPr>
          <w:sz w:val="20"/>
          <w:szCs w:val="20"/>
          <w:color w:val="auto"/>
        </w:rPr>
      </w:pPr>
    </w:p>
    <w:p>
      <w:pPr>
        <w:jc w:val="both"/>
        <w:ind w:right="900"/>
        <w:spacing w:after="0" w:line="282" w:lineRule="auto"/>
        <w:rPr>
          <w:sz w:val="20"/>
          <w:szCs w:val="20"/>
          <w:color w:val="auto"/>
        </w:rPr>
      </w:pPr>
      <w:r>
        <w:rPr>
          <w:rFonts w:ascii="Times New Roman" w:cs="Times New Roman" w:eastAsia="Times New Roman" w:hAnsi="Times New Roman"/>
          <w:sz w:val="18"/>
          <w:szCs w:val="18"/>
          <w:color w:val="auto"/>
        </w:rPr>
        <w:t>In April 2024, we made a $5.0 million payment of the $35.0 million in potential clinical development milestone payments to AbbVie (formerly ImmunoGen) with respect to achieving the milestone of dosing the first patient for Varseta-M under the ImmunoGen 2019 License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CytomX is pioneering a new potential class of potent, anti-cancer biologic therapeutics – the PROBODY conditionally activated therapeutic platform. The biotechnology and biopharmaceutical industries, including the ADC and immuno-oncology subsectors, are characterized by rapid evolution of technologies, fierce competition and strong defense of intellectual property. Any product candidates that we successfully develop and commercialize will have to compete with existing therapies and new therapies that may become available in the future. While we believe that our proprietary PROBODY platform and scientific expertise in the field of biologics and immuno-oncology provide us with competitive advantages, a wide variety of institutions, including large biopharmaceutical companies, specialty biotechnology companies, academic research departments and public and private research</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right="180"/>
        <w:spacing w:after="0" w:line="266" w:lineRule="auto"/>
        <w:rPr>
          <w:sz w:val="20"/>
          <w:szCs w:val="20"/>
          <w:color w:val="auto"/>
        </w:rPr>
      </w:pPr>
      <w:r>
        <w:rPr>
          <w:rFonts w:ascii="Times New Roman" w:cs="Times New Roman" w:eastAsia="Times New Roman" w:hAnsi="Times New Roman"/>
          <w:sz w:val="18"/>
          <w:szCs w:val="18"/>
          <w:color w:val="auto"/>
        </w:rPr>
        <w:t>institutions, are actively developing potentially competitive products and technologies. We face substantial competition from biotechnology and biopharmaceutical companies developing biopharmaceutical products, particularly with respect to ADC, TCE and immuno-oncology therapeutics, where competition is intense and rapidly evolving. These competitors generally fall within the following categories:</w:t>
      </w:r>
    </w:p>
    <w:p>
      <w:pPr>
        <w:spacing w:after="0" w:line="17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Masking and conditional activation: </w:t>
      </w:r>
      <w:r>
        <w:rPr>
          <w:rFonts w:ascii="Times New Roman" w:cs="Times New Roman" w:eastAsia="Times New Roman" w:hAnsi="Times New Roman"/>
          <w:sz w:val="18"/>
          <w:szCs w:val="18"/>
          <w:color w:val="auto"/>
        </w:rPr>
        <w:t>Several companies, including AbbVie, Adagene, Amgen, BioAtla, Halozyme Therapeutics, Merck, Roche, Sanofi,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Takeda Pharmaceutical, Werewolf Therapeutics, Janux Therapeutics, Xilio Therapeutics and Vir Biotechnology are exploring, researching or developing antibody masking and/or conditional activation strategies, which could compete with our PROBODY platform.</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Antibody-drug conjugates: </w:t>
      </w:r>
      <w:r>
        <w:rPr>
          <w:rFonts w:ascii="Times New Roman" w:cs="Times New Roman" w:eastAsia="Times New Roman" w:hAnsi="Times New Roman"/>
          <w:sz w:val="18"/>
          <w:szCs w:val="18"/>
          <w:color w:val="auto"/>
        </w:rPr>
        <w:t>Several large pharmaceutical companies, such as AbbVie, Daiichi Sankyo, Gilead Sciences, Pfizer, Roche, Merck and Takeda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are researching, developing, and in some cases, commercializing ADCs. In addition, numerous smaller companies have ongoing efforts in the space.</w:t>
      </w:r>
    </w:p>
    <w:p>
      <w:pPr>
        <w:spacing w:after="0" w:line="17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Cancer immunotherapies: </w:t>
      </w:r>
      <w:r>
        <w:rPr>
          <w:rFonts w:ascii="Times New Roman" w:cs="Times New Roman" w:eastAsia="Times New Roman" w:hAnsi="Times New Roman"/>
          <w:sz w:val="18"/>
          <w:szCs w:val="18"/>
          <w:color w:val="auto"/>
        </w:rPr>
        <w:t>Cancer immunotherapy is one of the most competitive and fastest growing segments of the pharmaceutical industry. Almost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large pharmaceutical company is developing or commercializing cancer immunotherapies, including Amgen, AstraZeneca, Bristol Myers Squibb, GlaxoSmithKline, Merck, Novartis, Pfizer, Roche, and Sanofi. In addition, many large and mid-sized biotech companies such as BeiGene, Incyte, Nektar Therapeutics, and Alkermes have ongoing efforts in cancer immunotherapy. Numerous smaller companies are also working in this space.</w:t>
      </w:r>
    </w:p>
    <w:p>
      <w:pPr>
        <w:spacing w:after="0" w:line="176"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T-cell engaging therapies: </w:t>
      </w:r>
      <w:r>
        <w:rPr>
          <w:rFonts w:ascii="Times New Roman" w:cs="Times New Roman" w:eastAsia="Times New Roman" w:hAnsi="Times New Roman"/>
          <w:sz w:val="18"/>
          <w:szCs w:val="18"/>
          <w:color w:val="auto"/>
        </w:rPr>
        <w:t>Several large pharmaceutical companies, such as Amgen, Novartis, and Roche, have on-going efforts in the field of T-cell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engagers. In addition, several mid-sized biotech companies such as MacroGenics and Xencor, as well as numerous smaller companies, including Janux Therapeutics, have ongoing efforts in TCEs.</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Cytokines: </w:t>
      </w:r>
      <w:r>
        <w:rPr>
          <w:rFonts w:ascii="Times New Roman" w:cs="Times New Roman" w:eastAsia="Times New Roman" w:hAnsi="Times New Roman"/>
          <w:sz w:val="18"/>
          <w:szCs w:val="18"/>
          <w:color w:val="auto"/>
        </w:rPr>
        <w:t>Several companies have ongoing efforts or molecules in development in the field of cytokines including Bristol Myers Squibb, ImmunityBio,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Jazz Pharmaceuticals, Merck, Nektar Therapeutics, Novartis, Sanofi, Werewolf Therapeutics, Xencor, and Xilio Therapeutics.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EpCAM-targeting Clinical Candidates: </w:t>
      </w:r>
      <w:r>
        <w:rPr>
          <w:rFonts w:ascii="Times New Roman" w:cs="Times New Roman" w:eastAsia="Times New Roman" w:hAnsi="Times New Roman"/>
          <w:sz w:val="18"/>
          <w:szCs w:val="18"/>
          <w:color w:val="auto"/>
        </w:rPr>
        <w:t>With respect to Varseta-M (EpCAM-targeting Topo1 ADC product candidate), we are aware of other competing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EpCAM targeting clinical stage therapeutics. These include, but are not limited to T-cell engagers from BioNTech and BioAtla.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1928495</wp:posOffset>
            </wp:positionH>
            <wp:positionV relativeFrom="paragraph">
              <wp:posOffset>-186690</wp:posOffset>
            </wp:positionV>
            <wp:extent cx="317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Colorectal Cancer Therapeutics: </w:t>
      </w:r>
      <w:r>
        <w:rPr>
          <w:rFonts w:ascii="Times New Roman" w:cs="Times New Roman" w:eastAsia="Times New Roman" w:hAnsi="Times New Roman"/>
          <w:sz w:val="18"/>
          <w:szCs w:val="18"/>
          <w:color w:val="auto"/>
        </w:rPr>
        <w:t>In CRC, competition is increasing. There are several approved therapies, and we also face competition from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increasing number of experimental therapies with different mechanisms of action, including chemotherapy, immunotherapy (e.g., PD-1, CTLA4, and PD-1/VEGF) and targeted therapies that are directed against CRC subtypes defined by biologic features including, but not limited to, KRAS mutational status, BRAF mutational status, microsatellite instability (“MSI”), and surface protein expression (e.g., cMET, CECAM5, HER2, EGFR) being studied by AbbVie, Janssen, Merck KGaA, Pfizer, Exelixis, Revolution Medicines, Summit Therapeutics, Agenus, Adagene, Cardiff Oncology and Harbour Biomed, among others. Multiple competitor experimental therapies are further along in development than Varseta-M, including several in Phase 3 development. These novel competitor agents, alone or in combination with other anti-cancer agents, may potentially impact the approval of or adoption of therapeutics for the treatment of CRC.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CX-801 and Melanoma Competition:</w:t>
      </w:r>
    </w:p>
    <w:p>
      <w:pPr>
        <w:spacing w:after="0" w:line="22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The landscape in melanoma is highly competitive and includes major pharmaceutical companies as well as biotechnology companies. Treatments for melanoma have improved over the last two decades with the introduction of checkpoint inhibitors including the approved drugs such as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Yervoy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which have become widely used therapies in early line treatment settings for melanoma. Development programs such as CX-801 are often studied in advanced metastatic melanoma where it may be challenging to demonstrate clinical benefit in patients refractory to checkpoint inhibitors and combinations with approved therapies are often required. Additionally, there are competing programs in melanoma across a range of modalities including other cytokines, cell therapies, oncolytic viruses, and T-cell engagers from companies such as Replimune, Immunocore and Immatics. Many of our competitors, either alone or with strategic partners, have substantially greater financial, technical and human resources than we do. Accordingly, our competitors may be more successful than us in progressing clinical development, obtaining approval for treatments and achieving widespread market acceptance, rendering our treatments obsolete or non-competitive.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 strive to protect and enhance the proprietary technology, inventions, and improvements that are commercially important to our business, including seeking, maintaining, and defending patent rights, whether developed internally or licensed from third parties. Our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policy is to seek to protect our proprietary position by, among other methods, pursuing and obtaining patent protection in the United States and in jurisdictions outside of the United States related to our proprietary technology, inventions, improvements, platforms and product candidates that are important to the development and implementation of our business. Our patent portfolio is intended to cover, but is not limited to, our technology platforms, our product candidates and components thereof, their methods of use and processes for their manufacture, our proprietary reagents and assays, and any other inventions that are commercially important to our business. We also rely on trade secret protection of our confidential information and know-how relating to our proprietary technology, platforms and product candidates, continuing innovation, and in-licensing opportunities to develop, strengthen, and maintain our proprietary position in our PROBODY platform and product candidates. We expect to rely on data exclusivity, market exclusivity, patent term adjustment and patent term extensions when available.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patents; to defend against and challenge the assertion by third parties of their purported intellectual property rights; and to operate without the unauthorized infringement of valid and enforceable patents and other proprietary rights of third parties.</w:t>
      </w:r>
    </w:p>
    <w:p>
      <w:pPr>
        <w:spacing w:after="0" w:line="19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that we have a strong global intellectual property position and substantial know-how and trade secrets relating to our PROBODY therapeutic technology, platform and product candidates. As of January 2026, our patent portfolio contains at least 245 granted patents (some of which are co-owned with a third party) and at least 300 pending patent applications (some of which are co-owned with a third party). We have exclusively licensed UCSB’s interest in the co-owned patent family covering certain conditionally activatable antibodies in the fields of therapeutics, in vivo diagnostics and prophylactics.</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These patents and patent applications include claims directed to our PROBODY platform technology, including PROBODY drug conjugates, bispecific and other multi-specific PROBODY therapeutics (including T-cell engaging bispecific PROBODY therapeutics), protease cleavable linkers, and cancer immunotherapy PROBODY therapeutics.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we have exclusively licensed a portfolio of patent families from UCSB that cover compositions and methods related to screening for and identification of masks and protease-cleavable linkers that we have used to design some PROBODY therapeutics and may use to design future PROBODY therapeutics.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for the PROBODY platform, product candidates and processes we develop and commercialize, in the normal course of business, we intend to pursue, where appropriate, patent protection or trade secret protection relating to compositions, methods of manufacture, assay methods, methods of use, treatment of indications, dosing and formulations. We may also pursue patent protection with respect to product development processes and technology.</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continually assess and refine our intellectual property strategy as we develop new platform technologies and product candidates. To that end, we are prepared to file additional patent applications if our intellectual property strategy requires such filings, or where we seek to adapt to competition or seize business opportunities. Further, we are prepared to file patent applications, as we consider appropriate under the circumstances, relating to the new technologies that we develop. In addition to filing and prosecuting patent applications in the United States, we often file counterpart patent applications in European countries and in additional countries where we believe such foreign filing is likely to be beneficial.</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currently issued patents will likely expire on dates ranging from 2028 to 2042, unless we receive patent term extension or adjustment as might be available under applicable law. If patents are issued on our pending patent applications, the resulting patents are projected to expire on dates ranging from 2028 to 2046, unless we receive patent term extension or adjustment.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our patents and patent applications are subject to risks and uncertainties under U.S. and foreign law. We also rely on trademark registration to protect our trademarks. For a more comprehensive discussion of risks related to our proprietary technology, inventions, improvements, platforms and product candidates, please see the section entitled “Risk Factors—Risks Related to Intellectual Property.”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It is our policy to require our employees, consultants, outside scientific collaborators, sponsored researchers and other advisors to execute confidentiality agreements upon the commencement of employment or consulting relationships with us.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confidentiality and other agreements with consultants, outside scientific collaborators, sponsored researchers and other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100"/>
        <w:spacing w:after="0" w:line="282" w:lineRule="auto"/>
        <w:rPr>
          <w:sz w:val="20"/>
          <w:szCs w:val="20"/>
          <w:color w:val="auto"/>
        </w:rPr>
      </w:pPr>
      <w:r>
        <w:rPr>
          <w:rFonts w:ascii="Times New Roman" w:cs="Times New Roman" w:eastAsia="Times New Roman" w:hAnsi="Times New Roman"/>
          <w:sz w:val="18"/>
          <w:szCs w:val="18"/>
          <w:color w:val="auto"/>
        </w:rPr>
        <w:t>advisors require them to assign or grant us licenses to inventions they invent as a result of the work or services they render under such agreements or grant us an option to negotiate a license to use such inventions.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Governmental authorities in the U.S., at the federal, state and local level, and other countries extensively regulate, among other things, the research, development, testing, manufacture, labeling, packaging, promotion, storage, advertising, distribution, marketing and export and import of products such as those we are developing. Our product candidates are subject to regulation in the U.S. as biologics, which must be approved by the FDA through the BLA process before they may be legally marketed in the U.S. and will be subject to similar requirements in other countries prior to marketing in those countries. The process of obtaining regulatory approvals and the subsequent compliance with applicable federal, state, local and foreign statutes and regulations require the expenditure of substantial time and financial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the U.S., the FDA regulates biologics under the Federal Food, Drug, and Cosmetic Act (“FDCA”) and the Public Health Service Act (“PHSA”), and their respective implementing regulations.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 Approval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U.S. generally involves the following:</w:t>
      </w:r>
    </w:p>
    <w:p>
      <w:pPr>
        <w:spacing w:after="0" w:line="117" w:lineRule="exact"/>
        <w:rPr>
          <w:sz w:val="20"/>
          <w:szCs w:val="20"/>
          <w:color w:val="auto"/>
        </w:rPr>
      </w:pPr>
    </w:p>
    <w:p>
      <w:pPr>
        <w:ind w:left="1020" w:right="2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certain nonclinical laboratory tests, animal studies and formulation studies conducted according to good laboratory practices (“GLPs”), and other applicable regulations;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or ethics committee at each clinical site before the trial is commenced;</w:t>
      </w:r>
    </w:p>
    <w:p>
      <w:pPr>
        <w:spacing w:after="0" w:line="117"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(“GCPs”), to establish the safety, purity and potency of the product candidate for its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after completion of all pivotal trials;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product candidate is produced to assess compliance with current good manufacturing practices (“cGMPs”) to assure that the facilities, methods and controls are adequate to preserve the product candidate’s continued safety, purity and potency;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inspections of selected clinical investigation sites to assess compliance with GCPs;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 to permit commercial marketing of the product for its particular labeled uses in the United States.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and Clinical Studies</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Once a biologic product candidate is identified for development, it enters the preclinical, or nonclinical, testing stage. Nonclinical tests include laboratory evaluations of product chemistry, toxicity and formulation, as well as animal studies. An IND sponsor must submit the results of the nonclinical tests, together with manufacturing information and analytical data, to the FDA as part of the IND. Some nonclinical testing may continue even after the IND is submitted. In addition to including the results of the nonclinical studies, the IND will also include a protocol detailing, among other things, the objectives of the clinical trial, the parameters to be used in monitoring safety and the effectiveness criteria to be evaluated if the first phase lends itself to an efficacy evaluation. The IND automatically becomes effective 30 days after receipt by the FDA, unless the FDA, within the 30-day time period, places the IND on clinical hold. In such a case, the IND sponsor and the FDA must resolve any outstanding concerns before clinical trials can begin. A clinical hold may occur at any time while an IND is active and may affect one or more specific studies or all studies conducted under the IND.</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clinical trials must be conducted under the supervision of one or more qualified investigators in accordance with GCPs. Clinical trials must be conducted under protocols detailing the objectives of the trial, dosing procedures, research subject selection and exclusion criteria and the safety and effectiveness criteria to be evaluated. Each protocol, and any subsequent material amendment to the protocol, must be submitted to the FDA as part of the IND. While the IND is active, progress reports summarizing the results of the clinical trials and nonclinical studies performed since the last progress report, among other information, must be submitted at least</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an independent IRB for each site proposing to conduct each clinical trial must review and approve the plan for any clinical trial and its informed consent form before the clinical trial begins at that site and must monitor the study until completion. Some studies also include oversight by an independent group of qualified experts organized by the clinical study sponsor, generally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trials and completed clinical trial results to public registries.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1020" w:right="20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1—The product candidate is initially introduced into healthy human subjects and tested for safety, dosage tolerance, absorption, metabolism, distribution and elimination. In the case of some therapeutic candidates for severe or life-threatening diseases, such as cancer, especially when the product candidate may be inherently too toxic to ethically administer to healthy volunteers, the initial human testing is often conducted in patients.</w:t>
      </w:r>
    </w:p>
    <w:p>
      <w:pPr>
        <w:spacing w:after="0" w:line="71"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2—The product candidate is administered to a limited patient population with the specified disease or condition to identify possible adverse effects and safety risks, to preliminarily evaluate the efficacy of the product for specific targeted diseases and to determine dosage tolerance and optimal dosage.</w:t>
      </w:r>
    </w:p>
    <w:p>
      <w:pPr>
        <w:spacing w:after="0" w:line="6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3—The product candidate is administered to an expanded patient population to further evaluate dosage, clinical efficacy and safety, generally at geographically dispersed clinical study sites. These studies are intended to establish the overall risk-benefit ratio of the product and provide an adequate basis for product approval.</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such “Phase 4” clinical trials as a condition of approval for a BLA.</w:t>
      </w:r>
    </w:p>
    <w:p>
      <w:pPr>
        <w:spacing w:after="0" w:line="176"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During the development of a new biologic product candidate, sponsors are given opportunities to meet with the FDA at certain points; specifically, prior to the submission of an IND, at the end of Phase 2 and before a BLA is submitted. Meetings at other times may be requested. These meetings can provide an opportunity for the sponsor to share information about the data gathered to date and for the FDA to provide advice on the next phase of development.</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Sponsors typically use the meeting at the end of Phase 2 to discuss their Phase 2 clinical results and present their plans for the pivotal Phase 3 clinical trial that they believe will support the approval of the product candidate.</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the manufacturer must develop methods for testing the safety, purity and potency of the product candidate. Additionally, appropriate packaging must be selected and tested, and stability studies must be conducted to demonstrate that the biologic product candidate does not undergo unacceptable deterioration over its shelf life.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a BLA to the FDA</w:t>
      </w:r>
    </w:p>
    <w:p>
      <w:pPr>
        <w:spacing w:after="0" w:line="11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results of product development, including results from nonclinical studies and clinical trials, along with descriptions of the manufacturing process, analytical tests and other control mechanisms, proposed labeling and other relevant information are submitted to the FDA as part of a BLA requesting approval to market the product for one or more indications.</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BLA must be accompanied by a significant user fee. The FDA adjusts the PDUFA user fees on an annual basis. PDUFA also imposes an annual program fee for marketed products. Fee waivers or reductions are available in certain circumstances, such as where a waiver is necessary to protect the public health, where the application seeks an indication covered by an Orphan Drug Designation, where the fee would present a significant barrier to innovation, or where the applicant is a small business submitting its first human therapeutic application for review.</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a BLA to determine, among other things, whether the proposed product is safe, pure and potent for its intended use, and whether the facility in which it is being manufactured, processed, packaged, or held meets standards designed to assure the product’s continued safety, purity and potency in accordance with cGMP. Under the PDUFA guidelines that are currently in effect, the FDA has a goal to complete a standard review of an original BLA within ten months after the filing date, or, if the application qualifies for Priority Review, within six months after the filing date.</w:t>
      </w:r>
    </w:p>
    <w:p>
      <w:pPr>
        <w:spacing w:after="0" w:line="19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GCP requirements.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After the FDA evaluates the BLA and the manufacturing facilities, it issues either an approval letter or a complete response letter. An approval letter authorizes commercial marketing of the product with specific prescribing information for specific indications. A complete response letter generally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a resubmitted application in a condition for approval. If a complete response letter is issued, the applicant may either resubmit the BLA, addressing all of the deficiencies identified in the letter, or withdraw the application.</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Even if a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 condition of BLA approval, the FDA may require a Risk Evaluation and Mitigation Strategy (“REMS”) to ensure that the benefits of the drug outweigh its risks. If the FDA determines a REMS is necessary prior to or during review of the application, the sponsor must submit a REMS as part of its application, and the FDA will not approve a BLA without a REMS, if required. A REMS program may be required to include various elements, such as a medication guide or patient package insert, a communication plan to educate healthcare providers of the product’s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Further, product approval may require substantial post-approval testing and surveillance to monitor the product’s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supplement before the changes can be implemented. A supplement for a new indication typically requires clinical data, and the FDA uses similar procedures in reviewing supplements as it does in reviewing original applications.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Companion Diagnostics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Some of our product candidates may require use of an in vitro diagnostic to identify appropriate patient populations.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companion diagnostic tests require marketing clearance or approval from the FDA prior to commercial distribution. The two primary types of FDA marketing authorization applicable to a medical device are premarket notification, also called 510(k) clearance, and premarket approval (“PMA”).</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use of a companion diagnostic is essential to safe and effective use of a biologic product, then the FDA generally will require approval or clearance of the diagnostic contemporaneously with the approval of the biologic product. According to FDA guidance, for novel product candidates such as drugs and therapeutic biologics, a companion diagnostic device and its corresponding product candidate should be approved or cleared contemporaneously by FDA for the use indicated in the product labeling. The guidance also explains that a companion diagnostic device used to make treatment decisions in clinical trials of a product candidate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(“IDE”) regulations. Thus, the sponsor of the diagnostic device will be required to comply with the IDE regulations. Even where a diagnostic is not considered a significant risk device, the sponsor must still follow abbreviated IDE regulations in connection with its use. According to FDA guidance, if a diagnostic device and a drug or biologic product candidate are to be studied together to support their respective approvals, both products can be studied in the same investigational study, if the study meets both the requirements of the IDE regulations and the IND regulations. Depending on the details of the study plan and subjects, a sponsor may seek to submit an IND alone, or both an IND and an IDE.</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FDA generally requires companion diagnostics intended to select the patients who will respond to cancer treatment to obtain approval of a PMA for that diagnostic contemporaneously with approval of the therapeutic product.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also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In addition, as part of the PMA review, the FDA will typically inspect the manufacturer’s facilities for compliance with the Quality Management System Regulation (“QMSR”) which represents FDA’s GMP requirements for medical devices, and imposes elaborate testing, control, documentation and other quality assurance requirements.</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9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QMSR,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w:t>
      </w:r>
    </w:p>
    <w:p>
      <w:pPr>
        <w:spacing w:after="0" w:line="22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 product candidate may be eligible for Fast Track designation if it is intended to treat a serious or life-threatening disease or condition and demonstrates the potential to address unmet medical needs for the disease or condition. Fast Track designation applies to the combination of the product candidate and the specific indication for which it is being studied. The sponsor of a Fast Track product candidate has opportunities for frequent interactions with the review team during product development and, once a BLA is submitted, the application may be eligible for Priority Review. A BLA for a Fast Track product candidate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After a BLA is submitted for a product candidate, including a product candidate with a Fast Track designation and/or Breakthrough Therapy designation, the BLA may be eligible for other types of FDA programs intended to expedite the FDA review and approval process, such as Priority Review. A BLA is eligible for Priority Review if the product candidate has the potential to provide a significant improvement in the treatment, diagnosis or prevention of a serious disease or condition compared to available products. Priority review designation means the FDA’s goal is to take action on the marketing application within six months of the 60-day filing date, compared to ten months under standard review.</w:t>
      </w:r>
    </w:p>
    <w:p>
      <w:pPr>
        <w:spacing w:after="0" w:line="18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trials, product candidates studied for their safety and effectiveness in treating serious or life-threatening diseases or conditions may receive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trials be underway prior to granting accelerated approval. Products receiving Accelerated Approval may be subject to expedited withdrawal procedures if the sponsor fails to conduct the required confirmatory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Term Restoration and Marketing Exclusivity</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therapeutic candidates, some of our U.S. patents may be eligible for limited patent term extension under the Drug Price Competition and Patent Term Restoration Act of 1984, referred to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product candidate’s approval date. The patent term restoration period is generally one half of the time between the effective date of an IND and the submission date of a BLA, plus the time between the submission date of a BLA and the approval of that application, except that the review period is reduced by any time during which the applicant failed to exercise due diligence. Only one patent applicable to an approved product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BLA.</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Affordable Care Act, signed into law in 2010, includes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FDA’s issuance of a written request does not obligate the sponsor to conduct the requested study.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11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therapeutic candidates intended to treat a rare disease or condition, which is generally a disease or condition that affects either (1) fewer than 200,000 individuals in the U.S., or (2) more than 200,000 individuals in the U.S. and for which there is no reasonable expectation that the cost of developing and making available in the U.S. a product candidate for this type of disease or condition will be recovered from sales in the U.S. for that product candidate. Orphan drug designation entitles the applicant to incentives, which may include grant funding towards clinical study costs, tax advantages, and waivers of FDA user fees. Orphan Drug Designation must be requested before submitting a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 product candidate that has Orphan Drug Designation subsequently receives the first FDA approval for the disease or condition for which it has such designation, the product candidate is entitled to orphan product exclusivity, which means that the FDA may not approve any other applications to market the same product for the same approved indication or use within such rare disease or condition for seven years, except under limited circumstances, such as a showing of clinical superiority to the product with orphan drug exclusivity in the relevant indication or use, or if the FDA finds that the holder of the orphan drug exclusivity has not shown that it can assure the availability of sufficient quantities of the orphan drug to meet the needs relating to the approved indication or use of patients with the disease or condition for which the drug was designated. Orphan drug exclusivity does not prevent the FDA from approving a different drug for the same indication or use within the relevant disease or condition, or the same drug for any indication or use within a different disease or condition. Among the other benefits of orphan drug designation are tax credits for certain research and a waiver of the BLA application user fee.</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within the relevant indication or use or if the manufacturer of the approved product is unable to assure sufficient quantities of the product to meet the needs relating to the approved indication or use of patients with the applicable rare disease or condition.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Pediatric Research Equity Act (“PREA”) requires a sponsor to conduct pediatric studies for most therapeutic candidates and biologics, for a new active ingredient, new indication, new dosage form, new dosing regimen or new route of administration. Under</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t>PREA, original BLAs and supplements thereto must contain a pediatric assessment unless the sponsor has received a deferral or waiver. The required assessment must assess the safety and effectiveness of the product candidate for the claimed indications in all relevant pediatric subpopulations and support dosing and administration for each pediatric subpopulation for which the product candidate is determined to be safe, pure and potent. The sponsor or FDA may request a deferral of pediatric studies for some or all of the pediatric subpopulations. A deferral may be granted for several reasons, including a finding that the product candidate or biologic is ready for approval for use in adults before pediatric studies are complete or that additional safety or effectiveness data needs to be collected before the pediatric studies begin. The law requires the FDA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post the PREA Non-Compliance letter and sponsor’s responses.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Once a BLA approval is granted, the FDA may withdraw the approval if compliance with regulatory requirements is not maintained or if problems occur after the biologic product reaches the market. Later discovery of previously unknown problems with a product candidate may result in restrictions on the product candidate or even complete withdrawal of the product candidate from the market. After approval, some types of changes to the approved product, such as adding new indications, manufacturing changes and additional labeling claims, are subject to further FDA review and approval. In addition, the FDA may under some circumstances require testing and surveillance programs to monitor the effect of approved product that have been commercialized, and the FDA under some circumstances has the power to prevent or limit further marketing of a product candidate based on the results of these post-marketing programs.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Biologic manufacturers and other entities involved in the manufacture and distribution of approved therapeutic products are required to register their establishments with the FDA and certain state agencies and are subject to periodic unannounced inspections by the FDA and some state agencies for compliance with cGMPs and other laws. The FDA periodically inspects manufacturing facilities to assess compliance with cGMP, which imposes extensive procedural, substantive and record-keeping requirements. In addition, changes to the manufacturing process are strictly regulated, and, depending on the significance of the change, may require FDA approval before being implemented. FDA regulations would also require investigation and correction of any deviations from cGMP and impose reporting and documentation requirements upon us and any third-party manufacturers that we may decide to use if our product candidates are approved.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alerts, Dear Healthcare Provider letters, press releases or other communications containing warning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BLAs or supplements to approved BLAs, or 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products. However, companies may share truthful and not misleading information that is otherwise consistent with a product’s FDA-approved labelling.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will be subject to regulations of other jurisdictions governing any clinical trials and commercial sales and distribution of our therapeutic candidates. Whether or not we obtain FDA approval for a product, we must obtain approval by the comparable regulatory authorities of countries outside of the U.S. before we can commence clinical trials in such countries and approval of the regulators of such countries or economic areas, such as the European Union, before we may market products in those countries or areas. The approval process and requirements governing the conduct of clinical trials, product licensing, pricing and reimbursement vary greatly from place to place, and the time may be longer or shorter than that required for FDA approval.</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European Union regulatory systems, a company can consider applying for marketing authorization in several European Union member states by submitting its marketing authorization application(s) under a centralized, decentralized or mutual recognition procedure. The centralized procedure provides for the grant of a single marketing authorization that is valid for all European Union member states. The centralized procedure is compulsory for medicines derived from biotechnology, orphan medicinal products, or those medicines with an active substance not authorized in the European Union on or before May 20, 2004 intended to treat acquired immune deficiency syndrome (“AIDS”), cancer, neurodegenerative disorders or diabetes and optional for those medicines containing a new active substance not authorized in the European Union on or before May 20, 2004, medicines which are highly innovative, or medicines to which the granting of a marketing authorization under the centralized procedure would be in the interest of patients at the European Union-level. The decentralized procedure provides for recognition by European Union national authorities of a first assessment performed by one of the member states. Under this procedure, an identical application for marketing authorization is submitted simultaneously to the national authorities of several European Union member states, one of them being chosen as the “Reference Member State”, and the remaining being the “Concerned Member States”. The Reference Member State must prepare and send drafts of an assessment report, summary of product characteristics and the labelling and package leaflet within 120 days after receipt of a valid marketing authorization application to the Concerned Member States, which must decide within 90 days whether to recognize approval. If any Concerned Member State does not recognize the marketing authorization on the grounds of potential serious risk to public health, the disputed points are eventually referred to the European Commission, whose decision is binding on all member states. The mutual recognition procedure is similar to the decentralized procedure except that a medicine must have already received a marketing authorization in at least one of the member states, and that member state acts as the Reference Member State.</w:t>
      </w:r>
    </w:p>
    <w:p>
      <w:pPr>
        <w:spacing w:after="0" w:line="19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in the U.S., we may apply for designation of a product candidate as an orphan drug for the treatment of a specific indication in the European Union before the application for marketing authorization is made.</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Orphan drugs in the European Union enjoy economic and marketing benefits, including up to ten years of market exclusivity for the approved indication unless another applicant can show that its product is safer, more effective or otherwise clinically superior to the orphan-designated product, the marketing authorization holder is unable to supply sufficient quantity of the medicinal product or the marketing authorization holder has given its consent.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These third-party payors are increasingly reducing reimbursements for medical products and services. Additionally, the containment of healthcare costs has become a priority of federal and state governments and the prices of therapeutics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payors do not consider our products to be cost-effective compared to other therapies, they may not cover our products after approval as a benefit under their plans or, if they do, the level of payment may not be sufficient to allow us to sell our products on a profitable basis.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(together, the “ACA”) has had a significant impact on the health care industry. The ACA expanded coverage for the uninsured while at the same time containing overall healthcare costs. With regard to biopharmaceutical products, the ACA, among other things, addressed a new methodology by which rebates owed by manufacturers under the Medicaid Drug Rebate Program are calculated for drugs that are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140"/>
        <w:spacing w:after="0" w:line="258" w:lineRule="auto"/>
        <w:rPr>
          <w:sz w:val="20"/>
          <w:szCs w:val="20"/>
          <w:color w:val="auto"/>
        </w:rPr>
      </w:pPr>
      <w:r>
        <w:rPr>
          <w:rFonts w:ascii="Times New Roman" w:cs="Times New Roman" w:eastAsia="Times New Roman" w:hAnsi="Times New Roman"/>
          <w:sz w:val="18"/>
          <w:szCs w:val="18"/>
          <w:color w:val="auto"/>
        </w:rPr>
        <w:t>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that impact payment methodologies and reimbursement amounts. On August 2, 2011, the Budget Control Act of 2011 among other things, created measures for spending reductions by Congress, which led to aggregate reductions to Medicare payments to providers, starting in April 2013, and due to subsequent legislative amendments, will stay in effect through 2032, with the exception of a temporary suspension from May 1, 2020 through March 31, 2022, unless additional Congressional action is taken. On January 2, 2013, the American Taxpayer Relief Act of 2012 (the “ATRA”) was signed into law which, among other things, also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eliminated the statutory cap on drug manufactures' Medicaid drug rebate liability, which was previously set at 100% of a drug’s average manufacturer price, beginning January 1, 2024.</w:t>
      </w:r>
    </w:p>
    <w:p>
      <w:pPr>
        <w:spacing w:after="0" w:line="1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or IRA, was signed into law. Among other things, the IRA requires manufacturers of certain drugs to engage in price negotiations with Medicare,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The Centers for Medicare &amp; Medicaid Services, or CMS, has published the negotiated prices for the initial ten drugs, which went into effect in 2026 and the subsequent 15 drugs, which will first be effective in 2027, as well as the next set of 15 drugs that will be subject to negotiation, although the drug price negotiation program is currently subject to legal challenges. For that and other reasons, it is currently unclear how the IRA will be effectuated.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cannot predict the extent of the impact of any changes to any of these laws on us.</w:t>
      </w:r>
    </w:p>
    <w:p>
      <w:pPr>
        <w:spacing w:after="0" w:line="19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 Trump proposals will be implemented, the Trump policies may have a negative impact on the pharmaceutical industry and on our ability to receive adequate revenues for any product candidate that we commercialize. On the one hand, President Trump has indicated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40"/>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investigational products that receive approval. Adoption of other new legislation or regulation at the federal, state, or foreign level could further limit reimbursement for pharmaceuticals, including our product candidates if approved.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also be subject to healthcare regulation and enforcement by the federal government and the states and foreign governments where we may market our product candidates, if approved. These laws include, without limitation, state and federal anti-kickback, fraud and abuse, false claims, physician and other health care provider payment and drug pricing transparency laws and regulations.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The Anti-Kickback Statute is subject to evolving interpretations. In the past,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Additionally, the civil False Claims Act prohibits knowingly presenting or causing the presentation of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In addition, the government may assert that a claim including items or services resulting from a violation of the federal Anti-Kickback Statute constitutes a false or fraudulent claim for purposes of the federal False Claims Act. Actions under the False Claims Act may be brought by the Attorney General or as a qui tam action by a private individual in the name of the government. The federal government is using the False Claims Act, and the accompanying threat of significant liability, in its investigation and prosecution of pharmaceutical and biotechnology companies throughout the U.S., for example, in connection with the promotion of products for unapproved uses and other sales and marketing practices. The government has obtained multi-million and multi-billion-dollar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U.S. federal Health Insurance Portability and Accountability Act of 1996 (“HIPAA”),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has also been a recent trend of increased federal and state regulation of payments made to physicians and other healthcare providers. The ACA, among other things, imposes new reporting requirements on drug manufacturers for payments made by them to physicians (as defined by statute), certain non-physician practitioners including physician assistants and nurse practitioners and teaching hospitals, as well as ownership and investment interests held by physicians and their immediate family members. Certain states also mandate implementation of compliance programs and compliance with the pharmaceutical industry’s voluntary compliance guidelines and the relevant compliance guidance promulgated by the federal government, impose restrictions on drug manufacturer marketing practices and/or require the tracking and reporting of pricing and marketing information as well as gifts, compensation and other remuneration or items of value provided to physicians and other healthcare professionals and entities.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1" w:name="page32"/>
    <w:bookmarkEnd w:id="31"/>
    <w:p>
      <w:pPr>
        <w:ind w:right="400"/>
        <w:spacing w:after="0" w:line="266" w:lineRule="auto"/>
        <w:rPr>
          <w:sz w:val="20"/>
          <w:szCs w:val="20"/>
          <w:color w:val="auto"/>
        </w:rPr>
      </w:pPr>
      <w:r>
        <w:rPr>
          <w:rFonts w:ascii="Times New Roman" w:cs="Times New Roman" w:eastAsia="Times New Roman" w:hAnsi="Times New Roman"/>
          <w:sz w:val="18"/>
          <w:szCs w:val="18"/>
          <w:color w:val="auto"/>
        </w:rPr>
        <w:t>Penalties for violating any of such laws or any other governmental regulations that apply include, without limitation, administrative, civil and criminal penalties, damages, fines, disgorgement, the curtailment or restructuring of operations, exclusion from participation in federal and state healthcare programs, integrity oversight and reporting obligations to resolve allegations of non-compliance and imprisonment.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third-party manufacturers are subject to inspections by the FDA for compliance with cGMP and other U.S. regulatory requirements, including U.S. federal, state and local regulations regarding environmental protection and hazardous and controlled substance controls, among others. Environmental laws and regulations are complex, change frequently and have tended to become more stringent over time. We have incurred, and may continue to incur, significant expenditures to ensure we are in compliance with these laws and regulations. We would be subject to significant penalties for failure to comply with these laws and regulations.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Origins and Team</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technology has its origins in work performed at the University of California, Santa Barbara (“UCSB”), by our scientific founder Professor Patrick Daugherty. Since our inception, we have continued to make advances to this technology, while also creating other technology, and aspire to design a pipeline of PROBODY therapeutics that will better the lives of cancer patients. We have assembled an experienced and talented group of individuals dedicated to the advancement of cancer care. Our chief executive officer and chairman, Dr. Sean McCarthy, leads a team that draws on robust experience in all phases of product discovery, clinical development and commercialization. Our management team members have significant experience in oncology with previous experience at Amylin Pharmaceuticals, Catalyst Biosciences, Coherus BioSciences, Elan Pharmaceuticals, Eli Lilly and Company, Exelixis, Genentech, Harpoon, Millennium, Novartis, Onyx Pharmaceuticals, Portola Pharmaceuticals, Replicate, SGX and other companies.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we had 69 full-time employees. Of these employees, 50 were primarily engaged in research and development activities. None of our employees are represented by a labor union or covered by collective bargaining agreements and we consider our employee relations to be good.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operations commenced in February 2008 when our predecessor entity was formed. We were incorporated in Delaware in September 2010. We maintain our executive offices at 151 Oyster Point Blvd., Suite 400, South San Francisco, California 94080, and our main telephone number is (650) 515-3185.</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view our operations and measure our business as one reportable segment operating in the United States. See Note 2 and Note 16 to our audited financial statements included elsewhere in this Annual Report on Form 10-K for additional information. Additional information required by this item is incorporated herein by reference to PART II. Item 8 of this Annual Report on Form 10-K.</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research and development expenses were $68.7 million and $83.4 million for the years ended December 31, 2025 and 2024, respectively. Please see “Management’s Discussion and Analysis of Financial Condition and Results of Operations-Research and Development Expenses” for additional detail regarding our research and development activities.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line="258"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www.cytomx.com</w:t>
      </w:r>
      <w:r>
        <w:rPr>
          <w:rFonts w:ascii="Times New Roman" w:cs="Times New Roman" w:eastAsia="Times New Roman" w:hAnsi="Times New Roman"/>
          <w:sz w:val="18"/>
          <w:szCs w:val="18"/>
          <w:color w:val="auto"/>
        </w:rPr>
        <w:t xml:space="preserve">, which contains information about us.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99" w:right="5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You should consider carefully the risks and uncertainties described below, together with all of the other information in this Annual Report on Form 10-K,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us. Risks and uncertainties not currently known to us or that we currently deem to be immaterial also may materially adversely affect our business, financial condition, results of operations and/or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3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80"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developing a novel class of therapeutic product candidates, based on our proprietary biologic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conditionally activated technology platform. Since our inception, we have devoted our resources to the development of PROBODY therapeutics. We have had significant operating losses since our inception. As of December 31, 2025 and December 31, 2024, we had an accumulated deficit of $711.9 million and $691.6 million, respectively. Substantially all of our losses have resulted from expenses incurred in connection with our research and development programs and from general and administrative costs associated with our operations.</w:t>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mid- or late-stage clinical trials, including large-scale, pivotal clinical trials, obtain regulatory approvals, arrange for a third party to manufacture a commercial-scale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over time as we continue the development of our pipeline and advance additional programs into clinical development.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90"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 In January 2025, we restructured the company and reduced headcount by approximately 40% to preserve capital and focus on high priority programs. In May 2025, we raised approximately $93.4 million of net proceeds through an underwritten public offering of our common stock. As a result, we believe we have sufficient capital to operate into the second quarter of 2027. We will need to raise additional funds to continue our efforts. However, financial market conditions, including the public equity markets, and government regulation, including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uncertainties of potential legislation under the new administration, may continue to make it difficult for biotechnology companies to raise additional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predict when or if market conditions will change.</w:t>
      </w:r>
    </w:p>
    <w:p>
      <w:pPr>
        <w:spacing w:after="0" w:line="23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investments of $137.1 million. We believe that our existing capital resources will be sufficient to fund our planned operations into the second quarter of 2027. Our future capital requirements and the period for which we expect our existing resources to support our operations may vary significantly from what we expect and we may not achieve the expected cash flow savings that we anticipate as a result of our recent restructuring. Our monthly spending levels vary based on our ongoing clinical trials, new and ongoing research and development and other corporate activities.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progress of our ongoing clinical trials as well as any other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size and type of clinical trials and preclinical studies that we may be required to complete for our product candidates, as well as the cost and time of such studies and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scope and prioritization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produce clinical supplies of our product candidates;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scale our manufacturing capabilities prior to or following regulatory approval and commercial launch of any product candidates;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have entered or may in the future enter into collaborations and research and development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payments we may receive or are obligated to pay under our collaboration agreements and license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licenses and research and development programs and to establish new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existing or future litigation to which we are or may become a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For example, in November 2023, we announced that we would not direct significant further investment in the development of CX-2029 and in the first quarter of 2025 terminated the program.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sales of our common stock, sale of our convertible preferred securities prior to our IPO, payments received under our collaboration agreements, including the collaboration and license agreements that we entered into with each of Regeneron and Moderna in November and December 2022, respectively, and funding we received through the sales of our equity securities in July 2023 and May 2025.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Additionally, our stock price has declined and our ability to raise adequate funding through equity offerings, if at all, may be limited.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5" w:name="page36"/>
    <w:bookmarkEnd w:id="35"/>
    <w:p>
      <w:pPr>
        <w:ind w:right="20"/>
        <w:spacing w:after="0" w:line="266" w:lineRule="auto"/>
        <w:rPr>
          <w:sz w:val="20"/>
          <w:szCs w:val="20"/>
          <w:color w:val="auto"/>
        </w:rPr>
      </w:pPr>
      <w:r>
        <w:rPr>
          <w:rFonts w:ascii="Times New Roman" w:cs="Times New Roman" w:eastAsia="Times New Roman" w:hAnsi="Times New Roman"/>
          <w:sz w:val="18"/>
          <w:szCs w:val="18"/>
          <w:color w:val="auto"/>
        </w:rPr>
        <w:t>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is the case with all oncology drugs, our product candidates in clinical development or preclinical development go through a long process and have a high risk of failure, including termination for strategic reasons. It is impossible to predict when or if any of our or our partner’s product candidates will prove safe, pure and potent (or effective) in humans or will receive regulatory approval. Before obtaining marketing approval from regulatory authorities for the sale of any product candidate, we or our partners must complete extensive clinical trials to demonstrate the safety, purity and potency (or efficacy) of our product candidates in humans. Commencement of initial clinical trials for future programs is subject to finalizing the trial design and submission of an IND or similar submission to the FDA or similar global health authorities. In addition, even if we submit an IND or a comparable submission in other jurisdictions for our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clinical trials under such IND,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 For example, in March 2025, based on clinical observations to date and CytomX pipeline priorities, Amgen and we jointly decided to terminate the CX-904 program.</w:t>
      </w:r>
    </w:p>
    <w:p>
      <w:pPr>
        <w:spacing w:after="0" w:line="2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75"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any companion diagnostic to be used in a clinical trial;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requiring us to submit additional data or imposing other requirements before permitting us to initiate a clinical trial;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authority clearance to commence a clinical trial;</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agreement on acceptable terms with prospective contract research organizations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institutional review board (“IRB”) approval at each clinical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clinical trial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our product candidates in sufficient quality and quantity for use in clinical trials;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electing to not pursue development and commercialization of our product candidates.</w:t>
      </w:r>
    </w:p>
    <w:p>
      <w:pPr>
        <w:spacing w:after="0" w:line="25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1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and ultimately commercialize such product candidates, or experience significant delays in doing so, our business will be materially harmed.</w:t>
      </w:r>
    </w:p>
    <w:p>
      <w:pPr>
        <w:spacing w:after="0" w:line="13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We are very early in our development efforts, including with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and CX-801 currently continuing in early-stage clinical development.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purity and potency (or efficacy) of our product candidates in patients.</w:t>
      </w:r>
    </w:p>
    <w:p>
      <w:pPr>
        <w:spacing w:after="0" w:line="21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54" w:lineRule="exact"/>
        <w:rPr>
          <w:sz w:val="20"/>
          <w:szCs w:val="20"/>
          <w:color w:val="auto"/>
        </w:rPr>
      </w:pPr>
    </w:p>
    <w:p>
      <w:pPr>
        <w:ind w:left="1020" w:right="56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or allowances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17"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or our collaborators’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the development or approval of companion diagnostic tests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the manufacturing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could find that the therapeutics we or our collaborators pursue are not safe, pure, potent (or efficacious). For example, in March 2025, based on clinical observations to date and CytomX pipeline priorities, Amgen and we jointly decided to terminate the CX-904 program.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21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ind w:right="100"/>
        <w:spacing w:after="0" w:line="256" w:lineRule="auto"/>
        <w:rPr>
          <w:sz w:val="20"/>
          <w:szCs w:val="20"/>
          <w:color w:val="auto"/>
        </w:rPr>
      </w:pPr>
      <w:r>
        <w:rPr>
          <w:rFonts w:ascii="Times New Roman" w:cs="Times New Roman" w:eastAsia="Times New Roman" w:hAnsi="Times New Roman"/>
          <w:sz w:val="18"/>
          <w:szCs w:val="18"/>
          <w:color w:val="auto"/>
        </w:rPr>
        <w:t>unsafe or commercially unviable, the development of our entire platform and pipeline could be delayed, potentially permanently. For example, in March 2023, AbbVie announced that it would not advance CX-2029 into additional clinical trials and terminated our 2016 CD71 License and Collaboration Agreement for CX-2029. In November 2023, we announced that we would not direct significant further investment in the development of CX-2029 and in the first quarter of 2025 terminated the program. Any similar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8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data from our clinical trials, including the ongoing Phase 1 clinical trials of Varseta-M or CX-801, that we announce or publish from time to time may change as more patient data become available and are subject to audit and verification procedures that could result in material changes in the final data.</w:t>
      </w:r>
    </w:p>
    <w:p>
      <w:pPr>
        <w:spacing w:after="0" w:line="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For example, in May 2024, we disclosed initial data from our ongoing Phase 1a dose escalation clinical trial of CX-904. In March 2025, based on clinical observations to date and CytomX pipeline priorities, Amgen and we jointly decided to terminate the CX-904 program.</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top-line, or interim data and final data could significantly harm our business prospects.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including Varseta-M and CX-801,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including Varseta-M and CX-801. Our lead program, Varseta-M, is an antibody drug conjugate which is in a class of therapy known to drive potent anti-cancer activity, but that often have side effects or adverse events that need to be managed in order for patients to derive benefits from treatment. There can be no assurance that unexpected adverse events will not occur in our ongoing trials, including the ongoing Phase 1 clinical trials of Varseta-M or CX-801,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21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results of our or our collaborators’ future clinical trials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May 2025 and in March 2026, we announced positive interim data from our ongoing Phase 1 clinical trial with Varseta-M. While we believe interim data supports the potential to reach a favorable therapeutic index, we also reported treatment related adverse events, including diarrhea, nausea, vomiting, and anemia, and in August 2025, we announced that a single Grade 5 treatment-related acute kidney injury occurred in a patient with a complex medical history including having a solitary kidney. We cannot provide assurance that we will reach an acceptable or tolerable dose for Varseta-M or CX-801. Furthermore, any ongoing or future clinical trials of our product candidates, including those for Varseta-M and CX-801, could face risks related to undesirable side effects, including unacceptable toxicity.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ind w:right="40"/>
        <w:spacing w:after="0" w:line="253" w:lineRule="auto"/>
        <w:rPr>
          <w:sz w:val="20"/>
          <w:szCs w:val="20"/>
          <w:color w:val="auto"/>
        </w:rPr>
      </w:pPr>
      <w:r>
        <w:rPr>
          <w:rFonts w:ascii="Times New Roman" w:cs="Times New Roman" w:eastAsia="Times New Roman" w:hAnsi="Times New Roman"/>
          <w:sz w:val="18"/>
          <w:szCs w:val="18"/>
          <w:color w:val="auto"/>
        </w:rPr>
        <w:t>In the event that our clinical trials or the clinical trials of our collaborators reveal severe adverse side effects, our or our collaborators’ clinical trials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occurrences of side effects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required to recall the product or change the way the product is administered to patients;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to conduct post-marketing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adverse side effects caused by any drugs of other companies utilizing the same or similar therapeutic agents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172"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68"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target patient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or condition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therapies for the disease or condition under investigation;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9" w:name="page40"/>
    <w:bookmarkEnd w:id="39"/>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a trial;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5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There can be no assurance that new or further trials with our current or future drug candidates will not be adversely affected by a limited patient population. Our clinical trials of Varseta-M and CX-801 study patients who have one or a select number of specific tumor types rather than patients suffering from any cancer, which limits the rate of enrollment of the trial. In addition, some of our clinical trials may seek to treat indications with small population sizes which could be particularly difficult to enroll. The clinical trials for our molecules also compete with thousands of clinical trials with alternative anti-cancer drugs in similar classes (e.g. antibody-drug conjugates), and certain arms of the clinical trials may be difficult to enroll due to the emerging standard of care for such indications in certain jurisdictions, including the United States. Likewise, our clinical trials of Varseta-M and CX-801 are also competing with thousands of other anti-cancer clinical trials. Any clinical trials of our product candidates initiated by our collaborators will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or our collaborators’ clinical trials, which may materially and adversely affect our business, financial condition, results of operations and prospects.</w:t>
      </w:r>
    </w:p>
    <w:p>
      <w:pPr>
        <w:spacing w:after="0" w:line="1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conduct clinical trials and contract with third-party manufacturers in foreign countries, including Europe and China, which could expose us to risks that could have a material adverse effect on the success of our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enrolled or are planning to enroll patients in our clinical trials outside the United States, including in Europe. While we generally conduct our clinical trials primarily or partially in the U.S.,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(“GCPs”)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 was not subject to an IND, the FDA will not accept the data as support for an application for marketing approval unless the study was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addition, we currently contract manufacturing operations to third parties, and certain of our product candidates are manufactured by and will in the future be manufactured by third parties outside the U.S., including in Europe and China. For example, we have a contract with a third-party manufacturer located in China for product candidates, including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and CX-801, and accordingly we are exposed to the possibility of drug product supply disruption, delay and increased costs in the event of changes in the policies of the U.S., European or Chinese governments, including political unrest or unstable economic conditions in China or elsewhere.</w:t>
      </w:r>
    </w:p>
    <w:p>
      <w:pPr>
        <w:spacing w:after="0" w:line="185"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Further, in 2025, the BIOSECURE Act was enacted into law, and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right="100"/>
        <w:spacing w:after="0" w:line="255" w:lineRule="auto"/>
        <w:rPr>
          <w:sz w:val="20"/>
          <w:szCs w:val="20"/>
          <w:color w:val="auto"/>
        </w:rPr>
      </w:pPr>
      <w:r>
        <w:rPr>
          <w:rFonts w:ascii="Times New Roman" w:cs="Times New Roman" w:eastAsia="Times New Roman" w:hAnsi="Times New Roman"/>
          <w:sz w:val="18"/>
          <w:szCs w:val="18"/>
          <w:color w:val="auto"/>
        </w:rPr>
        <w:t>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Conducting clinical trials and contracting with third-party manufacturers outside the United States also exposes us to additional risks, including risks associated with additional foreign regulatory requirements; foreign exchange fluctuations; tariffs; patient monitoring and compliance; compliance with foreign manufacturing, customs, shipment and storage requirements; and cultural differences in medical practice and clinical research. We are also subject to risks associated with doing business globally, including commercial, political, and financial risks. In addition, we are subject to potential 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r>
        <w:rPr>
          <w:rFonts w:ascii="Times New Roman" w:cs="Times New Roman" w:eastAsia="Times New Roman" w:hAnsi="Times New Roman"/>
          <w:sz w:val="18"/>
          <w:szCs w:val="18"/>
          <w:b w:val="1"/>
          <w:bCs w:val="1"/>
          <w:i w:val="1"/>
          <w:iCs w:val="1"/>
          <w:color w:val="auto"/>
        </w:rPr>
        <w:t>.</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rely on third-party contract manufacturers to manufacture our clinical trial and preclinical study product supplies, some of which are located in foreign countries. Most of our clinical trial manufacturing contractors and suppliers are our sole source for their respective manufacturing and supplies. Failure of any of these contractors could put our ability to have clinical trial material available when needed at risk. Any such failure to have clinical trial material available when needed could result in a substantial delay of our clinical trials. For each of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and CX-801 our manufacturing supply chain includes several contract manufacturers, and failure by any of these manufacturers could result in interruptions of our clinical studies. Although we are taking steps to manage our long-term supply of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there can be no assurance that we will not have production failures in the future, which could affect our ability to conduct our trials for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or any other clinical trial drug candidates, including CX-801,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w:t>
      </w:r>
      <w:r>
        <w:rPr>
          <w:rFonts w:ascii="Times New Roman" w:cs="Times New Roman" w:eastAsia="Times New Roman" w:hAnsi="Times New Roman"/>
          <w:sz w:val="18"/>
          <w:szCs w:val="18"/>
          <w:b w:val="1"/>
          <w:bCs w:val="1"/>
          <w:i w:val="1"/>
          <w:iCs w:val="1"/>
          <w:color w:val="auto"/>
        </w:rPr>
        <w:t>.</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manufacturing production failures our contract manufacturer experienced in 2023,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right="420"/>
        <w:spacing w:after="0" w:line="282" w:lineRule="auto"/>
        <w:rPr>
          <w:sz w:val="20"/>
          <w:szCs w:val="20"/>
          <w:color w:val="auto"/>
        </w:rPr>
      </w:pPr>
      <w:r>
        <w:rPr>
          <w:rFonts w:ascii="Times New Roman" w:cs="Times New Roman" w:eastAsia="Times New Roman" w:hAnsi="Times New Roman"/>
          <w:sz w:val="18"/>
          <w:szCs w:val="18"/>
          <w:color w:val="auto"/>
        </w:rPr>
        <w:t>applicable regulations and guidelines. The delays associated with the verification of a new manufacturer could negatively affect our ability to develop product candidates in a timely manner or within budget</w:t>
      </w:r>
      <w:r>
        <w:rPr>
          <w:rFonts w:ascii="Times New Roman" w:cs="Times New Roman" w:eastAsia="Times New Roman" w:hAnsi="Times New Roman"/>
          <w:sz w:val="18"/>
          <w:szCs w:val="18"/>
          <w:b w:val="1"/>
          <w:bCs w:val="1"/>
          <w:i w:val="1"/>
          <w:iCs w:val="1"/>
          <w:color w:val="auto"/>
        </w:rPr>
        <w:t>.</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 collaborator;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supply chain for the manufacturing of our product candidates is complicated and can involve many parties. This is especially the case for our clinical-stage conditionally activated ADCs.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It may prove more challenging than we anticipate to manufacture products that incorporate our PROBODY therapeutic technology. In order to conduct clinical trials of our product candidates, including our clinical trials for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and CX-801, we will need to manufacture them in large quantities. There can be no assurance that we will not have future production failures, which could affect our ability to conduct our trials for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or CX-801 or any other clinical trial drug candidates on our planned timeline or at all. Furthermore, in order to conduct later stage clinical trials of our product candidates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However, we may have to start late-stage trials with our early clinical trial drug product and switch to late-stage or commercial drug product mid trial. In such event, the FDA will require us to complete bridging studies to compare the earlier stage material with late-stage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any of our product candidates, increase the life of drug stability of product candidates, or successfully complete the FDA’s bridging requirements,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9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We plan to continue to develop a pipeline of product candidates using our proprietary PROBODY platform. We believe that product candidates (including cancer immunotherapies, conditionally activated ADCs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w:t>
      </w:r>
      <w:r>
        <w:rPr>
          <w:rFonts w:ascii="Times New Roman" w:cs="Times New Roman" w:eastAsia="Times New Roman" w:hAnsi="Times New Roman"/>
          <w:sz w:val="19"/>
          <w:szCs w:val="19"/>
          <w:color w:val="auto"/>
        </w:rPr>
        <w:t>Varseta-M</w:t>
      </w:r>
      <w:r>
        <w:rPr>
          <w:rFonts w:ascii="Times New Roman" w:cs="Times New Roman" w:eastAsia="Times New Roman" w:hAnsi="Times New Roman"/>
          <w:sz w:val="18"/>
          <w:szCs w:val="18"/>
          <w:color w:val="auto"/>
        </w:rPr>
        <w:t xml:space="preserve"> and CX-801.</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ind w:right="40"/>
        <w:spacing w:after="0" w:line="251" w:lineRule="auto"/>
        <w:rPr>
          <w:sz w:val="20"/>
          <w:szCs w:val="20"/>
          <w:color w:val="auto"/>
        </w:rPr>
      </w:pPr>
      <w:r>
        <w:rPr>
          <w:rFonts w:ascii="Times New Roman" w:cs="Times New Roman" w:eastAsia="Times New Roman" w:hAnsi="Times New Roman"/>
          <w:sz w:val="18"/>
          <w:szCs w:val="18"/>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antigen-binding domain of the PROBODY may not be constant, which could lead to intermittent periods when the antigen-binding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dually-masked antibody, the removal of both masks from the dually-masked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anti-drug antibody (“ADA”), that may inhibit the ability of the antibody to reach the target tissue, inhibit the ability of the antibody to bind to its target, cause adverse side effects in humans or cause hypersensitivity reactions. However, we cannot provide assurance that it will not later limit drug exposure or cause severe adverse events for our other drug candidates.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3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the scientific evidence to support the feasibility of developing product candidates against novel, difficult to drug targets, is both preliminary and limited. For example, our understanding of the expression of our drug targets in both healthy and diseased tissues is still developing. As a result, we cannot provide any assurance that we will be able to successfully identify and advance any product candidates to target novel, difficult-to-drug targets.</w:t>
      </w:r>
    </w:p>
    <w:p>
      <w:pPr>
        <w:spacing w:after="0" w:line="20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Additionally, we entered into a collaboration with Moderna for the development of mRNA based product candidates. We do not know whether our PROBODY platform will be able to successfully develop product candidates utilizing this mRNA technology.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believe that the FDA and foreign regulatory authorities have limited experience with conditionally activated therapeutics in oncology, such experience primarily coming from us with our prior development of CX-904, praluzatamab ravtansine, CX-2029, BMS-986249, BMS-986288, and pacmilimab, and more recently, with other competitors with early stage conditionally activated therapeutics. We believe that such limited experience may increase the complexity, uncertainty and length of the regulatory approval process for our product candidates and may keep us from commencing first-in-human trials in certain countries. As there is limited historical precedent for the regulatory approval of conditionally activated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for which there are existing approved therapies. Market acceptance of our product candidates will depend on, among other factors:</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marketing and commercialization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approvals and the countries in which approvals are obtained;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purity, potency (or efficacy) of our product candidates, including those being developed by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adverse side effects associated with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any labeling approved by the FDA or other regulatory authority;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effective companion diagnostics;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any new methods of administration;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government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 indications our product candidates are intended to treat and the relative risks, benefits and costs of those treatments.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5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8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Since 2013, we have entered into collaborations with AbbVie, Amgen, Astellas, Bristol Myers Squibb, ImmunoGen, Moderna, Pfizer, Regeneron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Our partners have chosen multiple targets for research, some of which continue to be advanced and others which do not continue to advance. Our partners will continue to choose early research targets from time to time, some of which will advance into further research and development and some of which will not.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collaborators may terminate the relevant agreement. Overall, collaborations involving our product candidates currently pose, and will continue to pose, the following risks to us:</w:t>
      </w:r>
    </w:p>
    <w:p>
      <w:pPr>
        <w:spacing w:after="0" w:line="89" w:lineRule="exact"/>
        <w:rPr>
          <w:sz w:val="20"/>
          <w:szCs w:val="20"/>
          <w:color w:val="auto"/>
        </w:rPr>
      </w:pPr>
    </w:p>
    <w:p>
      <w:pPr>
        <w:ind w:left="1020" w:right="46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 including the preclinical collaboration programs with Bristol Myers Squibb, Amgen, Astellas, Regeneron and Moderna;</w:t>
      </w:r>
    </w:p>
    <w:p>
      <w:pPr>
        <w:spacing w:after="0" w:line="53"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left="1020" w:right="5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designing any clinical trials they operate pursuant to our collaboration agreements and may release data from such clinical trials, including with respect to our PROBODY therapeutics, without consulting us;</w:t>
      </w:r>
    </w:p>
    <w:p>
      <w:pPr>
        <w:spacing w:after="0" w:line="5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6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rights of third parties, which may expose us to litigation and potential liability;</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53" w:lineRule="exact"/>
        <w:rPr>
          <w:rFonts w:ascii="Times New Roman" w:cs="Times New Roman" w:eastAsia="Times New Roman" w:hAnsi="Times New Roman"/>
          <w:sz w:val="18"/>
          <w:szCs w:val="18"/>
          <w:color w:val="auto"/>
        </w:rPr>
      </w:pPr>
    </w:p>
    <w:p>
      <w:pPr>
        <w:ind w:left="1020" w:right="10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89"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For example, in January 2023, we announced topline results of the Phase 2 expansion cohorts of CX-2029 and in March 2023, AbbVie decided not to continue the future development of CX-2029. CytomX re-acquired full rights to CX-2029, however, in the fourth quarter of 2023, we decided to not to make any further significant investments in the solid tumor CX-2029 program and terminated the program in the first quarter of 2025. Additionally, in March 2025, based on clinical observations to date and our pipeline priorities, Amgen and we jointly decided to terminate the CX-904 program.</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Substantially all of our revenue to date has been derived from our existing collaboration agreements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21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2023, AbbVie terminated our 2016 CD71 License and Collaboration Agreement, and from time to time some of our research programs have been terminated by our partners. The termination of any of our collaboration agreements or individual programs within a collaboration agreement could result in a change to our business plan and may have a material adverse effect on our business, financial condition, results of operations and prospects. If a collaboration or program is terminated, we would not be eligible to receive the milestone, royalty or other payments that would have been payable under the collaboration agreement. For example, in March 2025, based on clinical observations to date and CytomX</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ind w:right="40"/>
        <w:spacing w:after="0" w:line="282" w:lineRule="auto"/>
        <w:rPr>
          <w:sz w:val="20"/>
          <w:szCs w:val="20"/>
          <w:color w:val="auto"/>
        </w:rPr>
      </w:pPr>
      <w:r>
        <w:rPr>
          <w:rFonts w:ascii="Times New Roman" w:cs="Times New Roman" w:eastAsia="Times New Roman" w:hAnsi="Times New Roman"/>
          <w:sz w:val="18"/>
          <w:szCs w:val="18"/>
          <w:color w:val="auto"/>
        </w:rPr>
        <w:t>pipeline priorities, Amgen and we jointly decided to terminate the CX-904 program and we will not receive any milestone or other payments from them on this program.</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the commercialization of any of our product candidates may be delayed, or never attained, and our business will be harmed.</w:t>
      </w:r>
    </w:p>
    <w:p>
      <w:pPr>
        <w:spacing w:after="0" w:line="6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capital resources or capital constraints we experience;</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trial eligibility criteria;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approvals by the FDA and other regulatory authorities and the timing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decisions or rules issued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materials used in the manufacture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supply clinical trial materials to our clinical sites on a timely basis;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of our collaborators with respect to the commercialization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securing of, costs related to, and timing issues associated with, product manufacturing as well as sales and marketing activities.</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we fail to achieve announced milestones in the timeframes we expect, the commercialization of any of our product candidates may be delayed or never attained, and our business and results of operations may be harmed.</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expenses and present significant distractions to our management.</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Since commencing operations, we have entered into several collaboration agreements. Most recently, in November 2022 and December 2022, we entered into strategic collaborations with Regeneron and Moderna, respectively. From time to time, we may consider additional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In July 2022, in connection with our announcement of Phase 2 topline results for praluzatamab ravtansine, we communicated our plans to seek collaborators to advance the program further, however, we did not obtain a collaborator for that program. The competition for collaborators is intense and there can be no assurances that we will be able to secure any collaboration for any of our programs. The negotiation process for strategic collaborations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ind w:right="260"/>
        <w:spacing w:after="0" w:line="261" w:lineRule="auto"/>
        <w:rPr>
          <w:sz w:val="20"/>
          <w:szCs w:val="20"/>
          <w:color w:val="auto"/>
        </w:rPr>
      </w:pPr>
      <w:r>
        <w:rPr>
          <w:rFonts w:ascii="Times New Roman" w:cs="Times New Roman" w:eastAsia="Times New Roman" w:hAnsi="Times New Roman"/>
          <w:sz w:val="18"/>
          <w:szCs w:val="18"/>
          <w:color w:val="auto"/>
        </w:rPr>
        <w:t>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developed in conjunction with clinical programs for the associated product candidate and are subject to regulation by the FDA and similar regulatory authorities outside the United States as medical devices and require separate regulatory approval prior to commercialization. Specifically,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The approval or clearance of a companion diagnostic as part of the therapeutic product’s further labeling limits the use of the therapeutic product to only those patients who express the specific characteristic that the companion diagnostic was developed to detect.</w:t>
      </w:r>
    </w:p>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Given our limited experience in developing companion diagnostic tests, we could seek to rely on third parties to design, manufacture, and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as well as applicable laws and regulations. The FDA requires preclinical studies to be conducted in accordance with good laboratory practices (“GLPs”) and clinical trials to be conducted in accordance with GCPs and other applicable regulations, including for designing, conducting, recording and reporting the results of preclinical studies and clinical trials to assure that data and reported results are credible and accurate and that the rights, integrity and confidentiality of clinical trial participants are protected. Regulatory authorities enforce GCPs through periodic inspections of trial sponsors, principal investigators and trial sites. Our reliance on third parties that we do not control will not relieve us of these responsibilities and requirements. If we or any of our CROs or trial sites fail to comply with applicable GLP, GCP or other requirements, the data generated in our clinical trials may be deemed unreliable, and the FDA or comparable foreign regulatory authorities may require us to perform additional clinical trials before approving our marketing applications, if ever.</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be asked to serve as scientific advisors or consultants to us from time to time and may receive compensation in connection with such services. If these relationships and any related compensation result in perceived or actual conflicts of interest, or the FDA concludes that the financial relationship may have affected the interpretation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7" w:name="page48"/>
    <w:bookmarkEnd w:id="47"/>
    <w:p>
      <w:pPr>
        <w:jc w:val="both"/>
        <w:ind w:right="820"/>
        <w:spacing w:after="0" w:line="266" w:lineRule="auto"/>
        <w:rPr>
          <w:sz w:val="20"/>
          <w:szCs w:val="20"/>
          <w:color w:val="auto"/>
        </w:rPr>
      </w:pPr>
      <w:r>
        <w:rPr>
          <w:rFonts w:ascii="Times New Roman" w:cs="Times New Roman" w:eastAsia="Times New Roman" w:hAnsi="Times New Roman"/>
          <w:sz w:val="18"/>
          <w:szCs w:val="18"/>
          <w:color w:val="auto"/>
        </w:rPr>
        <w:t>the study, the integrity of the data generated at the applicable clinical trial site may be questioned and the utility of the clinical trial itself may be jeopardized, which could result in the delay or rejection by the FDA of any BLA we submit. Any such delay or rejection could prevent us from commercializing our product candidates.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specific product candidates and indications. For example, in July 2022, we announced that we would not continue the development of pralauzatamab ravtansine without a partner. Additionally, in the first quarter of 2025, we terminated the CX-2029 program. As a result, we may forgo or delay pursuit of opportunities with those products in other indications or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growth and expanding when needed.</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Since 2022 we have maintained a relatively steady number of employees in our workforce and maintained activities to manage our pipeline, including research activities and efforts to establish and run clinical trials for Varseta-M, CX-904 and CX-801. However, in January 2025, we announced that we would reduce our workforce, primarily research and general and administrative staff, by approximately 40% to preserve capital for ongoing clinical trials and collaboration partner activities. In the future we may need to grow our organization substantially to continue development and pursue the potential commercialization of our product candidates, including Varseta-M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8"/>
          <w:szCs w:val="18"/>
          <w:color w:val="auto"/>
        </w:rPr>
        <w:t xml:space="preserve"> CX-801,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 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21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8" w:name="page49"/>
    <w:bookmarkEnd w:id="48"/>
    <w:p>
      <w:pPr>
        <w:spacing w:after="0" w:line="254" w:lineRule="auto"/>
        <w:rPr>
          <w:sz w:val="20"/>
          <w:szCs w:val="20"/>
          <w:color w:val="auto"/>
        </w:rPr>
      </w:pPr>
      <w:r>
        <w:rPr>
          <w:rFonts w:ascii="Times New Roman" w:cs="Times New Roman" w:eastAsia="Times New Roman" w:hAnsi="Times New Roman"/>
          <w:sz w:val="18"/>
          <w:szCs w:val="18"/>
          <w:color w:val="auto"/>
        </w:rPr>
        <w:t>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product candidates are approved, they will compete with a range of therapeutic treatments that are either in development or currently marketed. A variety of oncology drugs and therapeutic biologics are currently on the market or in clinical development.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face substantial competition from pharmaceutical companies developing products in oncology, including companies such as Amgen, AstraZeneca PLC, Bristol Myers Squibb, GlaxoSmithKline plc, Merck &amp; Co., Inc. Novartis AG, Pfizer, Roche Holding Ltd. and Sanofi SA. Many large and mid-sized biotech companies, including BeiGene, Incyte, Nektar, and Alkermes have ongoing efforts in cancer immunotherapy. Several companies, including Adagene, Amgen, Sanofi, BioAtla, Halozyme, Janux Therapeutics, Roche, Takeda, Vir Biotechnology, Werewolf Therapeutics and Xilio are exploring antibody masking and/or conditional activation strategies, which could compete with our PROBODY platform. We are also aware of several companies that are developing ADCs, such as AbbVie, ADC Therapeutics, Astra Zeneca, BMS, Daiichi Sankyo, Gilead, Merck &amp; Co., Pfizer, Roche Holding Ltd. and Takeda. Companies like Gilead and Jazz are pursuing development programs in the cytokine space.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 capitalized and may have significant clinical experience. In addition, these companies include our collaborators.</w:t>
      </w:r>
    </w:p>
    <w:p>
      <w:pPr>
        <w:spacing w:after="0" w:line="2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CRC, there are an increasing number of experimental therapies with different mechanisms of action under investigation, including therapies that are directed against CRC subtypes defined by biologic features including, but not limited to, KRAS mutational status, BRAF mutational status, MSI, and surface protein expression (e.g., cMET, CECAM5, HER2, EGFR). For example, AbbVie is developing ABBV-400 for a subset of CRC patients in a Phase 3 clinical trial. These novel competitor agents, alone or in combination with other anti-cancer agents, may potentially impact the approval of or adoption of therapeutics for the treatment of CRC.</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attract and retain qualified key management and technical personnel would impair our ability to implement our business plan.</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success largely depends on the continued service of key management, advisors and other specialized personnel, including Sean A. McCarthy, D.Phil., our chief executive officer and chairman.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In particular, as a result of the COVID-19 pandemic, the ability of employees to engage in a remote working environment increased the competitive landscape across the country for us in seeking qualified employees. Employees are now able to consider opportunities across the country and it may be more difficult to hire employees. Furthermore, it is more difficult to engage employees in Company culture and build working rapport when they are working remotely. As a result, it may be more difficult to retain employees on a long-term basis.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9" w:name="page50"/>
    <w:bookmarkEnd w:id="49"/>
    <w:p>
      <w:pPr>
        <w:ind w:right="60"/>
        <w:spacing w:after="0" w:line="282" w:lineRule="auto"/>
        <w:rPr>
          <w:sz w:val="20"/>
          <w:szCs w:val="20"/>
          <w:color w:val="auto"/>
        </w:rPr>
      </w:pPr>
      <w:r>
        <w:rPr>
          <w:rFonts w:ascii="Times New Roman" w:cs="Times New Roman" w:eastAsia="Times New Roman" w:hAnsi="Times New Roman"/>
          <w:sz w:val="18"/>
          <w:szCs w:val="18"/>
          <w:color w:val="auto"/>
        </w:rPr>
        <w:t>for personnel from other companies, universities, public and private research institutions, government entities and other organizations in the biotechnology industry across the country and especially in the San Francisco Bay Area.</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imposed in foreign markets may adversely affect our future profitability.</w:t>
      </w:r>
    </w:p>
    <w:p>
      <w:pPr>
        <w:spacing w:after="0" w:line="13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some countries, particularly member states of the European Union and the United Kingdom,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significant product liability risks inherent in the development, testing, manufacturing and marketing of therapeutic treatments, including as a result of the clinical testing of our prior clinical candidates, our current clinical candidates, including Varseta-M and CX-801, and any other product candidates we may have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18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0" w:name="page51"/>
    <w:bookmarkEnd w:id="50"/>
    <w:p>
      <w:pPr>
        <w:spacing w:after="0" w:line="253" w:lineRule="auto"/>
        <w:rPr>
          <w:sz w:val="20"/>
          <w:szCs w:val="20"/>
          <w:color w:val="auto"/>
        </w:rPr>
      </w:pPr>
      <w:r>
        <w:rPr>
          <w:rFonts w:ascii="Times New Roman" w:cs="Times New Roman" w:eastAsia="Times New Roman" w:hAnsi="Times New Roman"/>
          <w:sz w:val="18"/>
          <w:szCs w:val="18"/>
          <w:color w:val="auto"/>
        </w:rPr>
        <w:t>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9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6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gradually increased our laboratory research activities to normal levels, and adopted a hybrid work from home model, there can be no assurance that a future pandemic or other event will not impact our ability to conduct business.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Additionally, for the purpose of revenue recognition, we are required to estimate the amount of effort to complete, as measured by full-time equivalent hours of our research development programs. Such estimates are inherently uncertain and may result in changes in subsequent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35"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ind w:right="40"/>
        <w:spacing w:after="0" w:line="266" w:lineRule="auto"/>
        <w:rPr>
          <w:sz w:val="20"/>
          <w:szCs w:val="20"/>
          <w:color w:val="auto"/>
        </w:rPr>
      </w:pPr>
      <w:r>
        <w:rPr>
          <w:rFonts w:ascii="Times New Roman" w:cs="Times New Roman" w:eastAsia="Times New Roman" w:hAnsi="Times New Roman"/>
          <w:sz w:val="18"/>
          <w:szCs w:val="18"/>
          <w:color w:val="auto"/>
        </w:rPr>
        <w:t>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 technology and products as well as methods of use and production thereof; we have exclusively licensed UCSB’s interest in the patent family co-owned with UCSB that covers certain conditionally activatable antibodies in the fields of therapeutics,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diagnostics and prophylactics. In addition, we have exclusively licensed a patent portfolio of three patent families from UCSB that includes patents that cover compositions and methods related to the screening for and identification of the masks that we incorporate into some of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2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There could also be delays at the USPTO caused by staffing cuts and other U.S. government actions as a result of the U.S. Department of Government Efficiency or other executive actions to reduce the size of the U.S. government.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in 2011 involves significant changes in patent legislation. However, there remains many subsisting issued patents and some pending patent applications in the U.S. that were filed prior to its enactment and are therefore subject to the pre-AIA U.S. patent laws and that may have relevance to our freedom-to-operate or ability to obtain patent issuances. The Supreme Court has ruled on several patent cases in recent years, some of which cases either narrow the scope of patent protection available in certain circumstances or weaken the rights of patent owners in certain situations. We can make no assurance that our interpretations of Supreme Court decisions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Once granted, patents may be subject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2" w:name="page53"/>
    <w:bookmarkEnd w:id="52"/>
    <w:p>
      <w:pPr>
        <w:ind w:right="320"/>
        <w:spacing w:after="0" w:line="282" w:lineRule="auto"/>
        <w:rPr>
          <w:sz w:val="20"/>
          <w:szCs w:val="20"/>
          <w:color w:val="auto"/>
        </w:rPr>
      </w:pPr>
      <w:r>
        <w:rPr>
          <w:rFonts w:ascii="Times New Roman" w:cs="Times New Roman" w:eastAsia="Times New Roman" w:hAnsi="Times New Roman"/>
          <w:sz w:val="18"/>
          <w:szCs w:val="18"/>
          <w:color w:val="auto"/>
        </w:rPr>
        <w:t>period of time, the patent owner may be compelled to limit the scope of the allowed or granted claims thus attacked, or may lose the allowed or granted claims altogether. In addition, there can be no assurance that:</w:t>
      </w:r>
    </w:p>
    <w:p>
      <w:pPr>
        <w:spacing w:after="0" w:line="54" w:lineRule="exact"/>
        <w:rPr>
          <w:sz w:val="20"/>
          <w:szCs w:val="20"/>
          <w:color w:val="auto"/>
        </w:rPr>
      </w:pPr>
    </w:p>
    <w:p>
      <w:pPr>
        <w:ind w:left="1020" w:right="24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make the inventions covered by each of our issued patents and pending patent applications that we own or license.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our collaborators are the first to file patent applications covering certain aspects of our inventions.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not challenge our patents and, if challenged, a court would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issued patents that we own or have licensed will provide us with any competitive advantages or will not be challenged by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 material or adverse effect on our business, financial condition, results of operations and prospects.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Conditionally-activated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therapeutic compositions of matter as well as their methods of manufacturing and use.</w:t>
      </w:r>
    </w:p>
    <w:p>
      <w:pPr>
        <w:spacing w:after="0" w:line="21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100"/>
        <w:spacing w:after="0" w:line="261" w:lineRule="auto"/>
        <w:rPr>
          <w:sz w:val="20"/>
          <w:szCs w:val="20"/>
          <w:color w:val="auto"/>
        </w:rPr>
      </w:pPr>
      <w:r>
        <w:rPr>
          <w:rFonts w:ascii="Times New Roman" w:cs="Times New Roman" w:eastAsia="Times New Roman" w:hAnsi="Times New Roman"/>
          <w:sz w:val="18"/>
          <w:szCs w:val="18"/>
          <w:color w:val="auto"/>
        </w:rPr>
        <w:t>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example, in March 2022, Russia adopted a decree allowing local companies and individuals to use inventions from certain countries designated as “unfriendly”, including the U.S. Further, under current U.S. currency restrictions on payments to entities in Russia, we may be unable in the future to pay for the prosecution of patent applications or the maintenance of existing patents in Russia. As a result of these actions, we may not be able to protect our technology from unlicensed use in Russia.</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2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Further, on June 1, 2023, the European Union Patent Package regulations were implemented with the goal of providing a single pan-European Unitary Patent and a new European Unified Patent Court (the “UPC”) for litigation involving European patents, which has become a common forum for challenging patents in the pharmaceutical space. The UPC will provide our competitors with a new forum to centrally revoke our European patents, and allow for the possibility of a competitor to obtain pan-European injunction.</w:t>
      </w:r>
    </w:p>
    <w:p>
      <w:pPr>
        <w:spacing w:after="0" w:line="17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or our licensors, or any future strategic partners may become subject to third-party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86"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filed a patent infringement lawsuit against us in the U.S.</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District Court for the District of Delaware. The lawsuit alleged that our use, offers to sell, and/or sales of the PROBODY technology platform for basic research applications constituted infringement. The complaint sought unspecified monetary damages. On October 17, 2024 the Court dismissed plaintiff’s case, and on October 28, 2024, the Court ordered the case to be closed.</w:t>
      </w:r>
    </w:p>
    <w:p>
      <w:pPr>
        <w:spacing w:after="0" w:line="21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20"/>
        <w:spacing w:after="0" w:line="261" w:lineRule="auto"/>
        <w:rPr>
          <w:sz w:val="20"/>
          <w:szCs w:val="20"/>
          <w:color w:val="auto"/>
        </w:rPr>
      </w:pPr>
      <w:r>
        <w:rPr>
          <w:rFonts w:ascii="Times New Roman" w:cs="Times New Roman" w:eastAsia="Times New Roman" w:hAnsi="Times New Roman"/>
          <w:sz w:val="18"/>
          <w:szCs w:val="18"/>
          <w:color w:val="auto"/>
        </w:rPr>
        <w:t>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188"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Because the therapeutic landscape is still evolving, including the masked biologics landscape, it is difficult to conclusively assess our freedom to operate without infringing on third-party rights. There are numerous companies that have pending patent applications and issued patents broadly covering masked therapeutics generally or covering masked therapeutics directed against the same targets as, or targets similar to, those we are pursuing. An increasing number of third parties are filing masked therapeutics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spacing w:after="0" w:line="255"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21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licenses from Amgen, AbbVie (formerly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186"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14"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right="380"/>
        <w:spacing w:after="0" w:line="282" w:lineRule="auto"/>
        <w:rPr>
          <w:sz w:val="20"/>
          <w:szCs w:val="20"/>
          <w:color w:val="auto"/>
        </w:rPr>
      </w:pPr>
      <w:r>
        <w:rPr>
          <w:rFonts w:ascii="Times New Roman" w:cs="Times New Roman" w:eastAsia="Times New Roman" w:hAnsi="Times New Roman"/>
          <w:sz w:val="18"/>
          <w:szCs w:val="18"/>
          <w:color w:val="auto"/>
        </w:rPr>
        <w:t>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We may also need to share our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4"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the FDA launched Project Optimus, an initiative to reform the dose optimization and dose selection paradigm in oncology drug development. While the effort is intended to help drive better ultimate outcomes in the development of oncology drugs, these efforts could also lead to longer and more expensive early development efforts for companies, including us, before we are able to initiate registrational studies for our product candidates. It is possible that none of the product candidates we may develop will obtain the regulatory approvals necessary for us or our existing or future collaborators to begin selling them.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5540" w:right="4460" w:hanging="5023"/>
        <w:spacing w:after="0" w:line="532" w:lineRule="auto"/>
        <w:tabs>
          <w:tab w:leader="none" w:pos="10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execution of our clinical trials;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significance or persuasiveness required by the FDA or comparable foreign regulatory agencies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similar to our product candidates;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that are conducted at clinical facilities or in countries where the standard of care is potentially different from that of their own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or other submission or to obtain regulatory approval in the U.S. or elsewhere, and such authorities may impose requirements for additional preclinical studies or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or facilities of the third-party manufacturers with which we contract for clinical and commercial supplies;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or other government actions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8" w:name="page59"/>
    <w:bookmarkEnd w:id="58"/>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could be subject to labeling and other restrictions and market withdrawal and we may be subject to penalties if we fail to comply with regulatory requirements or experience unanticipated problems with our products.</w:t>
      </w:r>
    </w:p>
    <w:p>
      <w:pPr>
        <w:spacing w:after="0" w:line="6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post-marketing clinical trials and surveillance programs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cGMPs and other applicable regulations and standards. In addition, any regulatory approvals we may receive will require the submission of periodic reports to regulatory authorities and ongoing surveillance to monitor the safety and efficacy of the product. Such approvals may also contain significant limitations related to use restrictions for specified age groups, warnings, precautions or contraindications, and may include burdensome post-approval study or risk management requirements. For example, the FDA may require a REMS as a condition of approval of our product candidates, which could include requirements for a medication guide, physician training and communication plans or additional elements to ensure safe use, such as restricted distribution methods, patient registries and other risk minimization tools.</w:t>
      </w:r>
    </w:p>
    <w:p>
      <w:pPr>
        <w:spacing w:after="0" w:line="19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1020" w:right="1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disgorgement of profits or revenues,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our strategic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5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Affordable Care Act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ind w:right="20"/>
        <w:spacing w:after="0" w:line="258"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Moreover, the extent to which a biosimilar, once approved, will be substituted for any one of our reference products in a way that is similar to traditional generic substitution for non-biological products is not yet clear, and will depend on a number of marketplace factors.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staffing limitations,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inherently fluid and unpredictable. Disruptions at the FDA and other agencies may also slow the time necessary for therapeutic biologics or modifications to approved therapeutic biologics to be reviewed and/or approved by necessary government agencies, which would adversely affect our business. For example, in recent years, the U.S. government has shut down several times and certain regulatory agencies, such as the FDA, have had to furlough FDA employees and stop critical activities. In addition, the current U.S. Presidential administration has issued certain policies and Executive Orders directed towards reducing the employee headcount and costs associated with U.S. administrative agencies, including the FDA, which have led to substantial staff turnover, and it remains unclear the degree to which these efforts may limit or otherwise adversely affect the FDA’s ability to conduct routine activities.</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policy changes, funding shortages, or staffing limitations prevent the FDA or other regulatory authorities from conducting their regular inspections, reviews or other activities, such events could significantly impact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and adverse effect on our business and results of operations.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and government regulation.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 and therapeutic biologics.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However, the ACA continues to be discussed in Congress and future changes to the ACA could negatively impact our potential business and financial results.</w:t>
      </w:r>
    </w:p>
    <w:p>
      <w:pPr>
        <w:spacing w:after="0" w:line="2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In March 2021, the American Rescue Plan Act of 2021 was signed into law, which eliminated the statutory cap on drug manufacturers’ Medicaid drug rebate liability, previously set at 100% of a drug’s average manufacturer price, beginning January 1, 2024. In August 2022, the Inflation Reduction Act of 2022, or IRA, was signed into law. Among other things, the IRA requires manufacturers of certain drugs to engage in price negotiations with Medicare,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CMS has published the negotiated prices for the initial ten drugs, which went into effect in 2026 and the subsequent 15 drugs, which will first be effective in 2027, as well as the list of the next set of 15 drugs that will be subject to negotiation, although the drug price negotiation program is currently subject to legal challenges. For that and other reasons, it is currently unclear how the IRA will be effectuated. These laws and future laws may negatively impact the ability of biotechnology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ind w:right="220"/>
        <w:spacing w:after="0" w:line="282" w:lineRule="auto"/>
        <w:rPr>
          <w:sz w:val="20"/>
          <w:szCs w:val="20"/>
          <w:color w:val="auto"/>
        </w:rPr>
      </w:pPr>
      <w:r>
        <w:rPr>
          <w:rFonts w:ascii="Times New Roman" w:cs="Times New Roman" w:eastAsia="Times New Roman" w:hAnsi="Times New Roman"/>
          <w:sz w:val="18"/>
          <w:szCs w:val="18"/>
          <w:color w:val="auto"/>
        </w:rPr>
        <w:t>companies, including us, to raise funds from investors for or to obtain collaboration partners who assist us in the funding of research and development of future medicines.</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any product candidate that we commercialize.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regulatory proposals or executive actions that are ultimately deemed unlawful could negatively impact the U.S. pharmaceutical sector and our business.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marketing cost disclosure, drug price reporting and other transparency measures. Some states have enacted legislation creating so-called prescription drug affordability boards, which ultimately may attempt to impose price limits on certain drugs in these states, and at least one state board is imposing an upper payment limit.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for our investigational products that receive approval.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if and when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spacing w:after="0" w:line="81" w:lineRule="exact"/>
        <w:rPr>
          <w:sz w:val="20"/>
          <w:szCs w:val="20"/>
          <w:color w:val="auto"/>
        </w:rPr>
      </w:pPr>
    </w:p>
    <w:p>
      <w:pPr>
        <w:ind w:left="1020" w:hanging="503"/>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ind w:left="1020" w:right="6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ind w:left="1020" w:right="280" w:hanging="503"/>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non-physician practitioners (physician assistants, nurse practitioners, clinical nurse specialists, anesthesiologist assistants, certified registered nurse anesthetists and certified nurse midwives) and teaching hospitals, as well as ownership and investment interests held by the physicians described above and their immediate family members; and</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w:t>
      </w:r>
    </w:p>
    <w:p>
      <w:pPr>
        <w:spacing w:after="0" w:line="2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2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68"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seizures or administrative detention of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and fines.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2" w:name="page63"/>
    <w:bookmarkEnd w:id="62"/>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regulatory environment surrounding data privacy and security is increasingly demanding. We are or may in the future be subject to numerous U.S. federal and state laws and non-U.S. regulations governing the collection, use, disclosure, retention, and security of personal and confidential information of our clinical subjects, clinical investigators, employees and vendors/business contacts.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2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22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operations abroad may also be subject to increased scrutiny or attention from data protection authorities. For example, we may be subject to the General Data Protection Regulation (“EU GDPR”) and to the United Kingdom General Data Protection Regulation and Data Protection Act 2018 (collectively, the “UK GDPR”) (the EU GDPR and UK GDPR together referred to as the “GDPR”). The GDPR imposes stringent requirements for processing the personal data of individuals within the EEA and the UK. Companies that must comply with the GDPR face increased compliance obligations and risk, including more robust regulatory enforcement of data protection requirements and potential fines for noncompliance of up to 4% total worldwide annual turnover or €20 million / £17.5 million, whichever is higher.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spacing w:after="0" w:line="2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significant fines, penalties and damage to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ind w:right="240"/>
        <w:spacing w:after="0" w:line="282" w:lineRule="auto"/>
        <w:rPr>
          <w:sz w:val="20"/>
          <w:szCs w:val="20"/>
          <w:color w:val="auto"/>
        </w:rPr>
      </w:pPr>
      <w:r>
        <w:rPr>
          <w:rFonts w:ascii="Times New Roman" w:cs="Times New Roman" w:eastAsia="Times New Roman" w:hAnsi="Times New Roman"/>
          <w:sz w:val="18"/>
          <w:szCs w:val="18"/>
          <w:color w:val="auto"/>
        </w:rPr>
        <w:t>reputation, and we may be forced to change the way we operate. This could result in additional cost and liability to us, which could negatively affect our business, results of operation,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the evolving regulatory framework for AI Technologies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or our investments in such technologies will always enhance our products or services or be beneficial to our business, including our efficiency or profitability.</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its performance and accuracy decreases over time without further human intervention to correct such decay.</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not be successful in our ongoing development and maintenance of these technologies in the face of novel and evolving technical, reputational and market factors. Our efforts to develop proprietary AI models could increase our operating costs. Our ability to develop proprietary AI models may be limited by our access to processing infrastructure or training data, and we may be dependent on third-party providers for such resources.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Failure to appropriately respond to this evolving landscape may result in reputational, competitive and business harm as well as litigation and regulatory action and fines, penalties and expenses related thereto.</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4" w:name="page65"/>
    <w:bookmarkEnd w:id="64"/>
    <w:p>
      <w:pPr>
        <w:ind w:right="60"/>
        <w:spacing w:after="0" w:line="282" w:lineRule="auto"/>
        <w:rPr>
          <w:sz w:val="20"/>
          <w:szCs w:val="20"/>
          <w:color w:val="auto"/>
        </w:rPr>
      </w:pPr>
      <w:r>
        <w:rPr>
          <w:rFonts w:ascii="Times New Roman" w:cs="Times New Roman" w:eastAsia="Times New Roman" w:hAnsi="Times New Roman"/>
          <w:sz w:val="18"/>
          <w:szCs w:val="18"/>
          <w:color w:val="auto"/>
        </w:rPr>
        <w:t>the sale of the product in that country. Adverse pricing limitations may hinder our ability to recoup our investment in one or more product candidates, even if our product candidates obtain regulatory approval.</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Fast track designation provides increased opportunities for sponsor meetings with the FDA during preclinical and clinical development, in addition to the potential for rolling review of a BLA, if the sponsor provides a schedule for the submission of the sections of the BLA, the FDA agrees to accept sections of the BLA and determines that the schedule is acceptable, and the sponsor pays any required user fees upon submission of the first section of the BLA.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1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21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attempt to secure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ind w:right="20"/>
        <w:spacing w:after="0" w:line="254" w:lineRule="auto"/>
        <w:rPr>
          <w:sz w:val="20"/>
          <w:szCs w:val="20"/>
          <w:color w:val="auto"/>
        </w:rPr>
      </w:pPr>
      <w:r>
        <w:rPr>
          <w:rFonts w:ascii="Times New Roman" w:cs="Times New Roman" w:eastAsia="Times New Roman" w:hAnsi="Times New Roman"/>
          <w:sz w:val="18"/>
          <w:szCs w:val="18"/>
          <w:color w:val="auto"/>
        </w:rPr>
        <w:t>We may in the future seek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19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accelerated approval pathway may be used in cases in which the advantage of a product candidate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predicted clinical benefit. If such post-approval studies fail to confirm the drug’s clinical benefit or are not completed in a timely manner, the FDA may withdraw its approval of the drug on an expedited basis. In addition, the Food and Drug Omnibus Reform Act of 2022 provided FDA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the candidate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or condition for which it has such designation, the product is entitled to orphan drug exclusivity, which means that the FDA may not approve any other applications, including a full BLA, to market the same product for the same approved indication or use within such rare disease or condition or seven years, except in limited circumstances, such as a showing of clinical superiority to the product with orphan drug exclusivity in the relevant indication or use or where the manufacturer is unable to assure sufficient product quantity.</w:t>
      </w:r>
    </w:p>
    <w:p>
      <w:pPr>
        <w:spacing w:after="0" w:line="2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Even if we obtain Orphan Drug Designation for our product candidates in specific indications, we may not be the first to obtain marketing approval of these product candidates for the orphan-designated disease or condition due to the uncertainties associated with developing pharmaceutical products. In addition, exclusive marketing rights in the United States may be limited if we seek approval for an disease or condition broader than the orphan-designated disease or condition or may be lost if the FDA later determines that the request for designation was materially defective or if the manufacturer is unable to assure sufficient quantities of the product to meet the needs relating to the approved indication or use of patients with the relevant rare disease or condition. Further, even if we obtain orphan drug exclusivity for a product, that exclusivity may not effectively protect the product from competition because different biologics can be approved for the same uses or indications within the same rare disease or condition. Even after an orphan product is approved, the FDA can subsequently approve the same drug or therapeutic biologic for the same indication or use within the relevant disease or condition if the FDA concludes that the later drug or therapeutic biologic is safer, more effective or makes a major contribution to patient care. Orphan Drug Designation neither shortens the development time or regulatory review time of a drug or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6" w:name="page67"/>
    <w:bookmarkEnd w:id="66"/>
    <w:p>
      <w:pPr>
        <w:ind w:right="140"/>
        <w:spacing w:after="0" w:line="282" w:lineRule="auto"/>
        <w:rPr>
          <w:sz w:val="20"/>
          <w:szCs w:val="20"/>
          <w:color w:val="auto"/>
        </w:rPr>
      </w:pPr>
      <w:r>
        <w:rPr>
          <w:rFonts w:ascii="Times New Roman" w:cs="Times New Roman" w:eastAsia="Times New Roman" w:hAnsi="Times New Roman"/>
          <w:sz w:val="18"/>
          <w:szCs w:val="18"/>
          <w:color w:val="auto"/>
        </w:rPr>
        <w:t>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20" w:right="80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PROBODY platform, our product candidates or future development programs;</w:t>
      </w:r>
    </w:p>
    <w:p>
      <w:pPr>
        <w:spacing w:after="0" w:line="53"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clinical trials or funding support by us, or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portion of the revenue recognized relates to up-front payments received in earlier years, so the current cash flows from operations may be significantly different from the net income (loss) reported;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to be recognized in 2026 and future years may be significantly lower than 2025 as collaboration research terms come to an end.</w:t>
      </w:r>
    </w:p>
    <w:p>
      <w:pPr>
        <w:spacing w:after="0" w:line="25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comply with the requirements of Section 404 of the Sarbanes-Oxley Act of 2002 in a timely manner or with adequate compliance, we may be subject to a loss of stockholder confidence and sanctions or investigations by regulatory authorities or litigation.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the Sarbanes-Oxley Act of 2002 requires that we evaluate and determine the effectiveness of our internal controls over financial reporting,</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 a management report on the internal control over financial reporting and obtain an independent assessment and report on a company's internal financial controls from our external auditors.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financial statements, and harm our operating results. In addition, we are required, pursuant to Section 404, to furnish a report by our management and obtain an independent assessment and report from our external auditors on, among other things, the effectiveness of our internal control over financial reporting in our Annual Report on Form 10-K. Internal control over financial reporting is a process designed to provide reasonable assurance regarding the reliability of financial reporting and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right="20"/>
        <w:spacing w:after="0" w:line="256" w:lineRule="auto"/>
        <w:rPr>
          <w:sz w:val="20"/>
          <w:szCs w:val="20"/>
          <w:color w:val="auto"/>
        </w:rPr>
      </w:pPr>
      <w:r>
        <w:rPr>
          <w:rFonts w:ascii="Times New Roman" w:cs="Times New Roman" w:eastAsia="Times New Roman" w:hAnsi="Times New Roman"/>
          <w:sz w:val="18"/>
          <w:szCs w:val="18"/>
          <w:color w:val="auto"/>
        </w:rPr>
        <w:t>preparation of financial statements in accordance with generally acceptable accounting principles in the United States (“GAAP”). This assessment includes disclosure of any material weaknesses identified by management in its internal control over financial reporting. The rules governing the standards that must be met for management to assess its internal control over financial reporting are complex and require significant documentation, testing, and possible remediation. Testing and maintaining internal controls may divert management’s attention from other matters that are important to our business. A failure in any of these obligations or requirements could subject us to a loss of stockholder confidence and sanctions or investigations by regulatory authorities or litigation.</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connection with the implementation of the necessary practices and procedures related to internal control over financial reporting, we may identify deficiencies that we may not be able to remediate before our management is required to furnish the annual report on the effectiveness of our internal control over financial reporting. Our testing, or the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21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we fail to implement the requirements of Section 404 in the required timeframe, we may be subject to sanctions or investigations by regulatory authorities, including the Securities and Exchange Commission (“SEC”) and The Nasdaq Global Select Market. Furthermore, if we are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regulatory authorities or litigation. Failure to implement or maintain effective internal control over financial reporting and disclosure controls and procedures required of public companies could also restrict our future access to the capital markets.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preparing our financial statements for the year ending December 31, 2022, we determined that a material weakness existed in our internal control over financial reporting due to ineffective controls for evaluation and review of the accounting for revenue recognition. We initiated efforts to remediate the material weakness and determined that as of June 30, 2023, the material weakness had been remediated. There can be no assurance that we will not identify additional material weaknesses in the future.</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future periods, if our management is unable to conclude that we have effective internal control over financial reporting, or to certify the effectiveness of such controls, or if additional material weaknesses in our internal control over financial reporting are identified, our ability to record, process, and report financial information accurately, and to prepare financial statements within the time periods specified by the rules and forms of the SEC, could be adversely affected which, in turn, may adversely affect our business and the market price of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purchasers of our common stock could incur substantial losses.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stock price is volatile. Since our initial public offering (“IPO”), our stock had low and high sales prices in the range of $0.40 and $35.00 per share. The market price for our common stock may be influenced by many factors, including the other risks described in this section titled “Risk Factors” and the following:</w:t>
      </w:r>
    </w:p>
    <w:p>
      <w:pPr>
        <w:spacing w:after="0" w:line="68"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collaborators;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any pandemic and related governmental regulations and restrictions may impact our business, including our research, clinical trials, manufacturing and financial condition, as well as the impact of other natural disasters and other calamities;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existing or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equity or of debt securities that are convertible into equity will dilute our share capital.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that additional capital is raised through the issuance of shares or other securities convertible into shares, our stockholders will be diluted.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2020, we entered into an Open Market Sale Agreement (as amended on each of March 4, 2022 and August 9, 2024, the “Sales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Jefferies LLC (“Jefferies”), to sell shares of our common stock, par value $0.00001 per share, with aggregate gross sales proceeds of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 from time to time, through an at the market ("ATM") offering under which Jefferies will act as sales agent. We have issued securities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and may do so in the future. In addition, in January and February 2021, we sold 16,428,571 shares of our common stock at $7.00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in an underwritten public offering. In July 2023, we sold pre-funded warrants to purchase up to 14,423,077 shares of common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accompanying Tranche Warrants to purchase up to 11,538,462 shares of our common stock. In May 2025, we sold 76,923,076 shares of our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underwritten public offering at $1.30 per share. In 2025, we sold approximately 4.9 million shares at a weighted average price of $3.44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ATM program. As of December 31, 2025, approximately $39.4 million remained available under the ATM program. Future issuances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other equity securities pursuant to the Sales Agreement or otherwise, or the perception that such sales may occur, could adversely affect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trading price of our common stock and impair our ability to raise capital through future offerings of shares or equity securities. No prediction can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as to the effect, if any, that future sales of common stock or the availability of common stock for future sales will have on the trading price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9" w:name="page70"/>
    <w:bookmarkEnd w:id="69"/>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market for our common stock may not be maintained.</w:t>
      </w:r>
    </w:p>
    <w:p>
      <w:pPr>
        <w:spacing w:after="0" w:line="13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2025, our executive officers, directors, holders of 5% or more of our capital stock based on publicly available filings made with the SEC and their respective affiliates beneficially owned approximately 46% of our outstanding common stock.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179"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75"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actions by our stockholders by written consent;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election to our board of directors and for proposing matters that can be acted upon at stockholder meetings;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division of our board of directors into three classes, serving staggered terms of three years each;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preferred stock with such terms as the board of directors may determine.</w:t>
      </w:r>
    </w:p>
    <w:p>
      <w:pPr>
        <w:spacing w:after="0" w:line="2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ind w:right="280"/>
        <w:spacing w:after="0" w:line="282" w:lineRule="auto"/>
        <w:rPr>
          <w:sz w:val="20"/>
          <w:szCs w:val="20"/>
          <w:color w:val="auto"/>
        </w:rPr>
      </w:pPr>
      <w:r>
        <w:rPr>
          <w:rFonts w:ascii="Times New Roman" w:cs="Times New Roman" w:eastAsia="Times New Roman" w:hAnsi="Times New Roman"/>
          <w:sz w:val="18"/>
          <w:szCs w:val="18"/>
          <w:color w:val="auto"/>
        </w:rPr>
        <w:t>percent of our outstanding voting stock, unless the merger or combination is approved in a prescribed manner. These provisions would apply even if the proposed merger or acquisition could be considered beneficial by some stockholders.</w:t>
      </w:r>
    </w:p>
    <w:p>
      <w:pPr>
        <w:spacing w:after="0" w:line="15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Global Select Market, including minimum stock price requirements, could result in a delisting of our common stock.</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the Nasdaq Global Select Market (“Nasdaq”), such as the corporate governance requirements or the minimum closing bid price requirement, Nasdaq may take steps to delist our common stock. For example, on February 24, 2025, we received notice from Nasdaq that we failed to meet Nasdaq’s minimum closing bid price requirement of $1.00 per share. Although we subsequently regained compliance, we cannot provide any assurance that we will be able to maintain compliance in the future.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from class action litigation due to our expected stock volatility.</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20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us that issued the stock. For example, in May 2020, a putative securities class action lawsuit was brought against us (“Class Action Lawsuit”). While the Class Action Lawsuit was voluntarily dismissed without prejudice by the plaintiff and his attorneys in January 2021, a similar lawsuit or another lawsuit could be filed in the future. Stockholder lawsuits of this type against us, even if it is without merit, could cause us to incur substantial costs defending the lawsuit. The lawsuit could also divert the time and attention of our management.</w:t>
      </w:r>
    </w:p>
    <w:p>
      <w:pPr>
        <w:spacing w:after="0" w:line="183"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1" w:name="page72"/>
    <w:bookmarkEnd w:id="71"/>
    <w:p>
      <w:pPr>
        <w:spacing w:after="0" w:line="253" w:lineRule="auto"/>
        <w:rPr>
          <w:sz w:val="20"/>
          <w:szCs w:val="20"/>
          <w:color w:val="auto"/>
        </w:rPr>
      </w:pPr>
      <w:r>
        <w:rPr>
          <w:rFonts w:ascii="Times New Roman" w:cs="Times New Roman" w:eastAsia="Times New Roman" w:hAnsi="Times New Roman"/>
          <w:sz w:val="18"/>
          <w:szCs w:val="18"/>
          <w:color w:val="auto"/>
        </w:rPr>
        <w:t>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3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pandemic could adversely impact our business, including our research, development, including clinical trials, manufacturing and financial condition.</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impact of future pandemics could severely impact the business, research, development and manufacturing for us and our partners including ongoing or planned clinical trials for Varseta-M and CX-801, and any clinical trials of our partners. For example, in December 2019, a novel strain of coronavirus, COVID-19, was reported to have surfaced in Wuhan, China, and spread to multiple countries, including the United States and European and Asia-Pacific countries. As a result, our operations and the operations of our partners were impacted for a substantial period of time. Future pandemics may incur similar or more severe disruptions and impacts. These disruptions and impacts may include:</w:t>
      </w:r>
    </w:p>
    <w:p>
      <w:pPr>
        <w:spacing w:after="0" w:line="72"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research activities or obtaining necessary supplies to enable research;</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for any clinical trials we or our partners decide to initiate, including Varseta-M and CX-801, including difficulties in recruiting clinical site investigators and clinical site staff and clinical trial enrollment;</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interpreting clinical data due to patients being infected by pandemic disease;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or our partners’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or our partners’ clinical trials;</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312"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regulations as part of a response to a pandemic outbreak which may require us or our partners to change the ways in which clinical trials are conducted, which may result in unexpected costs, or cause us or our partners to discontinue the clinical trials altogether;</w:t>
      </w:r>
    </w:p>
    <w:p>
      <w:pPr>
        <w:spacing w:after="0" w:line="31" w:lineRule="exact"/>
        <w:rPr>
          <w:rFonts w:ascii="Times New Roman" w:cs="Times New Roman" w:eastAsia="Times New Roman" w:hAnsi="Times New Roman"/>
          <w:sz w:val="17"/>
          <w:szCs w:val="17"/>
          <w:color w:val="auto"/>
        </w:rPr>
      </w:pPr>
    </w:p>
    <w:p>
      <w:pPr>
        <w:ind w:left="1020" w:right="26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 outside the United States.</w:t>
      </w:r>
    </w:p>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cannot be certain of the impact of any future pandemic on our business or make any assurance that research, development or manufacturing of our product candidates will not be delayed, discontinued or otherwise impacted.</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Any of the potential business, research and clinical impacts arising as a result of any pandemic could cause us to default on our obligations to our collaborative partners, including our specific research and development obligations, potentially resulting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termination of one or more collaborations, and could materially and adversely affect our business, financial condition, results of operation and prospects.</w:t>
      </w:r>
    </w:p>
    <w:p>
      <w:pPr>
        <w:spacing w:after="0" w:line="25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addition, a pandemic may negatively impact the trading price of shares of our common stock and could further severely impact our ability to raise additional capital on a timely basis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U.S. and multi-national financial market conditions may adversely affect our business and financial position.</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the majority of its cash and cash equivalents in accounts with major U.S. and multi-national financial institutions, and our deposits at certain of these institutions may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assets or form strategic alliances in the future, and we may not realize the benefits of such acquisitions</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create other uncertainties and risks, particularly when the acquisition takes the form of a merger or other business consolidation.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encounter unexpected difficulties, or incur unexpected costs, in connection with transition activities and integration efforts, which include:</w:t>
      </w:r>
    </w:p>
    <w:p>
      <w:pPr>
        <w:spacing w:after="0" w:line="99"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acquisition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incur substantial debt or engage in dilutive issuances of equity securities to pay for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historical business and our activities under our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strain on, and need to expand, our existing operational, technical, financial and administrative infrastructure;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experience in late-stage product development and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assimilating employees and corporate cultures;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 hiring qualified personnel and establishing necessary development and/or commercialization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management and other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 controlling additional costs and expenses in connection with and as a result of the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3" w:name="page74"/>
    <w:bookmarkEnd w:id="73"/>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write down assets or recognize impairment charges;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to integration of operations and corporate and administrative infrastructures;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liabilities for activities of or related to the acquired business or its operations, products or product candidates.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clinical trial data, and the personal information of our employees (collectively, “Confidential Information”). It is important to our operations and business strategy that this Confidential Information remains secure and is perceived to be secure. Our information technology and other internal infrastructure systems and those of our CROs and contractors and consultants are vulnerable to damage and interruption from computer viruses, unauthorized access,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 system interruption or security breach that leads to disclosure or modification of or prevents access to Confidential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Furthermore, any integration of artificial intelligence in our or any third party’s operations, products or services is expected to pose new or unknown cybersecurity risks and challenges.</w:t>
      </w:r>
    </w:p>
    <w:p>
      <w:pPr>
        <w:spacing w:after="0" w:line="2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Attacks upon information technology systems are also increasing in their frequency, levels of persistence, sophistication and intensity, and are being conducted by sophisticated and organized groups and individuals with a wide range of motives and expertise. As a result of our continued hybrid working environment, we may also face increased cybersecurity risks due to our dependency on remote working technology and electronic monitoring of clinical trial sites,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To the extent that any disruption or security breach were to result in a loss of, or damage to, our data, or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74" w:name="page75"/>
    <w:bookmarkEnd w:id="74"/>
    <w:p>
      <w:pPr>
        <w:ind w:right="780"/>
        <w:spacing w:after="0" w:line="282" w:lineRule="auto"/>
        <w:rPr>
          <w:sz w:val="20"/>
          <w:szCs w:val="20"/>
          <w:color w:val="auto"/>
        </w:rPr>
      </w:pPr>
      <w:r>
        <w:rPr>
          <w:rFonts w:ascii="Times New Roman" w:cs="Times New Roman" w:eastAsia="Times New Roman" w:hAnsi="Times New Roman"/>
          <w:sz w:val="18"/>
          <w:szCs w:val="18"/>
          <w:color w:val="auto"/>
        </w:rPr>
        <w:t>inappropriate disclosure of Confidential Information, we could incur liability, recovery of our data could take a prolonged period of time, and the development of our research or product candidates could be delayed.</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can be no assurance that our and our third-party service providers’ risk management program and processes, including policies, controls or procedures, will be fully implemented, complied with or effective in protecting our systems, networks and Confidential Information. 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development programs and our business operations, whether due to a loss, corruption or unauthorized disclosure of Confidential Information or other similar disruptions. It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To the extent that any disruption or security breach were to result in a loss of, or damage to, our data or systems, or inappropriate disclosure of Confidential Information, we could incur liability, including litigation exposure, penalties and fines, we could become the subject of regulatory action or investigation, our competitive position could be harmed and the further development and commercialization of our products and services could be delayed. Furthermore, federal, state and international laws and regulations can expose us to enforcement actions and investigations by regulatory authorities, and potentially result in regulatory penalties, fines and significant legal liability, if our information technology security efforts fail.</w:t>
      </w:r>
    </w:p>
    <w:p>
      <w:pPr>
        <w:spacing w:after="0" w:line="22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Further, our insurance coverage may not be sufficient to cover the financial, legal, business or reputational losses that may result from an interruption or breach of our systems. Significant disruptions of our information technology systems or breaches of data security could have a material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or future international conflicts could adversely affect our business, financial condition, and results of operations.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Armed conflicts that arise from time to time have the potential to cause global impacts that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5" w:name="page76"/>
    <w:bookmarkEnd w:id="75"/>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Changes in applicable tax rules, including changes to corporate tax rates, the realization of net deferred tax assets relating to our operations, the taxation of foreign earnings, and the deductibility of expenses under future reform legislation could have a material impact on the value of our deferred tax assets, could result in significant one-time charges, and could increase our future tax expense.</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 and utilize outside contractors to assist us in building and supporting our program.</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includes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 operations and respective risk profiles.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6" w:name="page77"/>
    <w:bookmarkEnd w:id="76"/>
    <w:p>
      <w:pPr>
        <w:spacing w:after="0" w:line="266" w:lineRule="auto"/>
        <w:rPr>
          <w:sz w:val="20"/>
          <w:szCs w:val="20"/>
          <w:color w:val="auto"/>
        </w:rPr>
      </w:pPr>
      <w:r>
        <w:rPr>
          <w:rFonts w:ascii="Times New Roman" w:cs="Times New Roman" w:eastAsia="Times New Roman" w:hAnsi="Times New Roman"/>
          <w:sz w:val="18"/>
          <w:szCs w:val="18"/>
          <w:color w:val="auto"/>
        </w:rPr>
        <w:t>of operations, or financial condition. For more information, see the section titled “Risk Factor— 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where it deems appropriate, regarding any cybersecurity incidents it considers to be significant or potentially significant.</w:t>
      </w:r>
    </w:p>
    <w:p>
      <w:pPr>
        <w:spacing w:after="0" w:line="162"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7"/>
          <w:szCs w:val="17"/>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management and, where applicable, external experts, as part of our efforts to keep the Board updated on topics that impact similarly-sized biopharmaceutical public companies.</w:t>
      </w:r>
    </w:p>
    <w:p>
      <w:pPr>
        <w:spacing w:after="0" w:line="15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Senior Director of Information Technology Infrastructure and Operations, who reports to the Chief Financial Officer, is primarily responsible for assessing and managing material risks from cybersecurity threats. Our Senior Director of Information Technology Infrastructure and Operations has primary responsibility for our overall cybersecurity risk management program and supervises our retained external cybersecurity resources. . Our Senior Director of Information Technology Infrastructure and Operations' experience includes over 25 years of managing information systems architecture, operations, cybersecurity, and data privacy protection matters.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principal executive office is currently located in South San Francisco, California, and consists of approximately 76,000 square feet of office and research and development space, all of which is located in a single building, under a lease that expires in September 2026. In November 2025, we entered into a lease (the “2026 Lease”) of approximately 36,000 square feet of office and research and development space located in a single building in Emeryville, California for our corporate headquarters. The contractual commencement date for the 2026 Lease will be October 1, 2026 and will expire on December 31, 2029. We believe the new facilities are sufficient for our current and near-term needs.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currently a party to any material litigation or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b w:val="1"/>
          <w:bCs w:val="1"/>
          <w:color w:val="auto"/>
        </w:rPr>
        <w:t xml:space="preserve"> Market Information for Common Stock</w:t>
      </w: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“CTMX” since our initial public offering in October 2015.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February 28, 2026, there were approximately 16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regarding equity compensation plans is incorporated by reference to the information set forth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attached financial statements and notes thereto. This Annual Report on Form 10-K, including the following sections, contains forward-looking statements within the meaning of the federal securities laws. These statements are subject to risks and uncertainties that could cause actual results and events to differ materially from those expressed or implied by such forward-looking statements. For a detailed discussion of these risks and uncertainties, see the “Risk Factors” section in Item 1A of this Annual Report on Form 10-K. We caution the reader not to place undue reliance on these forward-looking statements, which reflect management’s analysis only as of the date of this Form 10-K. We undertake no obligation to update forward-looking statements, which reflect events or circumstances occurring after the date of this Form 10-K.</w:t>
      </w:r>
    </w:p>
    <w:p>
      <w:pPr>
        <w:spacing w:after="0" w:line="6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For a discussion related to the results of operations for 2024 compared to 2023, refer to Part II, Item 7, “Management's Discussion and Analysis of Financial Condition and Results of Operations - Comparison of Years Ended December 31, 2024 and 2023” in our Annual Report on Form 10-K for the year ended December 31, 2024 filed with the SEC on March 6, 2025.</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biopharmaceutical company dedicated to developing innovative therapies to address major unmet need in oncology. CytomX has led the field of conditionally activated, masked biologics through the development of its PROBODY technology platform. This versatile, multi-modality platform is built on a strong foundation of tumor biology expertise, including deep knowledge of tumor-associated enzymes known as proteases. Our masking strategy is designed to reduce binding of biologic therapeutics to their targets until the mask is removed by proteases in the tumor microenvironment, providing more selective targeting of the tumor and optimizing the predicted therapeutic index of our clinical candidates.</w:t>
      </w:r>
    </w:p>
    <w:p>
      <w:pPr>
        <w:spacing w:after="0" w:line="7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CytomX’s experience and leadership with the PROBODY platform for over 15 years has led to a highly focused strategy for the application of its technology in product development that has resulted in a current pipeline of novel clinical-stage and pre-clinical stage programs. In identifying and designing potential PROBODY therapeutics, we evaluate the following:</w:t>
      </w:r>
    </w:p>
    <w:p>
      <w:pPr>
        <w:spacing w:after="0" w:line="284" w:lineRule="exact"/>
        <w:rPr>
          <w:sz w:val="20"/>
          <w:szCs w:val="20"/>
          <w:color w:val="auto"/>
        </w:rPr>
      </w:pPr>
    </w:p>
    <w:p>
      <w:pPr>
        <w:ind w:left="760" w:right="580" w:hanging="378"/>
        <w:spacing w:after="0" w:line="261"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Drug targets that have been validated previously as having clinical anti-tumor activity, but have been limited in their utility due to expression and toxicity in healthy tissues.</w:t>
      </w:r>
    </w:p>
    <w:p>
      <w:pPr>
        <w:ind w:left="760" w:right="200" w:hanging="378"/>
        <w:spacing w:after="0" w:line="250"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Indication: The significance of the clinical unmet need that may be addressed if the target could be targeted systemically and unlocked through masking.</w:t>
      </w:r>
    </w:p>
    <w:p>
      <w:pPr>
        <w:ind w:left="760" w:right="80" w:hanging="378"/>
        <w:spacing w:after="0" w:line="253"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Effector Mechanism: the PROBODY platform is highly versatile and is being applied to a wide range of modalities including antibody drug conjugates (“ADCs”), T-cell engagers (“TCEs”), and cytokines. In PROBODY therapeutic design, the goal is to align the selected indication with the most validated drug modality (e.g. ADC, TCE) and cancer cell killing mechanism (e.g. cytotoxic payload) to maximize the potential for clinical activity.</w:t>
      </w:r>
    </w:p>
    <w:p>
      <w:pPr>
        <w:spacing w:after="0" w:line="29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CytomX’s two current clinical programs, varsetatug masetecan (“Varseta-M”) and CX-801 are in Phase 1 clinical development and are examples of our focused program development strategy. We aim to continue to advance our clinical pipeline towards later stage development and ultimately build a commercial enterprise to maximize our impact on the treatment of cancer.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Varsetatug Masetecan (Varseta-M)</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most advanced clinical-stage program is Varseta-M, an investigational, conditionally activated antibody-drug conjugate (“ADC”) targeting epithelial cell adhesion molecule (“EpCAM”). Varseta-M is initially focused on the lead indication of colorectal cancer (“CRC”). Varseta-M is designed to bring the promise of ADCs, which have made a meaningful clinical difference in other solid tumors such as lung and breast cancer, to CRC by leveraging EpCAM as a potentially ideal CRC antigen to target this disease. Varseta-M is a high affinity EpCAM antibody that is designed to preferentially bind EpCAM in the tumor microenvironment and minimize toxicities in healthy tissues, which have limited prior attempts in the field to target EpCAM systemically. Varseta-M is armed with a topoisomerase-1 inhibitor payload. Topoisomerase-1 inhibitors are known to have clinical activity in CRC, including irinotecan chemotherapy which is a standard component of the approved standard of care in CRC.</w:t>
      </w:r>
    </w:p>
    <w:p>
      <w:pPr>
        <w:spacing w:after="0" w:line="8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8"/>
          <w:szCs w:val="18"/>
          <w:color w:val="auto"/>
        </w:rPr>
        <w:t>EpCAM is a high potential oncology target based on its documented high expression in many solid tumors, including CRC where it was first discovered due to its very high and uniform expression. Historically, previous efforts across the drug development landscape to target this antigen systemically have been limited by dose-limiting toxicities. For example, high affinity EpCAM antibodies were limited by pancreatitis and liver toxicities and discontinued. However, EpCAM has been validated as a cancer target, including by the drug KORJUNY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approved for the treatment of malignant ascites in Europe. KORJUNY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however, must be given directly into the peritoneum due to systemic toxicity, but its approval provides evidence that local delivery of an EpCAM therapeutic to the tumor can be effective.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9" w:name="page80"/>
    <w:bookmarkEnd w:id="79"/>
    <w:p>
      <w:pPr>
        <w:ind w:right="60"/>
        <w:spacing w:after="0" w:line="266" w:lineRule="auto"/>
        <w:rPr>
          <w:sz w:val="20"/>
          <w:szCs w:val="20"/>
          <w:color w:val="auto"/>
        </w:rPr>
      </w:pPr>
      <w:r>
        <w:rPr>
          <w:rFonts w:ascii="Times New Roman" w:cs="Times New Roman" w:eastAsia="Times New Roman" w:hAnsi="Times New Roman"/>
          <w:sz w:val="18"/>
          <w:szCs w:val="18"/>
          <w:color w:val="auto"/>
        </w:rPr>
        <w:t>The Varseta-M payload is a topoisomerase-1 inhibitor licensed from AbbVie (formerly ImmunoGen), tailored to have anti-tumor activity against EpCAM-expressing cancer types. The payload-antibody linker is specifically designed to drive bystander killing of neighboring tumor cells, contributing to robust anti-tumor activity.</w:t>
      </w:r>
    </w:p>
    <w:p>
      <w:pPr>
        <w:spacing w:after="0" w:line="6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Overall, the design of Varseta-M seeks to establish a clinically meaningful therapeutic window for the systemic treatment of patients with EpCAM-expressing cancers, for the first time.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Varseta-M is designed to potentially address a broad range of EpCAM-expressing tumors, but is initially focused in CRC which is one of the largest unmet needs in oncology with over 1.9 million cases diagnosed annually around the world. It is also a disease that is expected to grow and estimated that there will be over 3 million cases globally by 2040. CRC is the second leading cause of cancer death worldwide and has a 5 year survival rate in the metastastic setting of only 13%. CRC is also the leading cause of cancer death in the U.S. for patients under the age of 50 and has been growing in incidence in younger patients over the last 3 decades.</w:t>
      </w:r>
    </w:p>
    <w:p>
      <w:pPr>
        <w:spacing w:after="0" w:line="7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Varseta-M clinical development is initially being focused on late-line metastatic CRC where there is significant unmet need and treatment options are highly inadequate. In third line or later metastatic CRC, patients have typically progressed through multiple chemotherapy-based regimens. Later stage treatment is limited to therapies that provide single digit percentage response rates, median progression free survival of 2 to 5.6 months and overall survival outcomes ranging from approximately 6 to 11 months. It is estimated that there are more than 35,000 patients in the U.S. with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line or later metastatic CRC, with the number expected to grow over the next decade.</w:t>
      </w:r>
    </w:p>
    <w:p>
      <w:pPr>
        <w:spacing w:after="0" w:line="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While Varseta-M is initially being developed in late-line metastatic CRC, the program was developed with the vision to help a broad population of metastatic CRC patients, including those in the first- and second-line settings. Given Varseta-M’s mechanism of action, our longer-term development vision is to make Varseta-M a core component of the CRC treatment landscape in earlier lines of therapy, consistent with the development strategy that has been employed for other solid tumor ADCs. We plan to pursue combination strategies to progress this vision to move Varseta-M to earlier lines of therapy starting in 2026.</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Additionally, given the broad solid tumor expression profile of EpCAM, Varseta-M has the potential to be an innovative new treatment option in a wide range of solid tumors. High expression of EpCAM has been documented in other tumors such as gastric, gastroesophageal, pancreatic, ovarian, endometrial, non-small cell lung and triple negative breast cancers. We plan to potentially initiate development in indications outside of CRC in the second half of 2026, with the ultimate vision to develop Varseta-M as a pan-tumor therapy.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Varsetatug Masetecan Development</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investigational new drug application (“IND”) for Varseta-M was allowed to proceed by the FDA in January 2024, and a Phase 1 clinical trial in patients with EpCAM-expressing solid tumors, with an initial focus on metastatic CRC, commenced in April 2024. No pre-screening of CRC patients by EpCAM expression has been conducted due to the anticipated high and uniform EpCAM expression in CRC. As of May 2025, the Phase 1 study had reached the seventh dose escalation level and had enrolled only mCRC patients.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May 2025, we announced positive interim Phase 1 data as of an April 7, 2025 data cutoff in advanced metastatic CRC. The data encompassed results from 25 CRC patients treated with Varseta-M at 5 dose levels ranging from 2.4 mg/kg to 10 mg/kg, administered every three weeks (“Q3W”). The 2.4 mg/kg and 4.8 mg/kg doses were single patient dose escalation cohorts not anticipated to be therapeutically active. At the 7.2 mg/kg, 8.6 mg/kg, and 10 mg/kg doses, 23 patients were treated, 18 of whom were efficacy evaluable, having had at least one post-baseline tumor assessment as of the data cutoff. Patients enrolled in the study at the time of data cutoff had previously received a median of 4 prior lines of therapy and all patients had previously been treated with irinotecan. 64% of patients had liver metastases, 64% had KRAS mutations, and 96% were microsatellite stable. Patients were not preselected based on EpCAM expression levels.</w:t>
      </w:r>
    </w:p>
    <w:p>
      <w:pPr>
        <w:spacing w:after="0" w:line="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As of the data cutoff, 18 patients were efficacy-evaluable at doses of 7.2 mg/kg, 8.6 mg/kg, and 10 mg/kg Q3W. Five of eighteen (28%) patients demonstrated confirmed partial responses per RECIST v1.1. Three of seven (43%) efficacy evaluable patients at the dose of 10 mg/kg Q3W demonstrated confirmed partial responses per RECIST v1.1. Seventeen of eighteen patients (94%) had disease control, defined as having an objective response or stable disease. Preliminary median progression free survival (“PFS”) was 5.8 months as of the data cutoff with 10 of 18 patients remaining on study treatment.</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data cutoff, 25 patients were evaluable for safety. Varseta-M was generally well-tolerated as of the data cutoff with manageable adverse events, with no dose limiting toxicities. Most treatment related adverse events (“TRAEs”) were Grade 1 or Grade 2 in severity. The most common reported TRAEs were diarrhea (18 patients, 5 Grade 3), nausea (11 patients, 1 Grade 3), vomiting (8 patients, No Grade 3), fatigue (8 patients, 1 Grade 3), anemia (5 patients, 3 Grade 3), hypokalemia (3 patients, 1 Grade 3), neutrophil count decrease (2 patients, 2 Grade 3) and neutropenia (2 patients, 1 Grade 3). TRAEs included serious adverse events (“SAEs”) in 5 patients (1 Grade 2, 4 Grade 3). The SAEs included Grade 3 Diarrhea (1 patient), Grade 3 Anemia (1 patient), Grade 3 colitis (1 patient), Grade 3 Diarrhea and Acute kidney injury (1 patient) and Grade 2 Asthenia (1 patient). No Grade 4 or 5 TRAEs were observed as of the April 7, 2025 data cutoff. No events of interstitial lung disease or febrile neutropenia were reported as of the data cutoff. On August 13, 2025, we announced that a single Grade 5 treatment-related acute kidney injury occurred in a patient with a complex medical history, including having a solitary kidney. The Grade 5 event was believed to be secondary to nausea, vomiting and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0" w:name="page81"/>
    <w:bookmarkEnd w:id="80"/>
    <w:p>
      <w:pPr>
        <w:ind w:right="340"/>
        <w:spacing w:after="0" w:line="282" w:lineRule="auto"/>
        <w:rPr>
          <w:sz w:val="20"/>
          <w:szCs w:val="20"/>
          <w:color w:val="auto"/>
        </w:rPr>
      </w:pPr>
      <w:r>
        <w:rPr>
          <w:rFonts w:ascii="Times New Roman" w:cs="Times New Roman" w:eastAsia="Times New Roman" w:hAnsi="Times New Roman"/>
          <w:sz w:val="18"/>
          <w:szCs w:val="18"/>
          <w:color w:val="auto"/>
        </w:rPr>
        <w:t>diarrhea. We reported the event to the FDA in accordance with regulatory requirements. The CTMX-2051-101 Safety Review Committee reviewed the event and supported continued study execution.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Based on the positive interim Phase 1 dose escalation data in May 2025, dose expansions were initiated at the dose levels of 7.2 mg/kg, 8.6 mg/kg, and 10 mg/kg, administered Q3W and are currently ongoing.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Varsetatug Masetecan March 2026 Interim Data Update from Phase 1 Dose Expansions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March 2026, we announced positive interim results from the ongoing Phase 1 dose expansions as of a January 16, 2026 data cutoff date. As of the data cutoff, a total of 93 patients with late-line metastatic CRC had been enrolled in the study. 60 patients were enrolled across the Phase 1 expansion dose range of 7.2 mg/kg, 8.6 mg/kg, and 10 mg/kg of which 56 were efficacy evaluable as of the data cutoff.</w:t>
      </w:r>
    </w:p>
    <w:p>
      <w:pPr>
        <w:spacing w:after="0" w:line="6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Starting in October 2025, the expansion doses of 8.6 mg/kg and 10 mg/kg were prioritized for dose optimization utilizing optimized adverse event management guidelines and adjusted ideal body weight (AIBW) dosing. 20 patients had been enrolled in expanded dose optimization as of the January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data cutoff towards an enrollment goal of 40 patients.</w:t>
      </w:r>
    </w:p>
    <w:p>
      <w:pPr>
        <w:spacing w:after="0" w:line="9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Patients enrolled in the study had previously received a median of 3 prior lines of therapy in the metastatic setting and 96% of patients had previously been treated with irinotecan. 76% of patients had liver metastases and 71% had KRAS mutations. Patients were not preselected based on EpCAM expression levels. All patients with evaluable tumor biopsies had high EpCAM levels as measured by immunohistochemistry.</w:t>
      </w:r>
      <w:r>
        <w:rPr>
          <w:rFonts w:ascii="Times New Roman" w:cs="Times New Roman" w:eastAsia="Times New Roman" w:hAnsi="Times New Roman"/>
          <w:sz w:val="24"/>
          <w:szCs w:val="24"/>
          <w:color w:val="auto"/>
          <w:vertAlign w:val="superscript"/>
        </w:rPr>
        <w:t>5</w:t>
      </w:r>
    </w:p>
    <w:p>
      <w:pPr>
        <w:spacing w:after="0" w:line="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the data cutoff, 56 patients were efficacy-evaluable at the expansion doses of 7.2 mg/kg, 8.6 mg/kg, and 10 mg/kg Q3W. Median duration of follow-up across the efficacy-evaluable patient population was approximately 8 months. Efficacy data across the Phase 1 Expansion doses are summarized below in Table 1.</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1. Varseta-M Efficacy Summary by Phase 1 Expansion Dose</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9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960" w:type="dxa"/>
            <w:vAlign w:val="bottom"/>
            <w:tcBorders>
              <w:left w:val="single" w:sz="8" w:color="auto"/>
              <w:bottom w:val="single" w:sz="8" w:color="auto"/>
              <w:right w:val="single" w:sz="8" w:color="auto"/>
            </w:tcBorders>
          </w:tcPr>
          <w:p>
            <w:pPr>
              <w:spacing w:after="0"/>
              <w:rPr>
                <w:sz w:val="14"/>
                <w:szCs w:val="14"/>
                <w:color w:val="auto"/>
              </w:rPr>
            </w:pPr>
          </w:p>
        </w:tc>
        <w:tc>
          <w:tcPr>
            <w:tcW w:w="2680" w:type="dxa"/>
            <w:vAlign w:val="bottom"/>
            <w:tcBorders>
              <w:bottom w:val="single" w:sz="8" w:color="auto"/>
              <w:right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8"/>
              </w:rPr>
              <w:t>7.2 mg/kg</w:t>
            </w:r>
          </w:p>
        </w:tc>
        <w:tc>
          <w:tcPr>
            <w:tcW w:w="28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8.6 mg/kg</w:t>
            </w:r>
          </w:p>
        </w:tc>
        <w:tc>
          <w:tcPr>
            <w:tcW w:w="28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w w:val="99"/>
              </w:rPr>
              <w:t>10 mg/kg</w:t>
            </w:r>
          </w:p>
        </w:tc>
        <w:tc>
          <w:tcPr>
            <w:tcW w:w="0" w:type="dxa"/>
            <w:vAlign w:val="bottom"/>
          </w:tcPr>
          <w:p>
            <w:pPr>
              <w:spacing w:after="0"/>
              <w:rPr>
                <w:sz w:val="1"/>
                <w:szCs w:val="1"/>
                <w:color w:val="auto"/>
              </w:rPr>
            </w:pPr>
          </w:p>
        </w:tc>
      </w:tr>
      <w:tr>
        <w:trPr>
          <w:trHeight w:val="194"/>
        </w:trPr>
        <w:tc>
          <w:tcPr>
            <w:tcW w:w="2960" w:type="dxa"/>
            <w:vAlign w:val="bottom"/>
            <w:tcBorders>
              <w:left w:val="single" w:sz="8" w:color="auto"/>
              <w:right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Confirmed Overall Response Rate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(1/17)</w:t>
            </w:r>
          </w:p>
        </w:tc>
        <w:tc>
          <w:tcPr>
            <w:tcW w:w="2800" w:type="dxa"/>
            <w:vAlign w:val="bottom"/>
            <w:tcBorders>
              <w:right w:val="single" w:sz="8" w:color="auto"/>
            </w:tcBorders>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20% (4/20)</w:t>
            </w:r>
          </w:p>
        </w:tc>
        <w:tc>
          <w:tcPr>
            <w:tcW w:w="2800" w:type="dxa"/>
            <w:vAlign w:val="bottom"/>
            <w:tcBorders>
              <w:right w:val="single" w:sz="8" w:color="auto"/>
            </w:tcBorders>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32% (6/19)</w:t>
            </w:r>
          </w:p>
        </w:tc>
        <w:tc>
          <w:tcPr>
            <w:tcW w:w="0" w:type="dxa"/>
            <w:vAlign w:val="bottom"/>
          </w:tcPr>
          <w:p>
            <w:pPr>
              <w:spacing w:after="0"/>
              <w:rPr>
                <w:sz w:val="1"/>
                <w:szCs w:val="1"/>
                <w:color w:val="auto"/>
              </w:rPr>
            </w:pPr>
          </w:p>
        </w:tc>
      </w:tr>
      <w:tr>
        <w:trPr>
          <w:trHeight w:val="126"/>
        </w:trPr>
        <w:tc>
          <w:tcPr>
            <w:tcW w:w="2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(cORR)</w:t>
            </w:r>
          </w:p>
        </w:tc>
        <w:tc>
          <w:tcPr>
            <w:tcW w:w="1220" w:type="dxa"/>
            <w:vAlign w:val="bottom"/>
            <w:vMerge w:val="continue"/>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9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Median Progression Free Survival</w:t>
            </w:r>
          </w:p>
        </w:tc>
        <w:tc>
          <w:tcPr>
            <w:tcW w:w="268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5.5 mo.</w:t>
            </w:r>
          </w:p>
        </w:tc>
        <w:tc>
          <w:tcPr>
            <w:tcW w:w="2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6.8 mo.</w:t>
            </w:r>
          </w:p>
        </w:tc>
        <w:tc>
          <w:tcPr>
            <w:tcW w:w="2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7.1 mo.</w:t>
            </w:r>
          </w:p>
        </w:tc>
        <w:tc>
          <w:tcPr>
            <w:tcW w:w="0" w:type="dxa"/>
            <w:vAlign w:val="bottom"/>
          </w:tcPr>
          <w:p>
            <w:pPr>
              <w:spacing w:after="0"/>
              <w:rPr>
                <w:sz w:val="1"/>
                <w:szCs w:val="1"/>
                <w:color w:val="auto"/>
              </w:rPr>
            </w:pP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(PFS)</w:t>
            </w:r>
          </w:p>
        </w:tc>
        <w:tc>
          <w:tcPr>
            <w:tcW w:w="26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(95% CI: 2.5, NE)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(95% CI: 2.8, NE)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 CI: 3.9, NE)</w:t>
            </w:r>
          </w:p>
        </w:tc>
        <w:tc>
          <w:tcPr>
            <w:tcW w:w="0" w:type="dxa"/>
            <w:vAlign w:val="bottom"/>
          </w:tcPr>
          <w:p>
            <w:pPr>
              <w:spacing w:after="0"/>
              <w:rPr>
                <w:sz w:val="1"/>
                <w:szCs w:val="1"/>
                <w:color w:val="auto"/>
              </w:rPr>
            </w:pPr>
          </w:p>
        </w:tc>
      </w:tr>
      <w:tr>
        <w:trPr>
          <w:trHeight w:val="210"/>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Disease Control Rate (DCR)</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(15/17)</w:t>
            </w:r>
          </w:p>
        </w:tc>
        <w:tc>
          <w:tcPr>
            <w:tcW w:w="2800" w:type="dxa"/>
            <w:vAlign w:val="bottom"/>
            <w:tcBorders>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90% (18/20)</w:t>
            </w:r>
          </w:p>
        </w:tc>
        <w:tc>
          <w:tcPr>
            <w:tcW w:w="2800" w:type="dxa"/>
            <w:vAlign w:val="bottom"/>
            <w:tcBorders>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84% (16/19)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At the 8.6 mg/kg dose, the confirmed response rate was 20% with an estimated median PFS of 6.8 months and at the 10 mg/kg dose, the confirmed response rate was 32% with an estimated median PFS of 7.1 months. The disease control rate was 88% (49/56) across the expansion doses of 7.2 – 10 mg/kg.</w:t>
      </w:r>
    </w:p>
    <w:p>
      <w:pPr>
        <w:spacing w:after="0" w:line="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doses of 8.6 mg/kg and 10 mg/kg have been prioritized for further evaluation with the goal of selecting a dose or doses for a registrational study. Dose optimization at 8.6 mg/kg and 10 mg/kg utilizing AIBW dosing and updated prophylaxis for adverse event management is ongoing.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doses of 11 mg/kg Q3W and 12 mg/kg Q3W, which were not expanded for further evaluation, the overall response rate was 30% (3/10).</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the data cutoff, 93 patients were evaluable for safety including 80 patients across the expansion dose range of 7.2 mg/kg to 10 mg/kg. Varseta-M’s safety profile was generally consistent with data presented in Phase 1 dose escalation. Most TRAEs were Grade 1 or Grade 2 in severity. No interstitial lung disease, febrile neutropenia or pancreatitis were observed. The most common TRAE was diarrhea which was generally manageable and reversible.</w:t>
      </w:r>
    </w:p>
    <w:p>
      <w:pPr>
        <w:spacing w:after="0" w:line="68"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18"/>
          <w:szCs w:val="18"/>
          <w:color w:val="auto"/>
        </w:rPr>
        <w:t>In Phase 1 dose expansions starting in Q2 2025, prophylactic strategies for diarrhea management were investigated. In dose optimization starting in Q4 2025, an updated prophylaxis regimen of anti-motility medication (loperamide or diphenoxylate/atropine) plus budesonide was implemented.</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8"/>
          <w:szCs w:val="18"/>
          <w:color w:val="auto"/>
        </w:rPr>
        <w:t xml:space="preserve"> In the 20 patients receiving the updated prophylactic regimen at the Varseta-M expansion doses of 8.6 mg/kg and 10 mg/kg, Grade 3 diarrhea was 10%.</w:t>
      </w:r>
      <w:r>
        <w:rPr>
          <w:rFonts w:ascii="Times New Roman" w:cs="Times New Roman" w:eastAsia="Times New Roman" w:hAnsi="Times New Roman"/>
          <w:sz w:val="24"/>
          <w:szCs w:val="24"/>
          <w:color w:val="auto"/>
          <w:vertAlign w:val="superscript"/>
        </w:rPr>
        <w:t>7,8</w:t>
      </w:r>
    </w:p>
    <w:p>
      <w:pPr>
        <w:spacing w:after="0" w:line="18"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color w:val="auto"/>
        </w:rPr>
        <w:t>Overall, as of the January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2026 data cutoff, in the 80 patients treated at expansion and optimization doses ranging between 7.2 mg/kg to 10 mg/kg, the most common TRAEs were diarrhea (68 pts, 19 Gr 3), nausea (44 pts, 4 Gr 3), vomiting (29 pts, 3 Gr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1688465" cy="508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68" w:lineRule="exact"/>
        <w:rPr>
          <w:sz w:val="20"/>
          <w:szCs w:val="20"/>
          <w:color w:val="auto"/>
        </w:rPr>
      </w:pPr>
    </w:p>
    <w:p>
      <w:pPr>
        <w:ind w:right="3300" w:firstLine="8"/>
        <w:spacing w:after="0" w:line="260" w:lineRule="auto"/>
        <w:tabs>
          <w:tab w:leader="none" w:pos="145"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96% of patients with an evaluable biopsy had an H score by immunohistochemistry above 250 and all patients had H scores above 200. </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4"/>
          <w:szCs w:val="14"/>
          <w:color w:val="auto"/>
        </w:rPr>
        <w:t xml:space="preserve"> Budesonide is a corticosteroid locally absorbed in the gastrointestinal (GI) tract.</w:t>
      </w:r>
    </w:p>
    <w:p>
      <w:pPr>
        <w:spacing w:after="0" w:line="1" w:lineRule="exact"/>
        <w:rPr>
          <w:rFonts w:ascii="Times New Roman" w:cs="Times New Roman" w:eastAsia="Times New Roman" w:hAnsi="Times New Roman"/>
          <w:sz w:val="24"/>
          <w:szCs w:val="24"/>
          <w:color w:val="auto"/>
          <w:vertAlign w:val="superscript"/>
        </w:rPr>
      </w:pPr>
    </w:p>
    <w:p>
      <w:pPr>
        <w:ind w:right="67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4"/>
          <w:szCs w:val="14"/>
          <w:color w:val="auto"/>
        </w:rPr>
        <w:t xml:space="preserve"> 8.6 mg/kg and 10 mg/kg dosed utilizing adjusted ideal body weight (AIBW).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4"/>
          <w:szCs w:val="14"/>
          <w:color w:val="auto"/>
        </w:rPr>
        <w:t xml:space="preserve"> Based on March 2, 2026 data snapshot.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ind w:right="600"/>
        <w:spacing w:after="0" w:line="282" w:lineRule="auto"/>
        <w:rPr>
          <w:sz w:val="20"/>
          <w:szCs w:val="20"/>
          <w:color w:val="auto"/>
        </w:rPr>
      </w:pPr>
      <w:r>
        <w:rPr>
          <w:rFonts w:ascii="Times New Roman" w:cs="Times New Roman" w:eastAsia="Times New Roman" w:hAnsi="Times New Roman"/>
          <w:sz w:val="18"/>
          <w:szCs w:val="18"/>
          <w:color w:val="auto"/>
        </w:rPr>
        <w:t>fatigue (32 pts, 2 Gr 3), hypokalemia (21 pts, 13 Gr 3+), and anemia (13 pts, 6 Gr 3). Serious treatment related adverse events (SAEs) in &gt; 1 patient included diarrhea (4), vomiting (3), hypokalemia (3), dehydration (3), acute kidney injury (2), and colitis (2).</w:t>
      </w:r>
    </w:p>
    <w:p>
      <w:pPr>
        <w:spacing w:after="0" w:line="5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As previously reported on August 13, 2025, there was one treatment-related grade 5 acute kidney injury (AKI) in a patient treated at the 7.2 mg/kg dose. The patient had a complex medical history including having a solitary kidney, and the AKI was determined to be secondary to Grade 3 nausea and Grade 2 diarrhea. No other Grade 5 TRAEs have been reported as of the January 16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2026 data cutoff.</w:t>
      </w:r>
    </w:p>
    <w:p>
      <w:pPr>
        <w:spacing w:after="0" w:line="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At the 11 mg/kg and 12 mg/kg doses, there were no dose limiting toxicities in dose escalation. The most common TRAEs across the patients in the 11 mg/kg dose (n=8) and 12 mg/kg dose (n=3) were diarrhea (9 pts, 6 GR 3), nausea, (8 pts, 0 Gr 3), and vomiting (8 pts, 1 Gr 3). Patients treated at the 11 and 12 mg/kg doses did not receive the optimized prophylactic regimen or adjusted ideal body weight dosing.</w:t>
      </w:r>
    </w:p>
    <w:p>
      <w:pPr>
        <w:spacing w:after="0" w:line="6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plan to present additional Phase 1 Varseta-M data at a medical meeting in 2026 and aim to align with the FDA in 2026 on a potential registrational study designed for Varseta-M monotherapy in advanced late-line CRC.</w:t>
      </w:r>
    </w:p>
    <w:p>
      <w:pPr>
        <w:spacing w:after="0" w:line="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Additionally, in the first quarter of 2026, a Phase 1 study of Varseta-M in combination with bevacizumab has been initiated, data from which is intended to inform potential Varseta-M development in earlier lines of CRC therapy. Initial data from the combination study with bevacizumab is expected by the first half of 2027. A Phase 1b/2 study in combination with bevacizumab and chemotherapy is expected to start by the end of 2026.</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also continue to evaluate additional non-CRC, EpCAM positive indications for potential Varseta-M development and anticipate initiating Phase 1 expansion cohorts in one or more additional indications in the second half of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CX-801</w:t>
      </w:r>
    </w:p>
    <w:p>
      <w:pPr>
        <w:spacing w:after="0" w:line="119"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In addition to Varseta-M, our pipeline includes CX-801, an investigational, masked version of interferon alpha-2b (“IFNα2b”), currently in a Phase 1 clinical trial. CX-801 leverages a similarly focused application of the PROBODY technology platform in that it leverages a well validated and high potential mechanism that has been limited by systemic toxicity. Interferon-alpha was one of the first immunotherapies approved, but has fallen out of broad use because of poor tolerability. Like EpCAM, IFNα2b has also been validated as a localized therapy, including the approved therapy ADSTILADRIN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bladder cancer, which is a gene therapy encoding the protein IFNα2b that is administered directly into the bladder as a single agent, providing evidence that localized IFNα2b can be a powerful and effective therapy.</w:t>
      </w:r>
    </w:p>
    <w:p>
      <w:pPr>
        <w:spacing w:after="0" w:line="9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IFNα2b is also an attractive cytokine in that it is a potent and multi-faceted modulator of the immune system that also has direct anti-tumor cell killing effects, providing a potentially superior approach to activating anti-tumor immune responses compared with other cytokines such as IL-2, IL-12 or IL-15.</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applied our significant masking and protein engineering expertise to the design of CX-801, which is a dually-masked, conditionally activated version of IFNα2b that is designed to be inactive in the periphery. The dual masks on CX-801 include a peptide mask on the cytokine domain designed to limit binding in normal tissues as well as a steric Fc mask designed to further mitigate systemic activity as well as extend CX-801’s half-life.</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CX-801, we have also employed a focused initial development strategy in Phase 1, centered on the treatment of late-line melanoma where patient options are limited once they have typically progressed through earlier line checkpoint-based therapies. With CX-801, our initial focus is to treat patients with CX-801 in the late-line setting to potentially re-activate the immune system and improve patient outcomes in combination with PD-1 inhibition. Our ultimate vision for CX-801 is to potentially become a cornerstone of combination immunotherapy for a wide range of tumor types, including cancers beyond melanoma.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CX-801 Development</w:t>
      </w:r>
    </w:p>
    <w:p>
      <w:pPr>
        <w:spacing w:after="0" w:line="11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 IND for CX-801 was allowed to proceed by the FDA in January 2024, and in the third quarter of 2024 the first patient was dosed in the CX-801 Phase 1 dose escalation study in solid tumors. The Phase 1 dose escalation study is focused on patients with advanced melanoma. In Phase 1 dose escalation, the study will evaluate safety, translational biomarkers and signs of clinical activity for CX-801 monotherapy and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the second quarter of 2024, CytomX announced a clinical collaboration with Merck to supply KEYTRUDA for evaluation of its combination with CX-801 in the Phase 1 study. The Phase 1 study is currently in the fourth monotherapy dose escalation cohort. In May 2025, Phase 1 dose escalation enrollment of CX-801 in combination with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(pembrolizumab) in advanced melanoma was initiated and is currently enrolling at the second dose level.</w:t>
      </w:r>
    </w:p>
    <w:p>
      <w:pPr>
        <w:spacing w:after="0" w:line="1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Phase 1 CX-801 monotherapy translational data in melanoma patients was presented at the Society of Immunotherapy of Cancer (“SITC”) 2025 Annual Meeting in November 2025, providing evidence that the CX-801 mechanism of action was working as designed. As of the November 8, 2025 SITC presentation, CX-801 had been generally well tolerated and the translational data presented suggest consistently increased expression of interferon-stimulated genes in paired tumor biopsies. Upregulation of immune checkpoint genes, including PD-1 and PD-L1, and activation of immune cell populations, was also observed, providing a rationale for evaluating the combination of CX-801 and pembrolizumab. Pharmacokinetics (“PK”) analysis also demonstrated dose-proportional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2" w:name="page83"/>
    <w:bookmarkEnd w:id="82"/>
    <w:p>
      <w:pPr>
        <w:ind w:right="240"/>
        <w:spacing w:after="0" w:line="227" w:lineRule="auto"/>
        <w:rPr>
          <w:sz w:val="20"/>
          <w:szCs w:val="20"/>
          <w:color w:val="auto"/>
        </w:rPr>
      </w:pPr>
      <w:r>
        <w:rPr>
          <w:rFonts w:ascii="Times New Roman" w:cs="Times New Roman" w:eastAsia="Times New Roman" w:hAnsi="Times New Roman"/>
          <w:sz w:val="18"/>
          <w:szCs w:val="18"/>
          <w:color w:val="auto"/>
        </w:rPr>
        <w:t>exposure of CX-801, which remained predominantly in its intact (masked) form in circulation.Phase 1 clinical data from the CX-801 and KEYTRUDA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combination dose escalation portion of the study are expected by the end of 2026.</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PROBODY Program and Platform</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clinical program focus on PROBODY ADCs such as Varseta-M and PROBODY cytokines such as CX-801, we view the field of masked biologics as having broad potential applicability across a range of therapeutic modalities, reflecting the versatility of our platform technology. A key focus of our current work with collaboration partners is T-cell engaging bispecific therapies (“TCEs”) where we have significant ongoing efforts with partners such as Bristol Myers Squibb and Regeneron and maintain significant research expertise.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example, at SITC 2025, we presented preclinical data for CX-908, a dually-masked PROBODY TCE targeting CDH3 and CD3. CX-908 potently induced tumor regressions in established breast and lung cancer xenograft tumor models and demonstrated a 100-fold improvement in tolerability, including significantly reduced cytokine release vs. an unmasked CDH3xCD3 molecule. We view masking as a key strategy to widen a therapeutic window for TCEs and view strategic partnering in this area as an important way to extend the reach of the PROBODY platform.</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do not have any products approved for sale, and we continue to incur significant research and development as well as general and administrative expenses related to our operations. As of December 31, 2025 and 2024, we had an accumulated deficit of $711.9 million and $691.6 million, respectively.</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Global health authorities, including the FDA, regulate many aspects of a product candidate’s life cycle, including research and development and preclinical and clinical testing. We will need to commit significant time, resources, and funding to develop our wholly-owned and partnered product candidates in clinical trials.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11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January 6, 2025, we announced a restructuring plan (the “2025 Restructuring Plan”) to streamline our organization and prioritize Varseta-M, CX-801 and our activities to support our research collaborations. The restructuring plan resulted in a reduction of approximately 40% of our workforce and was substantially completed in the first quarter of 2025. We recorded total restructuring charges of approximately $2.8 million, primarily related to one-time severance payments and other employee-related costs. This includes $1.7 million of research and development expenses and $1.1 million of general and administrative expenses that were recorded for the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an input method for the entire performance obligation. In applying the input method of revenue recognition, we use actual full-time equivalent (“FTE”) hours incurred relative to estimated total FTE hours expected to be incurred for each combined performance obligation over the estimated research service period of each collaboration target. In addition to receiving upfront payments, we are entitled to variable payments related to research and development services provided and may be entitled to milestone and other contingent payments upon achieving predefined objectives. Revenue from variable payments related to research and development or milestones and other contingent payments, when it is probable that there will not be a significant revenue reversal, is also recognized over the performance period based on a similar method.</w:t>
      </w:r>
    </w:p>
    <w:p>
      <w:pPr>
        <w:spacing w:after="0" w:line="2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Astellas, Regeneron, Bristol Myers Squibb, Moderna and any other collaboration partners, and as a result of the fluctuations in the research and development expenses we incur in the performance of assigned activities under these agreements.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clinical development, including activities with third parties, and contract development and manufacturing organizations (“CMO”), and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could vary substantially in the future as we prioritize our pipeline opportunities, advance our product candidates through clinical trials, initiate additional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 by collaboration partner during the respective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24"/>
        </w:trPr>
        <w:tc>
          <w:tcPr>
            <w:tcW w:w="4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jc w:val="right"/>
              <w:ind w:right="155"/>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34"/>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Amgen</w:t>
            </w:r>
          </w:p>
        </w:tc>
        <w:tc>
          <w:tcPr>
            <w:tcW w:w="2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20"/>
                <w:szCs w:val="20"/>
                <w:color w:val="auto"/>
              </w:rPr>
            </w:pP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Astellas</w:t>
            </w:r>
          </w:p>
        </w:tc>
        <w:tc>
          <w:tcPr>
            <w:tcW w:w="2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17,913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(11,465)</w:t>
            </w: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Bristol Myers Squibb</w:t>
            </w:r>
          </w:p>
        </w:tc>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41,928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(36,032)</w:t>
            </w:r>
          </w:p>
        </w:tc>
      </w:tr>
      <w:tr>
        <w:trPr>
          <w:trHeight w:val="216"/>
        </w:trPr>
        <w:tc>
          <w:tcPr>
            <w:tcW w:w="4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Regeneron</w:t>
            </w:r>
          </w:p>
        </w:tc>
        <w:tc>
          <w:tcPr>
            <w:tcW w:w="2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26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(4,320)</w:t>
            </w:r>
          </w:p>
        </w:tc>
      </w:tr>
      <w:tr>
        <w:trPr>
          <w:trHeight w:val="216"/>
        </w:trPr>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Moderna</w:t>
            </w:r>
          </w:p>
        </w:tc>
        <w:tc>
          <w:tcPr>
            <w:tcW w:w="2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(16,850)</w:t>
            </w:r>
          </w:p>
        </w:tc>
      </w:tr>
      <w:tr>
        <w:trPr>
          <w:trHeight w:val="20"/>
        </w:trPr>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3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76,201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138,103</w:t>
            </w:r>
          </w:p>
        </w:tc>
        <w:tc>
          <w:tcPr>
            <w:tcW w:w="26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(61,902)</w:t>
            </w: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revenue of $61.9 million for 2025 compared to 2024 was primarily due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BMS Agreement driven by the completion of our performance obligations in the second quarter of 2025. BMS is responsible for the future research and development of the ongoing collaboration programs;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9" w:lineRule="auto"/>
        <w:tabs>
          <w:tab w:leader="none" w:pos="1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revenue under the Astellas Agreement primarily driven by an increase in projected hours to completion for our performance obligation and higher preclinical milestone payments in 2024 compared to 2025. In the first quarter of 2026, Astellas chose not to advance the remaining preclinical programs which will result in the completion of CytomX’s performance obligation by the second quarter of 2026;</w:t>
      </w:r>
    </w:p>
    <w:p>
      <w:pPr>
        <w:spacing w:after="0" w:line="4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Regeneron Agreement driven by a primary focus on the lead preclinical program in 2025;</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revenue under the Moderna Agreement due to a pause of the programs, driven by Moderna's budget considerations in 2025. The remaining research and development activities are pending Moderna's budget considerations; partially offset by;</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all remaining deferred revenue under the Amgen Agreement resulting from Amgen terminating its license to the EGFR Product effective May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incurred during the respective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External costs incurred by product candidate (target):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CX-904 (EGFRxCD3)</w:t>
            </w:r>
          </w:p>
        </w:tc>
        <w:tc>
          <w:tcPr>
            <w:tcW w:w="780" w:type="dxa"/>
            <w:vAlign w:val="bottom"/>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3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(7,028)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Varseta-M</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24,302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CX-801 (IFNα2b)</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16"/>
        </w:trPr>
        <w:tc>
          <w:tcPr>
            <w:tcW w:w="6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7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32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(8,793)</w:t>
            </w:r>
          </w:p>
        </w:tc>
        <w:tc>
          <w:tcPr>
            <w:tcW w:w="0" w:type="dxa"/>
            <w:vAlign w:val="bottom"/>
          </w:tcPr>
          <w:p>
            <w:pPr>
              <w:spacing w:after="0"/>
              <w:rPr>
                <w:sz w:val="1"/>
                <w:szCs w:val="1"/>
                <w:color w:val="auto"/>
              </w:rPr>
            </w:pPr>
          </w:p>
        </w:tc>
      </w:tr>
      <w:tr>
        <w:trPr>
          <w:trHeight w:val="20"/>
        </w:trPr>
        <w:tc>
          <w:tcPr>
            <w:tcW w:w="662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costs</w:t>
            </w:r>
          </w:p>
        </w:tc>
        <w:tc>
          <w:tcPr>
            <w:tcW w:w="7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35,805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(15,396)</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7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32,923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32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80" w:type="dxa"/>
            <w:vAlign w:val="bottom"/>
          </w:tcPr>
          <w:p>
            <w:pPr>
              <w:jc w:val="right"/>
              <w:ind w:right="62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68,728</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83,382</w:t>
            </w:r>
          </w:p>
        </w:tc>
        <w:tc>
          <w:tcPr>
            <w:tcW w:w="32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(14,654)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-454025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-454025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-454025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research and development expenses of $14.7 million for 2025 compared to 2024 was primarily due to:</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general research and development expenses as a result of the January 2025 restructuring;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CX-904 spend due to program deprioritization in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milestone payment of $5.0 million to ImmunoGen in prior year; partially offset by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Varseta-M manufacturing and clinical spend; and</w:t>
      </w:r>
    </w:p>
    <w:p>
      <w:pPr>
        <w:spacing w:after="0" w:line="117" w:lineRule="exact"/>
        <w:rPr>
          <w:rFonts w:ascii="Times New Roman" w:cs="Times New Roman" w:eastAsia="Times New Roman" w:hAnsi="Times New Roman"/>
          <w:sz w:val="18"/>
          <w:szCs w:val="18"/>
          <w:color w:val="auto"/>
        </w:rPr>
      </w:pPr>
    </w:p>
    <w:p>
      <w:pPr>
        <w:ind w:right="2740" w:firstLine="517"/>
        <w:spacing w:after="0" w:line="445" w:lineRule="auto"/>
        <w:tabs>
          <w:tab w:leader="none" w:pos="101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one-time restructuring expenses of $1.7 million which were primarily included in internal costs. External research and development expenses are expected to be primarily focused on Varseta-M and CX-801 in 2026.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43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29,837</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remained flat for 2025 compared to 2024, primarily driven by $1.1 million of one-time restructuring expenses partially offset by reduced personnel related expenses and legal and consulting related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2025, we recognized aggregate restructuring cost of approximately $2.8 million, primarily related to severance and benefits. This included $1.7 million in research and development expenses and $1.1 million in general and administrative expenses. The restructuring was substantially completed in the first quarter of 2025.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2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5,206</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7,136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(1,930)</w:t>
            </w: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interest income and other expense</w:t>
            </w:r>
          </w:p>
        </w:tc>
        <w:tc>
          <w:tcPr>
            <w:tcW w:w="32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5,234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7,098</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(1,864)</w:t>
            </w:r>
          </w:p>
        </w:tc>
      </w:tr>
      <w:tr>
        <w:trPr>
          <w:trHeight w:val="628"/>
        </w:trPr>
        <w:tc>
          <w:tcPr>
            <w:tcW w:w="4200" w:type="dxa"/>
            <w:vAlign w:val="bottom"/>
            <w:tcBorders>
              <w:top w:val="single" w:sz="8" w:color="CFF0FC"/>
            </w:tcBorders>
          </w:tcPr>
          <w:p>
            <w:pPr>
              <w:spacing w:after="0"/>
              <w:rPr>
                <w:sz w:val="24"/>
                <w:szCs w:val="24"/>
                <w:color w:val="auto"/>
              </w:rPr>
            </w:pPr>
          </w:p>
        </w:tc>
        <w:tc>
          <w:tcPr>
            <w:tcW w:w="244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-933450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-916305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-933450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-916305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decreased by $1.9 million during 2025 compared to 2024. The decrease was primarily driven by lower interest rates.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cash equivalents and short-term investments of $137.1 million and an accumulated deficit of $711.9 million, compared to cash, cash equivalents and investments of $100.6 million and an accumulated deficit of $691.6 million as of December 31, 2024. To date, we have financed our operations primarily through sales of our common stock in conjunction with the IPO, subsequent stock offerings and through our at-the-market offering, sales of our convertible preferred securities prior to our IPO, payments received under our collaboration agreements and proceeds from private placements of our common stock, warrants and pre-funded warrants. In March 2024, we achieved a clinical candidate milestone for a second collaboration target as well as the GLP toxicology studies milestone for the first collaboration target nominated in January 2023 under the Astellas Agreement; as a result, we collected the two milestone payments totaling $10.0 million in April 2024. In the first quarter of 2025, we achieved the GLP toxicology studies for the second collaboration target nominated in March 2024 under the Astellas Agreement. As a result, we collected the $5.0 million milestone payment in March 2025.</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6, 2025, we announced the 2025 Restructuring Plan to streamline our organization and prioritize Varseta-M investment and activities to support our research collaborations. The 2025 Restructuring Plan resulted in a reduction to our workforce by approximately 40% and was substantially completed in the first quarter of 2025.</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February 2020, we initiated an at-the-market offering program (“ATM”) pursuant to a sales agreement with Jefferies, LLC (as amended on March 4, 2022 and August 9, 2024, the “Sales Agreement”). In 2024, we sold 3,925,202 shares at a weighted average price of $1.82 per share under our ATM offering for net proceeds of approximately $6.9 million after deducting sales commissions and related issuance cost. In 2025, we sold 4,872,861 shares at a weighted average price of $3.44 per share under our ATM offering for net proceeds of approximately $16.3 million after deducting sales commissions and related issuance cost.</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May 2025, we completed an underwritten public offering of 76,923,076 shares of common stock at a price of $1.30 per share and received net proceeds of approximately $93.4 million, after deducting underwriting discounts and commissions of $6.0 million and offering expenses of $0.6 million.</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Based upon our current operating plan and liquidity requirements, we expect our existing capital resources will be sufficient to fund operations into the second quarter of 2027.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Annual Report on Form 10-K. The cost and timing of developing our product candidates is highly uncertain and subject to substantial risks and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capital to fund our operations in the future. There can be no assurance, however, that such efforts will be successful; or if they are successful, that the terms and conditions of such financing will be favorable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3"/>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(75,587)</w:t>
            </w:r>
          </w:p>
        </w:tc>
        <w:tc>
          <w:tcPr>
            <w:tcW w:w="10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(86,231)</w:t>
            </w:r>
          </w:p>
        </w:tc>
        <w:tc>
          <w:tcPr>
            <w:tcW w:w="0" w:type="dxa"/>
            <w:vAlign w:val="bottom"/>
          </w:tcPr>
          <w:p>
            <w:pPr>
              <w:spacing w:after="0"/>
              <w:rPr>
                <w:sz w:val="1"/>
                <w:szCs w:val="1"/>
                <w:color w:val="auto"/>
              </w:rPr>
            </w:pPr>
          </w:p>
        </w:tc>
      </w:tr>
      <w:tr>
        <w:trPr>
          <w:trHeight w:val="216"/>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(59,744)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99,700</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5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110,446</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(24,885)</w:t>
            </w:r>
          </w:p>
        </w:tc>
        <w:tc>
          <w:tcPr>
            <w:tcW w:w="10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20,991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5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-1079500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$75.6 million and $86.2 million for 2025 and 2024, respectively, was largely due to ongoing research and development activities and general and administrative expenses to support those activities. Net loss for 2025 and net income for 2024 included, among other items, non-cash charges of stock-based compensation, non-cash lease expense, depreciation and amortization and impairment loss, partially offset by net accretion of discounts on short-term investments.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net cash used in investing activities was $59.7 million, primarily due to increased purchases of short term investments following the funds received from our equity via the underwritten public issuance offering in May 2025 and from our ATM program. These purchases were partially offset by proceeds from the maturities of marketable securities.</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investing activities was $99.7 million, primarily due to proceeds from the maturities of short term investments partially offset by purchases of short-term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net cash provided by financing activities of $110.4 million was primarily due to net proceeds from equity issuance via the underwritten public issuance offering in May 2025 and under our ATM program.</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net cash provided by financing activities of $7.5 million was primarily due to net proceeds from issuance of common stock, net of issuance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that become due within the next year (in thousands):</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Payments Due by</w:t>
            </w:r>
          </w:p>
        </w:tc>
      </w:tr>
      <w:tr>
        <w:trPr>
          <w:trHeight w:val="142"/>
        </w:trPr>
        <w:tc>
          <w:tcPr>
            <w:tcW w:w="5640" w:type="dxa"/>
            <w:vAlign w:val="bottom"/>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240" w:type="dxa"/>
            <w:vAlign w:val="bottom"/>
            <w:tcBorders>
              <w:top w:val="single" w:sz="8" w:color="auto"/>
              <w:bottom w:val="single" w:sz="8" w:color="auto"/>
            </w:tcBorders>
          </w:tcPr>
          <w:p>
            <w:pPr>
              <w:jc w:val="right"/>
              <w:ind w:right="113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2"/>
                <w:szCs w:val="12"/>
                <w:color w:val="auto"/>
              </w:rPr>
            </w:pPr>
          </w:p>
        </w:tc>
      </w:tr>
      <w:tr>
        <w:trPr>
          <w:trHeight w:val="210"/>
        </w:trPr>
        <w:tc>
          <w:tcPr>
            <w:tcW w:w="56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Royalty obligations</w:t>
            </w:r>
            <w:r>
              <w:rPr>
                <w:rFonts w:ascii="Times New Roman" w:cs="Times New Roman" w:eastAsia="Times New Roman" w:hAnsi="Times New Roman"/>
                <w:sz w:val="24"/>
                <w:szCs w:val="24"/>
                <w:color w:val="auto"/>
                <w:vertAlign w:val="superscript"/>
              </w:rPr>
              <w:t>(2)</w:t>
            </w:r>
          </w:p>
        </w:tc>
        <w:tc>
          <w:tcPr>
            <w:tcW w:w="4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16"/>
        </w:trPr>
        <w:tc>
          <w:tcPr>
            <w:tcW w:w="56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License maintenance fees</w:t>
            </w:r>
            <w:r>
              <w:rPr>
                <w:rFonts w:ascii="Times New Roman" w:cs="Times New Roman" w:eastAsia="Times New Roman" w:hAnsi="Times New Roman"/>
                <w:sz w:val="24"/>
                <w:szCs w:val="24"/>
                <w:color w:val="auto"/>
                <w:vertAlign w:val="superscript"/>
              </w:rPr>
              <w:t>(3)</w:t>
            </w:r>
          </w:p>
        </w:tc>
        <w:tc>
          <w:tcPr>
            <w:tcW w:w="460" w:type="dxa"/>
            <w:vAlign w:val="bottom"/>
            <w:tcBorders>
              <w:bottom w:val="single" w:sz="8" w:color="auto"/>
            </w:tcBorders>
            <w:shd w:val="clear" w:color="auto" w:fill="CFF0FC"/>
          </w:tcPr>
          <w:p>
            <w:pPr>
              <w:spacing w:after="0"/>
              <w:rPr>
                <w:sz w:val="18"/>
                <w:szCs w:val="18"/>
                <w:color w:val="auto"/>
              </w:rPr>
            </w:pP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912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4" w:lineRule="exact"/>
        <w:rPr>
          <w:sz w:val="20"/>
          <w:szCs w:val="20"/>
          <w:color w:val="auto"/>
        </w:rPr>
      </w:pPr>
    </w:p>
    <w:p>
      <w:pPr>
        <w:ind w:firstLine="8"/>
        <w:spacing w:after="0" w:line="294" w:lineRule="auto"/>
        <w:tabs>
          <w:tab w:leader="none" w:pos="17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lease our current facility under a long-term operating lease, which expires in 2026. The lease provides us with one option to extend the lease term for a period of five years at the then fair market rental value. See Part II. Item 8. Financial Statements and Supplementary Data, Note 11 - “Leases" in the accompanying Notes to the financial statements for more information.</w:t>
      </w:r>
    </w:p>
    <w:p>
      <w:pPr>
        <w:spacing w:after="0" w:line="92" w:lineRule="exact"/>
        <w:rPr>
          <w:rFonts w:ascii="Times New Roman" w:cs="Times New Roman" w:eastAsia="Times New Roman" w:hAnsi="Times New Roman"/>
          <w:sz w:val="20"/>
          <w:szCs w:val="20"/>
          <w:color w:val="auto"/>
          <w:vertAlign w:val="superscript"/>
        </w:rPr>
      </w:pPr>
    </w:p>
    <w:p>
      <w:pPr>
        <w:ind w:right="120" w:firstLine="8"/>
        <w:spacing w:after="0" w:line="291" w:lineRule="auto"/>
        <w:tabs>
          <w:tab w:leader="none" w:pos="17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have minimum royalty obligations under the terms of certain exclusive licensed patent rights. The royalty obligations are cancellable any time by giving notice to the licensor, with the termination being effective 60 days after giving notice. See Part II. Item 8. Financial Statements and Supplementary Data, Note 9 - “License Agreement” in the accompanying Notes to the financial statements for more information. Sublicense fees payable to UCSB for potential milestones that are probable to be earned by us in 2026 are not included.</w:t>
      </w:r>
    </w:p>
    <w:p>
      <w:pPr>
        <w:spacing w:after="0" w:line="315" w:lineRule="exact"/>
        <w:rPr>
          <w:rFonts w:ascii="Times New Roman" w:cs="Times New Roman" w:eastAsia="Times New Roman" w:hAnsi="Times New Roman"/>
          <w:sz w:val="20"/>
          <w:szCs w:val="20"/>
          <w:color w:val="auto"/>
          <w:vertAlign w:val="superscript"/>
        </w:rPr>
      </w:pPr>
    </w:p>
    <w:p>
      <w:pPr>
        <w:ind w:right="620" w:firstLine="8"/>
        <w:spacing w:after="0" w:line="306" w:lineRule="auto"/>
        <w:tabs>
          <w:tab w:leader="none" w:pos="170"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We have annual license maintenance fees under the terms of certain license agreement with UCSB. See Part II. Item 8. Financial Statements and Supplementary Data, Note 9 - “License Agreement” in the accompanying Notes to the financial statements for more information.</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vendors for clinical and pre-clinical studies and other services and products for operating purposes, which are cancelable at any time by us, generally upon 30 to 180 days with prior written notice. These payments are not included in the above table of contractual obligations. The above table also excludes unrecognized tax benefits and related interest and penalties of $4.4 million as of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one primary business activity and operate as one reportable segment.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United States generally accepted accounting principles (“U.S. GAAP”). The preparation of these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2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We assess whether the promises in our arrangements with customers are considered as distinct performance obligations that should be accounted for separately. Judgment is required to determine whether the license to our intellectual property is distinct from the research and development services or participation on steering committees.</w:t>
      </w:r>
    </w:p>
    <w:p>
      <w:pPr>
        <w:spacing w:after="0" w:line="2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To date, we have concluded that these contingent payments should be fully constrained until the conditions are met. At each reporting date, we re-evaluate whether the milestones are considered probable of being achieved and estimate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Our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 As of December 31, 2025, no sales-based milestones have been recognized.</w:t>
      </w:r>
    </w:p>
    <w:p>
      <w:pPr>
        <w:spacing w:after="0" w:line="22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In the event that we receive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Most of our collaboration arrangements are related to delivering a combined performance obligation satisfied over time. Revenue is recognized over the estimated research period using an input measure based on our actual full-time employee (“FTE”) hours incurred as a percentage of projected FTE hours for completing the performance obligation. We evaluate the measure of progress each reporting period and, if necessary, we adjust the measure of performance and related revenue recognition. There have been changes in estimates of research service periods and/or the related estimated FTE hours-to-completion of certain of our research development programs in each reporting period. Such adjustment is accounted for on a prospective basis in our revenue recognition. Changes in our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8" w:name="page89"/>
    <w:bookmarkEnd w:id="88"/>
    <w:p>
      <w:pPr>
        <w:ind w:right="220"/>
        <w:spacing w:after="0" w:line="282" w:lineRule="auto"/>
        <w:rPr>
          <w:sz w:val="20"/>
          <w:szCs w:val="20"/>
          <w:color w:val="auto"/>
        </w:rPr>
      </w:pPr>
      <w:r>
        <w:rPr>
          <w:rFonts w:ascii="Times New Roman" w:cs="Times New Roman" w:eastAsia="Times New Roman" w:hAnsi="Times New Roman"/>
          <w:sz w:val="18"/>
          <w:szCs w:val="18"/>
          <w:color w:val="auto"/>
        </w:rPr>
        <w:t>estimated research service periods resulted in recognition of higher total revenue of $13.8 million for 2025 as compared to the estimated research service periods in place at the end of 2024, and a decrease of net loss per share by $0.10 for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Any consideration payable to our customers is treated as a reduction to the transaction price and revenue, unless the payment to the customer is in exchange for distinct good and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preclinical and clinical studies and contract manufacturing activities, which are a significant component of research and development expenses. A substantial portion of our ongoing research and development activities is conducted by third-party service providers. We accrue the costs incurred under agreements with these third parties based on actual work completed in accordance with the respective agreements. In the event we make advance payments, they are recorded as prepaid expenses and recognized as the services are performed. We determine the estimated costs through discussions with internal personnel and external service providers as to the progress of stage of completion of the services and the agreed-upon fees to be paid for such services.</w:t>
      </w:r>
    </w:p>
    <w:p>
      <w:pPr>
        <w:spacing w:after="0" w:line="79"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We make estimates in determining the accrual balance in each reporting period. As actual costs become known, we adjust our accruals accordingly. While we do not expect our estimates to differ materially from the actual amounts incurred, differences in the status and timing of services performed relative to vendor reporting and invoicing may result in modest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variability. Our accruals depend, in part, on the timely and accurate reporting of services performed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vendors. Differences between estimated and actual amounts, including but not limited to those related to patient enrollment levels, enrollment timing, and services performed, may result in adjustments to clinical trial expenses in future periods.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file income taxes in the U.S. federal jurisdiction, the state of California and various other U.S. states. The state of California contested our tax position on revenue apportionment for upfront and milestone payments resulting from our collaboration and licensing agreements for the years 2017 and 2018. In September 2023, we received a Notice of Proposed Assessment (“NOPA”) from the Franchise Tax Board. We recorded an uncertain tax position of $4.4 million in long term liabilities for the proposed tax assessment, penalties and interest through December 31, 2025. Additional utilization of carryforward attributes and indirect federal tax effects of the assessment would result in a reduction in deferred tax assets of $5.0 million as of December 31, 2025. We filed a protest to contest the proposed assessment in November 2023. Due to the ongoing nature of the examination and discussions with the state of California, we are unable to estimate a date by which this matter will be resolved.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 We had cash, cash equivalents and investments of $137.1 million and $100.6 million as of December 31, 2025 and 2024, respectively, which consists of bank deposits, money market funds and U.S. Treasury securities. Such interest-bearing instruments carry a degree of interest rate risk; however, historical fluctuations of interest income have not been significant.</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December 31, 2025, a hypothetical 100 basis point change in interest rates would not have a material effect in the fair value of the portfolio.</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also exposed to foreign currency exchange risk related to foreign currency-based expenses. To date, foreign currency transaction gains and losses have not been material to our financial statements. We do not currently hedge our foreign currency exposure.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INDEX TO AUDITED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7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42)</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00" w:type="dxa"/>
            <w:vAlign w:val="bottom"/>
            <w:gridSpan w:val="8"/>
            <w:vMerge w:val="continue"/>
          </w:tcPr>
          <w:p>
            <w:pPr>
              <w:spacing w:after="0"/>
              <w:rPr>
                <w:sz w:val="14"/>
                <w:szCs w:val="14"/>
                <w:color w:val="auto"/>
              </w:rPr>
            </w:pPr>
          </w:p>
        </w:tc>
        <w:tc>
          <w:tcPr>
            <w:tcW w:w="5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89</w:t>
            </w:r>
          </w:p>
        </w:tc>
        <w:tc>
          <w:tcPr>
            <w:tcW w:w="0" w:type="dxa"/>
            <w:vAlign w:val="bottom"/>
          </w:tcPr>
          <w:p>
            <w:pPr>
              <w:spacing w:after="0"/>
              <w:rPr>
                <w:sz w:val="1"/>
                <w:szCs w:val="1"/>
                <w:color w:val="auto"/>
              </w:rPr>
            </w:pPr>
          </w:p>
        </w:tc>
      </w:tr>
      <w:tr>
        <w:trPr>
          <w:trHeight w:val="434"/>
        </w:trPr>
        <w:tc>
          <w:tcPr>
            <w:tcW w:w="55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80" w:type="dxa"/>
            <w:vAlign w:val="bottom"/>
          </w:tcPr>
          <w:p>
            <w:pPr>
              <w:spacing w:after="0"/>
              <w:rPr>
                <w:sz w:val="16"/>
                <w:szCs w:val="16"/>
                <w:color w:val="auto"/>
              </w:rPr>
            </w:pPr>
          </w:p>
        </w:tc>
        <w:tc>
          <w:tcPr>
            <w:tcW w:w="1022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Balance Sheets</w:t>
            </w:r>
          </w:p>
        </w:tc>
        <w:tc>
          <w:tcPr>
            <w:tcW w:w="5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92</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 and Comprehensive Income (Loss)</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Stockholders’ Equity (Deficit)</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94</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95</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102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96</w:t>
            </w: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0" w:name="page91"/>
    <w:bookmarkEnd w:id="90"/>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CytomX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CytomX Therapeutics, Inc. (the Company) as of December 31, 2025 and 2024, the related statements of operations and comprehensive income (loss), stockholders’ equity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16,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91" w:name="page92"/>
    <w:bookmarkEnd w:id="91"/>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0" w:right="160"/>
        <w:spacing w:after="0" w:line="315"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Accounting for revenue and collaboration agreements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recorded revenue from collaboration agreements of $76.2 million for the year ended December 31, 2025. As described in Note 2 to the financial statements, the terms of the Company’s collaboration agreements may include licenses for the Company’s technology or programs, research and development services, and services or obligations in connection with participation in research or steering committees. Amounts received under these arrangements typically include nonrefundable upfront payments and license fees, research funding, milestone and other contingent payments for the achievement of defined collaboration objectives and certain preclinical, clinical, regulatory and sales-based events, as well as royalties on sales of any commercialized products.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Auditing the Company’s accounting for revenue from collaboration agreements required judgment primarily in evaluating estimates of the total expected inputs (hours) under the input method for revenue recognized over time.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the controls over the determination of the actual hours incurred for each performance obligation for the period, management’s estimate of the total expected hours to be incurred for each performance obligation, and the calculation and recognition of revenue for each performance obligation.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test the recognition of revenue from collaboration agreements, our audit procedures included, among others, reviewing management’s analysis for accuracy and completeness by agreeing data to the underlying contract, inspecting research or steering committee minutes, and testing the application of the input method for the recognition of revenue, including testing the actual hours incurred and management’s estimate of the total hours to be incurred for each performance obligation for revenue recognized over time.</w:t>
      </w:r>
    </w:p>
    <w:p>
      <w:pPr>
        <w:spacing w:after="0" w:line="590" w:lineRule="exact"/>
        <w:rPr>
          <w:sz w:val="20"/>
          <w:szCs w:val="20"/>
          <w:color w:val="auto"/>
        </w:rPr>
      </w:pPr>
    </w:p>
    <w:p>
      <w:pPr>
        <w:sectPr>
          <w:pgSz w:w="11900" w:h="16838" w:orient="portrait"/>
          <w:cols w:equalWidth="0" w:num="2">
            <w:col w:w="1900" w:space="380"/>
            <w:col w:w="8920"/>
          </w:cols>
          <w:pgMar w:left="320" w:top="1413" w:right="37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CytomX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CytomX Therapeutics, Inc.’s internal control over financial reporting as of December 31, 2025, based on criteria established in Internal Control—Integrated Framework issued by the Committee of Sponsoring Organizations of the Treadway Commission (2013 framework) (the COSO criteria). In our opinion, CytomX Therapeutics, Inc.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balance sheets of the Company as of December 31, 2025 and 2024, the related statements of operations and comprehensive income (loss), stockholders’ equity (deficit) and cash flows for each of the two years in the period ended December 31, 2025, and the related notes and our report dated March 16,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short term</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67,201</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85,772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long term</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Convertible preferred stock, $0.00001 par value; 10,000,000 shares authorized and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shares issued and outstanding</w:t>
            </w: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$0.00001 par value; 300,000,000 and 150,000,000 shares authorized,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170,186,365 and 80,099,889 shares issued and outstanding at December 31, 2025</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2024,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0"/>
                <w:szCs w:val="20"/>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691,095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(711,949)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(691,579)</w:t>
            </w:r>
          </w:p>
        </w:tc>
      </w:tr>
      <w:tr>
        <w:trPr>
          <w:trHeight w:val="20"/>
        </w:trPr>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w:t>
            </w:r>
          </w:p>
        </w:tc>
      </w:tr>
      <w:tr>
        <w:trPr>
          <w:trHeight w:val="20"/>
        </w:trPr>
        <w:tc>
          <w:tcPr>
            <w:tcW w:w="77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151,566</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-3385185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76,201</w:t>
            </w:r>
          </w:p>
        </w:tc>
        <w:tc>
          <w:tcPr>
            <w:tcW w:w="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98,565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(22,364)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(17,130)</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(17,368)</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Deemed dividend on warrants</w:t>
            </w:r>
          </w:p>
        </w:tc>
        <w:tc>
          <w:tcPr>
            <w:tcW w:w="40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(3,002)</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(20,370)</w:t>
            </w:r>
          </w:p>
        </w:tc>
        <w:tc>
          <w:tcPr>
            <w:tcW w:w="7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available-for-sale investments, net of tax</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(17,284)</w:t>
            </w:r>
          </w:p>
        </w:tc>
        <w:tc>
          <w:tcPr>
            <w:tcW w:w="7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5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(0.15)</w:t>
            </w:r>
          </w:p>
        </w:tc>
        <w:tc>
          <w:tcPr>
            <w:tcW w:w="7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720" w:type="dxa"/>
            <w:vAlign w:val="bottom"/>
            <w:gridSpan w:val="2"/>
          </w:tcPr>
          <w:p>
            <w:pPr>
              <w:jc w:val="right"/>
              <w:ind w:righ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used to compute net income (loss) per share</w:t>
            </w:r>
          </w:p>
        </w:tc>
        <w:tc>
          <w:tcPr>
            <w:tcW w:w="4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137,935,873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84,439,303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FF0FC"/>
            </w:tcBorders>
            <w:shd w:val="clear" w:color="auto" w:fill="CFF0FC"/>
          </w:tcPr>
          <w:p>
            <w:pPr>
              <w:ind w:left="1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137,935,873</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84,745,116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-2647950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-1517015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-951230</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-951230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768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-633730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200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200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ve</w:t>
            </w:r>
          </w:p>
        </w:tc>
        <w:tc>
          <w:tcPr>
            <w:tcW w:w="8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160"/>
              <w:spacing w:after="0" w:line="181" w:lineRule="exact"/>
              <w:rPr>
                <w:sz w:val="20"/>
                <w:szCs w:val="20"/>
                <w:color w:val="auto"/>
              </w:rPr>
            </w:pPr>
            <w:r>
              <w:rPr>
                <w:rFonts w:ascii="Times New Roman" w:cs="Times New Roman" w:eastAsia="Times New Roman" w:hAnsi="Times New Roman"/>
                <w:sz w:val="16"/>
                <w:szCs w:val="16"/>
                <w:b w:val="1"/>
                <w:bCs w:val="1"/>
                <w:color w:val="auto"/>
              </w:rPr>
              <w:t>Income/(Loss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 )</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67,310,838</w:t>
            </w:r>
          </w:p>
        </w:tc>
        <w:tc>
          <w:tcPr>
            <w:tcW w:w="100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675,905</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(723,448)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(47,447)</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980,552</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Employee Stock</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383,346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 Open Market Sale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Agreement, net of issuance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3,925,202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7,499,951</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80,099,889</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691,095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(691,579)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(456)</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 and release of 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1,159,980</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under the ESPP</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207,528</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the Open Market Sale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Agreement, net of issuance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4,872,861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in follow on offering, net of</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cost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76,923,076</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93,372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93,373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Exercise of pre-funded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6,923,031</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Deemed dividend on warrants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(3,002)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(17,368)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(17,368)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170,186,365</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810,844</w:t>
            </w:r>
          </w:p>
        </w:tc>
        <w:tc>
          <w:tcPr>
            <w:tcW w:w="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(711,949)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99,008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73"/>
        </w:trPr>
        <w:tc>
          <w:tcPr>
            <w:tcW w:w="78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9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(17,368)</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31,869</w:t>
            </w: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Impairment loss on machinery and equipment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Accretion of discounts on short-term investments</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(2,206)</w:t>
            </w: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(5,311)</w:t>
            </w:r>
          </w:p>
        </w:tc>
      </w:tr>
      <w:tr>
        <w:trPr>
          <w:trHeight w:val="203"/>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7,668</w:t>
            </w: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Non-cash lease expense</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(1,242)</w:t>
            </w: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(297)</w:t>
            </w:r>
          </w:p>
        </w:tc>
      </w:tr>
      <w:tr>
        <w:trPr>
          <w:trHeight w:val="203"/>
        </w:trPr>
        <w:tc>
          <w:tcPr>
            <w:tcW w:w="7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9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(3,049)</w:t>
            </w:r>
          </w:p>
        </w:tc>
        <w:tc>
          <w:tcPr>
            <w:tcW w:w="8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(9,628)</w:t>
            </w:r>
          </w:p>
        </w:tc>
      </w:tr>
      <w:tr>
        <w:trPr>
          <w:trHeight w:val="203"/>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(65,596)</w:t>
            </w: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8"/>
              </w:rPr>
              <w:t>(118,252)</w:t>
            </w:r>
          </w:p>
        </w:tc>
      </w:tr>
      <w:tr>
        <w:trPr>
          <w:trHeight w:val="20"/>
        </w:trPr>
        <w:tc>
          <w:tcPr>
            <w:tcW w:w="78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96"/>
        </w:trPr>
        <w:tc>
          <w:tcPr>
            <w:tcW w:w="78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(75,587)</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(86,231)</w:t>
            </w:r>
          </w:p>
        </w:tc>
      </w:tr>
      <w:tr>
        <w:trPr>
          <w:trHeight w:val="19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w:t>
            </w:r>
          </w:p>
        </w:tc>
        <w:tc>
          <w:tcPr>
            <w:tcW w:w="8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(310)</w:t>
            </w: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Purchases of short term investments</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8"/>
              </w:rPr>
              <w:t>(192,524)</w:t>
            </w: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8"/>
              </w:rPr>
              <w:t>(155,490)</w:t>
            </w:r>
          </w:p>
        </w:tc>
      </w:tr>
      <w:tr>
        <w:trPr>
          <w:trHeight w:val="202"/>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Maturities of short term investments</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255,500</w:t>
            </w:r>
          </w:p>
        </w:tc>
        <w:tc>
          <w:tcPr>
            <w:tcW w:w="220" w:type="dxa"/>
            <w:vAlign w:val="bottom"/>
          </w:tcPr>
          <w:p>
            <w:pPr>
              <w:spacing w:after="0"/>
              <w:rPr>
                <w:sz w:val="17"/>
                <w:szCs w:val="17"/>
                <w:color w:val="auto"/>
              </w:rPr>
            </w:pPr>
          </w:p>
        </w:tc>
      </w:tr>
      <w:tr>
        <w:trPr>
          <w:trHeight w:val="196"/>
        </w:trPr>
        <w:tc>
          <w:tcPr>
            <w:tcW w:w="7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(59,744)</w:t>
            </w:r>
          </w:p>
        </w:tc>
        <w:tc>
          <w:tcPr>
            <w:tcW w:w="880" w:type="dxa"/>
            <w:vAlign w:val="bottom"/>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99,700</w:t>
            </w:r>
          </w:p>
        </w:tc>
        <w:tc>
          <w:tcPr>
            <w:tcW w:w="220" w:type="dxa"/>
            <w:vAlign w:val="bottom"/>
            <w:shd w:val="clear" w:color="auto" w:fill="CFF0FC"/>
          </w:tcPr>
          <w:p>
            <w:pPr>
              <w:spacing w:after="0"/>
              <w:rPr>
                <w:sz w:val="17"/>
                <w:szCs w:val="17"/>
                <w:color w:val="auto"/>
              </w:rPr>
            </w:pPr>
          </w:p>
        </w:tc>
      </w:tr>
      <w:tr>
        <w:trPr>
          <w:trHeight w:val="196"/>
        </w:trPr>
        <w:tc>
          <w:tcPr>
            <w:tcW w:w="78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r>
      <w:tr>
        <w:trPr>
          <w:trHeight w:val="203"/>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issuance of pre-funded warrants and warrants, net of issuance cost</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common stock, net of issuance cost</w:t>
            </w:r>
          </w:p>
        </w:tc>
        <w:tc>
          <w:tcPr>
            <w:tcW w:w="9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109,635</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220" w:type="dxa"/>
            <w:vAlign w:val="bottom"/>
          </w:tcPr>
          <w:p>
            <w:pPr>
              <w:spacing w:after="0"/>
              <w:rPr>
                <w:sz w:val="17"/>
                <w:szCs w:val="17"/>
                <w:color w:val="auto"/>
              </w:rPr>
            </w:pPr>
          </w:p>
        </w:tc>
      </w:tr>
      <w:tr>
        <w:trPr>
          <w:trHeight w:val="203"/>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9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2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20" w:type="dxa"/>
            <w:vAlign w:val="bottom"/>
            <w:tcBorders>
              <w:bottom w:val="single" w:sz="8" w:color="CFF0FC"/>
            </w:tcBorders>
            <w:shd w:val="clear" w:color="auto" w:fill="CFF0FC"/>
          </w:tcPr>
          <w:p>
            <w:pPr>
              <w:spacing w:after="0"/>
              <w:rPr>
                <w:sz w:val="17"/>
                <w:szCs w:val="17"/>
                <w:color w:val="auto"/>
              </w:rPr>
            </w:pPr>
          </w:p>
        </w:tc>
      </w:tr>
      <w:tr>
        <w:trPr>
          <w:trHeight w:val="196"/>
        </w:trPr>
        <w:tc>
          <w:tcPr>
            <w:tcW w:w="7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0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110,446</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7,522</w:t>
            </w:r>
          </w:p>
        </w:tc>
        <w:tc>
          <w:tcPr>
            <w:tcW w:w="220" w:type="dxa"/>
            <w:vAlign w:val="bottom"/>
          </w:tcPr>
          <w:p>
            <w:pPr>
              <w:spacing w:after="0"/>
              <w:rPr>
                <w:sz w:val="17"/>
                <w:szCs w:val="17"/>
                <w:color w:val="auto"/>
              </w:rPr>
            </w:pPr>
          </w:p>
        </w:tc>
      </w:tr>
      <w:tr>
        <w:trPr>
          <w:trHeight w:val="19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(24,885)</w:t>
            </w: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20,991</w:t>
            </w: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20" w:type="dxa"/>
            <w:vAlign w:val="bottom"/>
          </w:tcPr>
          <w:p>
            <w:pPr>
              <w:spacing w:after="0"/>
              <w:rPr>
                <w:sz w:val="17"/>
                <w:szCs w:val="17"/>
                <w:color w:val="auto"/>
              </w:rPr>
            </w:pPr>
          </w:p>
        </w:tc>
      </w:tr>
      <w:tr>
        <w:trPr>
          <w:trHeight w:val="23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year</w:t>
            </w:r>
          </w:p>
        </w:tc>
        <w:tc>
          <w:tcPr>
            <w:tcW w:w="900" w:type="dxa"/>
            <w:vAlign w:val="bottom"/>
            <w:tcBorders>
              <w:bottom w:val="single" w:sz="8" w:color="auto"/>
            </w:tcBorders>
            <w:shd w:val="clear" w:color="auto" w:fill="CFF0FC"/>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14,194</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39,079</w:t>
            </w:r>
          </w:p>
        </w:tc>
        <w:tc>
          <w:tcPr>
            <w:tcW w:w="220" w:type="dxa"/>
            <w:vAlign w:val="bottom"/>
            <w:tcBorders>
              <w:bottom w:val="single" w:sz="8" w:color="CFF0FC"/>
            </w:tcBorders>
            <w:shd w:val="clear" w:color="auto" w:fill="CFF0FC"/>
          </w:tcPr>
          <w:p>
            <w:pPr>
              <w:spacing w:after="0"/>
              <w:rPr>
                <w:sz w:val="20"/>
                <w:szCs w:val="20"/>
                <w:color w:val="auto"/>
              </w:rPr>
            </w:pPr>
          </w:p>
        </w:tc>
      </w:tr>
      <w:tr>
        <w:trPr>
          <w:trHeight w:val="183"/>
        </w:trPr>
        <w:tc>
          <w:tcPr>
            <w:tcW w:w="7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items: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 liabilities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7"/>
                <w:szCs w:val="17"/>
                <w:color w:val="auto"/>
              </w:rPr>
            </w:pPr>
          </w:p>
        </w:tc>
      </w:tr>
      <w:tr>
        <w:trPr>
          <w:trHeight w:val="20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financing items:</w:t>
            </w: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7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Deemed dividend on warrants</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20" w:type="dxa"/>
            <w:vAlign w:val="bottom"/>
          </w:tcPr>
          <w:p>
            <w:pPr>
              <w:spacing w:after="0"/>
              <w:rPr>
                <w:sz w:val="17"/>
                <w:szCs w:val="17"/>
                <w:color w:val="auto"/>
              </w:rPr>
            </w:pPr>
          </w:p>
        </w:tc>
        <w:tc>
          <w:tcPr>
            <w:tcW w:w="88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-2656840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-2656840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-1859915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-1859915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-1336675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-796290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-779780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-796290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-779780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2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CytomX Therapeutics, Inc. (the “Company”) is a clinical-stage, oncology-focused biopharmaceutical company developing potent biologics designed to remain masked and inactive in healthy tissue and to be unmasked and preferentially activated in the tumor microenvironment. The Company aims to build a commercial enterprise to maximize its impact on the treatment of cancer. The Company is advancing potential first-in-class and best-in-class therapeutics created using its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technology platform that could meaningfully improve outcomes for cancer patients. Its proprietary and unique PROBODY technology platform is designed to enable “conditional activation” of masked drug candidates in the tumor microenvironment across multiple therapeutic modalities. The Company is located in South San Francisco, California and was incorporated in the state of Delaware in September 2010.</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U.S. GAAP requires management to make estimates and assumptions that affect the reported amounts of assets and liabilities, disclosure of contingent liabilities at the date of the financial statements and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biopharmaceutical companies in the early stage,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the Company’s products, and protection of proprietary technology. If the Company does not successfully obtain regulatory approval, commercialize or partner any of its product candidates, it will be unable to generate revenue from product sales or achieve profitability.</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short-term investments and accounts receivable. Substantially all the Company’s cash is held by one financial institution. Such deposits may, at times, exceed federally insured limits. The Company invests its cash equivalents in highly rated money market funds and its short-term investments in U.S. Treasury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the date of purchase to be cash equivalents. Restricted cash represents a standby letter of credit issued pursuant to office leases and value added tax return.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amounts shown in the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380" w:type="dxa"/>
            <w:vAlign w:val="bottom"/>
            <w:vMerge w:val="restart"/>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vMerge w:val="restart"/>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3380" w:type="dxa"/>
            <w:vAlign w:val="bottom"/>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12,667</w:t>
            </w:r>
          </w:p>
        </w:tc>
        <w:tc>
          <w:tcPr>
            <w:tcW w:w="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non-current assets</w:t>
            </w:r>
          </w:p>
        </w:tc>
        <w:tc>
          <w:tcPr>
            <w:tcW w:w="33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8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88"/>
        </w:trPr>
        <w:tc>
          <w:tcPr>
            <w:tcW w:w="4040" w:type="dxa"/>
            <w:vAlign w:val="bottom"/>
            <w:tcBorders>
              <w:top w:val="single" w:sz="8" w:color="CFF0FC"/>
            </w:tcBorders>
          </w:tcPr>
          <w:p>
            <w:pPr>
              <w:spacing w:after="0"/>
              <w:rPr>
                <w:sz w:val="24"/>
                <w:szCs w:val="24"/>
                <w:color w:val="auto"/>
              </w:rPr>
            </w:pPr>
          </w:p>
        </w:tc>
        <w:tc>
          <w:tcPr>
            <w:tcW w:w="3380" w:type="dxa"/>
            <w:vAlign w:val="bottom"/>
            <w:tcBorders>
              <w:top w:val="single" w:sz="8" w:color="CFF0FC"/>
            </w:tcBorders>
          </w:tcPr>
          <w:p>
            <w:pPr>
              <w:jc w:val="right"/>
              <w:ind w:right="1610"/>
              <w:spacing w:after="0"/>
              <w:rPr>
                <w:sz w:val="20"/>
                <w:szCs w:val="20"/>
                <w:color w:val="auto"/>
              </w:rPr>
            </w:pPr>
            <w:r>
              <w:rPr>
                <w:rFonts w:ascii="Times New Roman" w:cs="Times New Roman" w:eastAsia="Times New Roman" w:hAnsi="Times New Roman"/>
                <w:sz w:val="18"/>
                <w:szCs w:val="18"/>
                <w:color w:val="auto"/>
              </w:rPr>
              <w:t>96</w:t>
            </w: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-908050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-890905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All investments have been classified as available-for-sale (“AFS”) and are carried at fair value as determined based upon quoted market prices or pricing models for similar securities at period end. Investments that are required for use in current operations and that mature in less than 12 months are classified as short-term investments in the accompanying balance sheets.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 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 Interest receivable of $0.5 million and $22 thousand as of December 31, 2025 and 2024, respectively, primarily related to short term investments are included in prepaid expenses and other current assets.</w:t>
      </w:r>
    </w:p>
    <w:p>
      <w:pPr>
        <w:spacing w:after="0" w:line="18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Depreciation is provided using the straight-line method over the estimated useful lives of the respective assets. The useful lives of property and equipment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82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8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20" w:type="dxa"/>
            <w:vAlign w:val="bottom"/>
            <w:shd w:val="clear" w:color="auto" w:fill="CFF0FC"/>
          </w:tcPr>
          <w:p>
            <w:pPr>
              <w:ind w:left="19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Shorter of remaining lease term or estimated life of the assets</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repairs that do not extend the life or improve the asset are expensed when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fair value of tangible and identifiable intangible assets acquired in business combinations. Goodwill and other intangible assets with indefinite lives are not amortized, but are assigned to reporting units and tested for impairment annually, or whenever there is an impairment indicator. Intangible assets are comprised of in-process research and development. The Company assesses impairment indicators annually as of December 31 or more frequently, if a change in circumstances or the occurrence of events suggests the remaining value may not be recoverable. Intangible assets that are not deemed to have an indefinite life are amortized over their estimated useful lives. There was no impairment of goodwill or intangible assets identified during the years ended December 31,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(or asset group) may not be recoverable and prior to any goodwill impairment test. An impairment loss is recognized when the total of estimated undiscounted future cash flows expected to result from the use of the asset (or asset group) and its eventual disposition is less than its carrying amount. Impairment, if any, would be assessed using discounted cash flows or other appropriate measures of fair value. During the years ended December 31, 2025 and 2024, the Company recorded impairment loss of $0.4 million and $0.1 million for long-lived assets.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8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assesses whether the promises in its arrangements with customers are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achieved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9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instead, they are included when the sales or usage occur.</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Most of the company's collaboration arrangements are related to delivering a combined performance obligation satisfied over time. Revenue is recognized over the estimated research period using an input measure based on the actual full-time employee (“FTE”) hours incurred as a percentage of projected FTE hours for completing the performance obligation. There have been changes in estimates of research service periods and/or the related estimated FTE hours-to-completion of certain of its research development programs in each reporting period. Such adjustment is accounted for on a prospective basis in the Company's revenue recognition. Changes in the estimated research service periods resulted in recognition of higher total revenue of $13.8 million for 2025 as compared to the estimated research service periods in place at the end of 2024, and a decrease of net loss per share by $0.10 for 2025.</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Any consideration payable to the Company’s customers is treated as a reduction to the transaction price and revenue, unless the payment to the customer is in exchange for distinct good and services.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0" w:name="page101"/>
    <w:bookmarkEnd w:id="10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Comprehensive income (loss) represents all changes in stockholders’ equity (deficit) except those resulting from distributions to stockholders. The Company’s non-credit related unrealized gains and losses on investments during the period represent the component of other comprehensive income (loss) that is excluded from the reported net loss.</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measures compensation expense for all stock-based payment awards, including employee stock options, restricted stock units (“RSUs”), and employee stock purchases related to Employee Stock Purchase Plan (“ESPP”) based on estimated fair values of the award at the grant date, and recognizes compensation expense over the requisite service vesting period. Stock option forfeitures are accounted for in the period in which they occur.</w:t>
      </w:r>
    </w:p>
    <w:p>
      <w:pPr>
        <w:spacing w:after="0" w:line="17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To determine the fair value of a stock option award on the grant date, the Company uses the Black-Scholes option pricing model which consist of estimating variables such as the following. These estimates involve inherent uncertainties and the application of judgment.</w:t>
      </w:r>
    </w:p>
    <w:p>
      <w:pPr>
        <w:spacing w:after="0" w:line="16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of stock options represents the period that the stock options are expected to remain outstanding and is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historical exercise experience with previously issued employee and board of directors' option grants. The expected term of the ESPP shares is equal to the six-month look-back period.</w:t>
      </w:r>
    </w:p>
    <w:p>
      <w:pPr>
        <w:spacing w:after="0" w:line="173"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stock price volatility for the Company’s stock options is based on the historical stock price volatility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commensurate with the estimated expected term of the stock awards. Volatility for ESPP shares is equal to the Company’s historical volatility over a six-month offering period.</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U.S. Treasury yield with a maturity equal to the expected term of the stock options in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time of grant.</w:t>
      </w:r>
    </w:p>
    <w:p>
      <w:pPr>
        <w:spacing w:after="0" w:line="15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The expected dividend is assumed to be zero as the Company has never paid dividends and has no current plan to pay any dividends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w:t>
      </w:r>
    </w:p>
    <w:p>
      <w:pPr>
        <w:spacing w:after="0" w:line="1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measures its restricted stock unit awards based on the market price of the Company’s common shares on the date of grant. Share-based compensation expense for performance-based awards is recognized when it becomes probable that the performance condition will be met. The Company reassesses the estimated probability at each reporting period, and if it is determined at a future date that a performance condition is probable of being achieved, the Company will recognize a cumulative catch-up adjustment and record the remaining expense ratably over the remaining requisite service period.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an asset and liability approach. Deferred tax assets and liabilities reflect the net tax effects of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Company records a valuation allowance to reduce its deferred tax assets to reflect the net amount that it believes as more likely than not to be realized. Realization of the deferred tax assets is dependent on the generation of future taxable income, the amount and timing of which are uncertain. The valuation allowance requires an assessment of both positive and negative evidence when determining whether it is more likely than not that deferred tax assets are recoverable. Based upon the weight of available evidence at December 31, 2025, the Company continues to maintain a full valuation allowance against all of its deferred tax assets.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recognizes the tax effects of an uncertain tax position only if it is more likely than not that it will be sustained based solely on its technical merits as of the reporting date and only in an amount more likely than not that it will be sustained upon review by the tax authorities. The Company evaluates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its uncertain income tax positions is dependent on uncontrollable factors such as law changes, new case law, and the willingness of the income tax authorities to settle, including the timing thereof and other factors. Interest and/or penalties related to income tax matters are recognized as a component of income tax expense.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accounted for as a single lease component. The non-lease components generally refer to common area maintenance (“CAM”) charges related to the premises.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enhances transparency in income tax disclosures. ASU 2023-09 requires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ASU 2023-09 also requires entities to disclose their income tax payments to international, federal, state and local jurisdictions, among other changes. The Company has adopted this ASU as of December 31, 2025 on a prospective basis.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2024-03, Disaggregation of Income Statement Expenses (“ASU 2024-03”), which enhances transparency in income statement disclosures. ASU 2024-03 requires entities to disclose detailed information about specific components of income statement expenses, such as employee compensation, depreciation, and amortization, as well as other significant expense categories. The objective is to provide financial statement users with greater insight into the nature and variability of expenses, improving their ability to analyze financial performance and make informed decisions. ASU 2024-03 is effective for the annual reporting periods beginning after December 15, 2026 and for interim periods within annual reporting periods beginning after December 15, 2027 with early adoption permitted. The Company expects to adopt this ASU during the year ended December 31, 2027 on a prospective basis and is currently evaluating the impact on its financial statements.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Income (Loss) Per Share</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attributable to common stockholders by the weighted-average number of shares of common stock outstanding for the period. Diluted net income (loss) per share is calculated using the weighted-average number of common shares outstanding, plus potential dilutive common stock during the period. Diluted net loss per share is the same as basic net loss per share in the period when the effect of the potentially dilutive securities is anti-dilutive. The pre-funded warrants were included in both the basic and diluted EPS calculation.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(20,370)</w:t>
            </w:r>
          </w:p>
        </w:tc>
        <w:tc>
          <w:tcPr>
            <w:tcW w:w="7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137,935,873</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77,516,177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pre-funded warrants</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6,923,126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60" w:type="dxa"/>
            <w:vAlign w:val="bottom"/>
            <w:tcBorders>
              <w:top w:val="single" w:sz="8" w:color="CFF0FC"/>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(loss) per</w:t>
            </w:r>
          </w:p>
        </w:tc>
        <w:tc>
          <w:tcPr>
            <w:tcW w:w="120" w:type="dxa"/>
            <w:vAlign w:val="bottom"/>
            <w:tcBorders>
              <w:top w:val="single" w:sz="8" w:color="CFF0FC"/>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137,935,873</w:t>
            </w:r>
          </w:p>
        </w:tc>
        <w:tc>
          <w:tcPr>
            <w:tcW w:w="280" w:type="dxa"/>
            <w:vAlign w:val="bottom"/>
            <w:tcBorders>
              <w:top w:val="single" w:sz="8" w:color="CFF0F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84,439,303</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86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shd w:val="clear" w:color="auto" w:fill="CFF0FC"/>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8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net income (loss) per</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137,935,873</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84,439,303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 ESPP &amp; RSUs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860" w:type="dxa"/>
            <w:vAlign w:val="bottom"/>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diluted net income (loss)</w:t>
            </w:r>
          </w:p>
        </w:tc>
        <w:tc>
          <w:tcPr>
            <w:tcW w:w="120" w:type="dxa"/>
            <w:vAlign w:val="bottom"/>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5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137,935,873</w:t>
            </w:r>
          </w:p>
        </w:tc>
        <w:tc>
          <w:tcPr>
            <w:tcW w:w="280" w:type="dxa"/>
            <w:vAlign w:val="bottom"/>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84,745,116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FF0FC"/>
            </w:tcBorders>
            <w:shd w:val="clear" w:color="auto" w:fill="CFF0FC"/>
          </w:tcPr>
          <w:p>
            <w:pPr>
              <w:ind w:left="80"/>
              <w:spacing w:after="0" w:line="194" w:lineRule="exact"/>
              <w:rPr>
                <w:sz w:val="20"/>
                <w:szCs w:val="20"/>
                <w:color w:val="auto"/>
              </w:rPr>
            </w:pPr>
            <w:r>
              <w:rPr>
                <w:rFonts w:ascii="Times New Roman" w:cs="Times New Roman" w:eastAsia="Times New Roman" w:hAnsi="Times New Roman"/>
                <w:sz w:val="18"/>
                <w:szCs w:val="18"/>
                <w:color w:val="auto"/>
              </w:rPr>
              <w:t>per share</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basic and diluted</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720" w:type="dxa"/>
            <w:vAlign w:val="bottom"/>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(0.15)</w:t>
            </w:r>
          </w:p>
        </w:tc>
        <w:tc>
          <w:tcPr>
            <w:tcW w:w="72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-2909570</wp:posOffset>
            </wp:positionV>
            <wp:extent cx="93980"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-2909570</wp:posOffset>
            </wp:positionV>
            <wp:extent cx="9398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-1799590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-573405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-556260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are excluded from the computation of diluted net loss per share for the periods presented, because including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7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8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and ESPP to purchase common stock</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16,371,358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14,452,982</w:t>
            </w:r>
          </w:p>
        </w:tc>
        <w:tc>
          <w:tcPr>
            <w:tcW w:w="120" w:type="dxa"/>
            <w:vAlign w:val="bottom"/>
            <w:shd w:val="clear" w:color="auto" w:fill="CFF0FC"/>
          </w:tcPr>
          <w:p>
            <w:pPr>
              <w:spacing w:after="0"/>
              <w:rPr>
                <w:sz w:val="18"/>
                <w:szCs w:val="18"/>
                <w:color w:val="auto"/>
              </w:rPr>
            </w:pPr>
          </w:p>
        </w:tc>
      </w:tr>
      <w:tr>
        <w:trPr>
          <w:trHeight w:val="216"/>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8,653,847</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11,538,462</w:t>
            </w:r>
          </w:p>
        </w:tc>
        <w:tc>
          <w:tcPr>
            <w:tcW w:w="12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w:t>
            </w:r>
          </w:p>
        </w:tc>
        <w:tc>
          <w:tcPr>
            <w:tcW w:w="1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3,014,539</w:t>
            </w:r>
          </w:p>
        </w:tc>
        <w:tc>
          <w:tcPr>
            <w:tcW w:w="2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potentially dilutive weighted-average outstanding 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28,039,743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26,219,369</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5633085</wp:posOffset>
            </wp:positionH>
            <wp:positionV relativeFrom="paragraph">
              <wp:posOffset>-706755</wp:posOffset>
            </wp:positionV>
            <wp:extent cx="9398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-706755</wp:posOffset>
            </wp:positionV>
            <wp:extent cx="102870"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13716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Investments</w:t>
      </w:r>
    </w:p>
    <w:p>
      <w:pPr>
        <w:spacing w:after="0" w:line="121"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Company determines the fair value of financial and non-financial assets and liabilities using the fair value hierarchy, which establishes three levels of inputs that may be used to measure fair value, as follows:</w:t>
      </w:r>
    </w:p>
    <w:p>
      <w:pPr>
        <w:spacing w:after="0" w:line="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ind w:left="1020" w:right="5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Unobservable inputs that are supported by little or no market activity and that are significant to the fair value of the assets or liabilities.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and Level II assets which consist primarily of highly liquid money market funds, some of which are included in restricted cash and U.S. Treasury securities that are included in short-term investments. Our Level II marketable securities are valued using third-party pricing sources, which can include observable market prices, interest rates and yield curves observable at commonly quoted intervals for similar assets as observable inputs for pricing.</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investments subject to fair value measurements on a recurring basis and the level of inputs used in such measurements: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13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tcPr>
          <w:p>
            <w:pPr>
              <w:spacing w:after="0"/>
              <w:rPr>
                <w:sz w:val="10"/>
                <w:szCs w:val="10"/>
                <w:color w:val="auto"/>
              </w:rPr>
            </w:pPr>
          </w:p>
        </w:tc>
        <w:tc>
          <w:tcPr>
            <w:tcW w:w="10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Level I</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280" w:type="dxa"/>
            <w:vAlign w:val="bottom"/>
          </w:tcPr>
          <w:p>
            <w:pPr>
              <w:spacing w:after="0"/>
              <w:rPr>
                <w:sz w:val="18"/>
                <w:szCs w:val="18"/>
                <w:color w:val="auto"/>
              </w:rPr>
            </w:pPr>
          </w:p>
        </w:tc>
        <w:tc>
          <w:tcPr>
            <w:tcW w:w="120" w:type="dxa"/>
            <w:vAlign w:val="bottom"/>
          </w:tcPr>
          <w:p>
            <w:pPr>
              <w:jc w:val="right"/>
              <w:ind w:right="19"/>
              <w:spacing w:after="0"/>
              <w:rPr>
                <w:sz w:val="20"/>
                <w:szCs w:val="20"/>
                <w:color w:val="auto"/>
              </w:rPr>
            </w:pPr>
            <w:r>
              <w:rPr>
                <w:rFonts w:ascii="Times New Roman" w:cs="Times New Roman" w:eastAsia="Times New Roman" w:hAnsi="Times New Roman"/>
                <w:sz w:val="4"/>
                <w:szCs w:val="4"/>
                <w:color w:val="auto"/>
                <w:w w:val="97"/>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Level I</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124,274</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138,576</w:t>
            </w:r>
          </w:p>
        </w:tc>
        <w:tc>
          <w:tcPr>
            <w:tcW w:w="2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4"/>
                <w:szCs w:val="4"/>
                <w:color w:val="auto"/>
                <w:w w:val="97"/>
              </w:rPr>
              <w:t>$</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080" w:type="dxa"/>
            <w:vAlign w:val="bottom"/>
            <w:tcBorders>
              <w:top w:val="single" w:sz="8" w:color="CFF0FC"/>
            </w:tcBorders>
          </w:tcPr>
          <w:p>
            <w:pPr>
              <w:spacing w:after="0"/>
              <w:rPr>
                <w:sz w:val="24"/>
                <w:szCs w:val="24"/>
                <w:color w:val="auto"/>
              </w:rPr>
            </w:pPr>
          </w:p>
        </w:tc>
        <w:tc>
          <w:tcPr>
            <w:tcW w:w="1620" w:type="dxa"/>
            <w:vAlign w:val="bottom"/>
            <w:tcBorders>
              <w:top w:val="single" w:sz="8" w:color="CFF0FC"/>
              <w:bottom w:val="single" w:sz="8" w:color="CFF0FC"/>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6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FF0FC"/>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120" w:type="dxa"/>
            <w:vAlign w:val="bottom"/>
          </w:tcPr>
          <w:p>
            <w:pPr>
              <w:spacing w:after="0"/>
              <w:rPr>
                <w:sz w:val="10"/>
                <w:szCs w:val="10"/>
                <w:color w:val="auto"/>
              </w:rPr>
            </w:pPr>
          </w:p>
        </w:tc>
        <w:tc>
          <w:tcPr>
            <w:tcW w:w="13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80" w:type="dxa"/>
            <w:vAlign w:val="bottom"/>
          </w:tcPr>
          <w:p>
            <w:pPr>
              <w:spacing w:after="0"/>
              <w:rPr>
                <w:sz w:val="10"/>
                <w:szCs w:val="10"/>
                <w:color w:val="auto"/>
              </w:rPr>
            </w:pPr>
          </w:p>
        </w:tc>
        <w:tc>
          <w:tcPr>
            <w:tcW w:w="1080" w:type="dxa"/>
            <w:vAlign w:val="bottom"/>
          </w:tcPr>
          <w:p>
            <w:pPr>
              <w:jc w:val="right"/>
              <w:ind w:right="237"/>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Level I</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28,313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28,313</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(money market funds)</w:t>
            </w:r>
          </w:p>
        </w:tc>
        <w:tc>
          <w:tcPr>
            <w:tcW w:w="1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Level I</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FF0FC"/>
          </w:tcPr>
          <w:p>
            <w:pPr>
              <w:spacing w:after="0"/>
              <w:rPr>
                <w:sz w:val="18"/>
                <w:szCs w:val="18"/>
                <w:color w:val="auto"/>
              </w:rPr>
            </w:pPr>
          </w:p>
        </w:tc>
        <w:tc>
          <w:tcPr>
            <w:tcW w:w="1360" w:type="dxa"/>
            <w:vAlign w:val="bottom"/>
            <w:tcBorders>
              <w:right w:val="single" w:sz="8" w:color="CFF0FC"/>
            </w:tcBorders>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II</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72,503</w:t>
            </w:r>
          </w:p>
        </w:tc>
        <w:tc>
          <w:tcPr>
            <w:tcW w:w="120" w:type="dxa"/>
            <w:vAlign w:val="bottom"/>
          </w:tcPr>
          <w:p>
            <w:pPr>
              <w:spacing w:after="0"/>
              <w:rPr>
                <w:sz w:val="18"/>
                <w:szCs w:val="18"/>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72,530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101,843</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CFF0FC"/>
            </w:tcBorders>
            <w:gridSpan w:val="2"/>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101,870</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-1294130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-1276350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-1294130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-1276350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-1276350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2025, the remaining contractual terms of the U.S. Treasury securities are less than a year. Based on the scheduled maturities of our marketable securities, we determined that it was more likely than not that we will hold these marketable securities to maturity for a recovery of our cost basis.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6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14,525</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76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34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18,698</w:t>
            </w:r>
          </w:p>
        </w:tc>
        <w:tc>
          <w:tcPr>
            <w:tcW w:w="100" w:type="dxa"/>
            <w:vAlign w:val="bottom"/>
            <w:tcBorders>
              <w:top w:val="single" w:sz="8" w:color="CFF0FC"/>
            </w:tcBorders>
          </w:tcPr>
          <w:p>
            <w:pPr>
              <w:spacing w:after="0"/>
              <w:rPr>
                <w:sz w:val="18"/>
                <w:szCs w:val="18"/>
                <w:color w:val="auto"/>
              </w:rPr>
            </w:pPr>
          </w:p>
        </w:tc>
      </w:tr>
      <w:tr>
        <w:trPr>
          <w:trHeight w:val="216"/>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(16,920)</w:t>
            </w:r>
          </w:p>
        </w:tc>
        <w:tc>
          <w:tcPr>
            <w:tcW w:w="5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(16,231)</w:t>
            </w:r>
          </w:p>
        </w:tc>
      </w:tr>
      <w:tr>
        <w:trPr>
          <w:trHeight w:val="209"/>
        </w:trPr>
        <w:tc>
          <w:tcPr>
            <w:tcW w:w="676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34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top w:val="single" w:sz="8" w:color="CFF0FC"/>
            </w:tcBorders>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-453390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$1.2 million and $1.6 million for the years ended December 31, 2025 and 2024, respectively.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intangible asset is being amortized over the estimated lives of the patents which average 12 years. The amortization expense for each of the years ended December 31, 2025 and 2024 was $0.1 million.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PROBODY platform intangible asset</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clinical expenses</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w:t>
            </w:r>
          </w:p>
        </w:tc>
        <w:tc>
          <w:tcPr>
            <w:tcW w:w="160" w:type="dxa"/>
            <w:vAlign w:val="bottom"/>
          </w:tcPr>
          <w:p>
            <w:pPr>
              <w:spacing w:after="0"/>
              <w:rPr>
                <w:sz w:val="18"/>
                <w:szCs w:val="18"/>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Collaboration and License Agreements</w:t>
            </w: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7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revenue by collaboration partner:</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588"/>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Amgen</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Astellas</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Bristol Myers Squibb</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Regeneron</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Moderna</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76,201</w:t>
            </w:r>
          </w:p>
        </w:tc>
        <w:tc>
          <w:tcPr>
            <w:tcW w:w="160" w:type="dxa"/>
            <w:vAlign w:val="bottom"/>
          </w:tcPr>
          <w:p>
            <w:pPr>
              <w:spacing w:after="0"/>
              <w:rPr>
                <w:sz w:val="18"/>
                <w:szCs w:val="18"/>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-3771265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-3754120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-3754120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-2047875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Amgen, Inc.</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September 29, 2017, the Company and Amgen, Inc. (“Amgen”) entered into a Collaboration and License Agreement (the “Amgen Agreement”). Pursuant to the Amgen Agreement, the Company received an upfront payment of $40.0 million in October 2017. Concurrent with the Amgen Agreement, the Company and Amgen entered into a Share Purchase Agreement pursuant to which Amgen purchased 1,156,069 shares of the Company’s common stock at a price of $17.30 per share for total proceeds of $20.0 million.</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Under the terms of the Amgen Agreement, as amended, the Company and Amgen were co-developing a conditionally activated T-cell engager (“TCE”) targeting epidermal growth factor receptor (the “EGFR Products”). The Company was responsible for early-stage development of EGFR Products and Amgen was to be responsible for late-stage development and commercialization of EGFR Products. Following potential advancement beyond early-stage development, the Company had the right to elect to participate financially in the global co-development of EGFR Products with Amgen, during which the Company would have been responsible for a certain percentage of the worldwide development costs and entitled to certain percentage of profit sharing in the U.S., for EGFR Products. In addition, the Company was also eligible to receive up to $460.0 million in development, regulatory, and commercial milestone payments for EGFR Products, and royalties in certain percentages of worldwide commercial sales.</w:t>
      </w:r>
    </w:p>
    <w:p>
      <w:pPr>
        <w:sectPr>
          <w:pgSz w:w="11900" w:h="16838" w:orient="portrait"/>
          <w:cols w:equalWidth="0" w:num="1">
            <w:col w:w="11240"/>
          </w:cols>
          <w:pgMar w:left="320" w:top="765" w:right="339"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October 2021, CytomX and Amgen executed an amendment to the Amgen Agreement primarily to (1) extend the target selection date for Amgen to select its additional targets for research and development, and (2) reduce the total number of milestone events and increase the total amount of milestone payments for EGFR Products. In each of May 2023 and March 2024, CytomX and Amgen executed an amendment to the Amgen Agreement to extend the target selection period for Amgen to select its additional targets.</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Amgen had the right to select a total of up to three targets, including the two additional targets. The Company and Amgen collaborated in the research and development of conditionally activated T-cell engaging bispecifics therapies directed against such targets. Amgen had selected one such target (the “Amgen Other Product”). Except with respect to preclinical activities to be conducted by CytomX, Amgen would have been responsible, at its expense, for the development, manufacture, and commercialization of all Amgen Products. The Company concluded that, at the inception of the agreement and subsequent amendments, Amgen’s option to select the two additional targets is not a material right and does not represent a performance obligation of the agreement.</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2022, the IND for the EGFR product (“CX-904”) was allowed to proceed by the U.S. Food and Drug Administration (“FDA”) and the program progressed into Phase 1 dose escalation. In March 2025, CytomX and Amgen jointly decided to not continue CX-904 development and Amgen terminated its license to the EGFR Products. As a result, all of the remaining deferred revenue of the EGFR product was recognized in the first quarter of 2025 due to Amgen terminating its license to the EGFR Product effective May 2025. In April 2025, the Amgen Other Product was also terminated with 60 days written notice pursuant to the Amgen Agreement. The Amgen research collaboration remains in effect with the current scope being the preclinical TCE that CytomX selected from Amgen’s preclinical pipeline further discussed below.</w:t>
      </w:r>
    </w:p>
    <w:p>
      <w:pPr>
        <w:spacing w:after="0" w:line="1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At the initiation of the collaboration, CytomX had the option to select from programs specified in the Amgen Agreement, an existing preclinical stage TCE product from the Amgen preclinical pipeline. In March 2018, CytomX selected the program and this program, CX-908, a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 cell engager targeting CDH3 and CD3, is currently in preclinical development. CytomX is responsible, at its expense, for converting this program to a conditionally activated TCE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each of the EGFR Products and the Amgen Other Products, the Company determined that the respective promised goods and services identified, which are the research, development and commercialization license; the related research and development services and the participation in the joint steering committee and joint research committee, are not distinct. Therefore the identified promised goods and services were combined into one single performance obligation for each of the EGFR Product and the Amgen Other Products.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Furthermore, the Amgen Other Products are accounted for as a separate performance obligation from the EGFR Products as the nature of the services being performed is not the same and the value that Amgen can derive from one program is not dependent on the success of the other.</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certain conditionally activatable antibodies in the fields of therapeutics, in vivo diagnostics and prophylactics. This sublicense was incremental to the patents, patent applications and know-how covering conditionally activated T-cell engaging bispecific molecules that were developed and owned by the Company and licensed to Amgen. Under the UCSB Agreement, as amended, the Company is obligated to make a sublicense payment to UCSB equal to up to 7.5% of certain upfront and milestone payments owed to or received by the Company.</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Of the $51.2 million total transaction price, the Company allocated $46.4 million to the EGFR Products performance obligation and $4.8 million to the Amgen Other Product performance obligations. The transaction price of each performance obligation was recognized using an input measure. In applying the input method of revenue recognition, the Company uses actual full-time employee (“FTE”) hours incurred relative to estimated total FTE hours expected to be incurred for each combined performance obligation over the research service period. The $4.8 million transaction price allocated to the Amgen Other Product performance obligation was recognized using estimated FTE hours-to-completion over the estimated research service period of six years.</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evaluates the measure of progress each reporting period using the input method and, if necessary, adjusts the measure of performance and related revenue recognition. As of June 30, 2025, the Company had completed its performance obligations related to the EGFR Products and the Amgen Other Products and recognized the remaining deferred revenue. As of December 31, 2024, deferred revenue related to the EGFR Products performance obligation was $9.7 million and was immaterial for the Amgen Other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terms of the Astellas Agreement, the Company granted Astellas an exclusive, worldwide right to develop and commercialize PROBODY therapeutics for up to four collaboration targets including one initial target and three additional targets (“Additional Targets”). In addition, Astellas had the right to expand the number of Additional Targets from three up to five (the “Expansion Option”) before the third anniversary of the effective date. Furthermore, for a specified number of targets, at a pre-specified time prior to the initiation of the first pivotal study of a product against such target, the Company had the option to elect to participate in certain development costs and share in the profits generated in the United States with respect to such product (“Cost Share Option”). The Cost Share Option, if exercised, also provided the option for the Company to co-commercialize such product in the United States. The Company had not considered the Cost Share Option as a performance obligation at the inception of the agreement as participation is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-903605</wp:posOffset>
            </wp:positionV>
            <wp:extent cx="2857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Pursuant to the Astellas Agreement, the consideration from Astellas was comprised of an upfront fee of $80.0 million and total potential contingent payments for development, regulatory and sales milestones of up to an aggregate of approximately $1.2 billion. The Company was also entitled to tiered royalties from high-single digit to mid-teen percentage royalties from potential future sales. Astellas was responsible for all preclinical research costs incurred by either party as set forth in the preclinical research plan and the Company was entitled to receive research and development service fees based on a prescribed FTE rate.</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had determined that the license and expertise related to the development of product candidates should be combined with the research and development services and participation in the joint research committee as one combined performance obligation for each collaboration target. The Company concluded, that at the inception of the agreement, Astellas’ Expansion Option for Additional Targets were not material rights and therefore not considered performance obligations. As such, each option would have been accounted for as a separate arrangement upon exercise.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initial transaction price of $103.2 million consists of the upfront fee of $80.0 million and estimated research and development fees of $23.2 million. The transaction price was allocated between the four performance obligations based on the relative standalone selling price of each performance obligation, which was deemed to be equal at the inception of the agreement. The Company determined that all potential milestone payments are constrained as of December 31, 2025 due to the significant uncertainty of achievement.</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transaction price, as allocated to the combined performance obligation for each target, is recognized using an input measure. In applying the input method of revenue recognition, the Company uses actual FTE hours incurred relative to estimated total FTE hours expected to be incurred over the estimated research service period of each target.</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2023, the Company achieved a clinical candidate milestone for the first collaboration target nomination under the Astellas Agreement which triggered a $5.0 million milestone payment to the Company which was fully recognized in the first quarter of 2023 as the Company had completed its related performance obligation. In March 2024, the Company achieved the good laboratory practices ("GLPs") toxicology milestone for this candidate which triggered a $5.0 million milestone payment to the Company. The $5.0 million milestone payment was fully recognized in the first quarter of 2024 as the Company had completed its related performance obligation of this first collaboration target. Also, in March 2024, the Company achieved a clinical candidate milestone for a second collaboration target nomination under the Astellas Agreement which triggered an additional $5.0 million milestone</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8" w:name="page109"/>
    <w:bookmarkEnd w:id="1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payment to the Company. The $5.0 million milestone payment for this second nomination was fully recognized in the first quarter of 2024 as the Company had completed its related performance obligation. In the first quarter of 2025, Astellas initiated GLP toxicology studies for the second collaboration target, triggering a $5.0 million milestone payment to CytomX. The $5.0 million milestone payment was fully recognized in the first quarter of 2025 as the Company had completed its related performance obligation of this second collaboration target.</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deferred revenue relating to the Astellas Agreement was $8.6 million and $17.4 million, respectively. The amount due from Astellas under the Astellas Agreement was $0.9 million and $1.1 million as of December 31, 2025 and 2024, respectively. In the first quarter of 2026, Astellas chose not to advance the remaining preclinical programs which will result in the completion of CytomX’s performance obligation and recognition of the remaining deferred revenue by the second quarter of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Bristol Myers Squibb Company</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including the target CTLA-4. The effective date of the BMS Agreement was July 7, 2014.</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Pursuant to the BMS Agreement, the financial consideration from Bristol Myers Squibb was comprised of an upfront payment of $50.0 million and estimated research and development service fees, and the Company was initially entitled to receive contingent payments of up to $25.0 million for additional targets and contingent payments for development, regulatory and sales milestones. In addition, the Company was entitled to royalty payments in the mid-single digits to low double-digit percentages from potential future sales.</w:t>
      </w: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March 17, 2017, the Company and Bristol Myers Squibb amended the BMS Agreement and entered into Amendment Number 1 to Extend Collaboration and License Agreement (“Amendment 1”). Amendment 1 granted Bristol Myers Squibb exclusive worldwide rights to develop and commercialize PROBODY therapeutics for up to eight additional targets. The effective date of Amendment 1 was April 25, 2017 (“Amendment Effective Date”). Under the terms of Amendment 1, the Company continued to have obligations to Bristol Myers Squibb to discover and conduct preclinical development of PROBODY therapeutics against any targets they chose to select during the research period under the terms of Amendment 1.</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Pursuant to Amendment 1, the financial consideration from Bristol Myers Squibb was comprised of an upfront payment of $200.0 million, estimated research and development service fees, and contingent payments for development, regulatory and sales milestones for the eight targets. The Company was also entitled to tiered mid-single to low double-digit percentage royalties from potential future sales. Amendment 1 did not change the term of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elected the practical expedient related to contract modifications upon adoption of ASC 606 and combined the original agreement and Amendment 1. The Company determined that the identified promised goods and services which include the exclusive research, development and commercialization license, the related research services and expertise for the development of the product candidates should be combined with the participation in the joint research committee as one combined performance obligation for each collaboration target. The Company also concluded that, at the inception of the agreement, Bristol Myers Squibb’s options for the third and fourth targets were material rights and performance obligations. As such, the material rights were accounted for as part of the initial transaction price.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received an upfront payment of $50.0 million from Bristol Myers Squibb in July 2014. In January and December 2016, Bristol Myers Squibb exercised the option to select the third and fourth targets,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initial transaction price for the BMS Agreement and Amendment 1, collectively, was $304.7 million consisting of the upfront fees of $250.0 million, target selection fees for the third and fourth targets of $25.0 million, estimated research and development service fees of $17.7 million and milestone payments received up to January 1, 2018,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initial transaction price for the combined obligation for each collaboration target is recognized using an input measure. In applying the input method of revenue recognition, the Company uses actual FTE hours incurred relative to estimated total FTE hours expected to be incurred for each combined performance obligation over the estimated research service period of each collaboration target.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quarter of 2019, Bristol Myers Squibb terminated pre-clinical activities on three of the first four collaboration targets selected under the original 2014 BMS Agreement. The Company determined that upon the termination of pre-clinical activities on the three collaboration targets, it has no further obligations related to such targets. The Company accounted for the termination of the three targets as a modification and the related remaining unrecognized transaction price was reallocated to the remaining performance obligations. The Company continues to be obligated to perform research work under Amendment 1 executed in March 2017.</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as the Company had completed its performance obligation related to this collaboration target.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2021, the Company and Bristol Myers Squibb amended the BMS Agreement and entered into Amendment Number 2 to amend the Collaboration and License Agreement (“Amendment 2”), as previously amended by Amendment 1. Subsequent to Amendment 2, in addition to Bristol Myers Squibb’s ongoing development of the CTLA-4 program, Bristol Myers Squibb also had the exclusive worldwide rights to develop and commercialize PROBODY therapeutics for up to five oncology targets. Under the terms of Amendment 2, the period for target selection was extended and in 2022, all remaining targets were selected. The Company continues to collaborate with Bristol Myers Squibb to discover and conduct preclinical development of PROBODY therapeutics against targets selected by Bristol Myers Squibb over the estimated research period, which is projected to end in April 2025. Pursuant to Amendment 2, the Company was eligible to receive contingent payments for development, regulatory and sales milestones. It is also entitled to tiered mid-single to low double-digit percentage of royalties from potential future sales. The Company accounted for Amendment 2 as a modification and reallocated the remaining unrecognized transaction price to the remaining performance obligations.</w:t>
      </w:r>
    </w:p>
    <w:p>
      <w:pPr>
        <w:spacing w:after="0" w:line="18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October 2022, the Company and Bristol Myers Squibb amended the BMS Agreement and entered into Amendment Number 3 (“Amendment 3”), as previously amended by Amendment 1 and Amendment 2, to clarify the rights and restrictions of certain new proprietary antibodies that the parties exchanged. There were no substantive changes to each party's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6899910</wp:posOffset>
            </wp:positionH>
            <wp:positionV relativeFrom="paragraph">
              <wp:posOffset>-313055</wp:posOffset>
            </wp:positionV>
            <wp:extent cx="285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March 2024, following a Bristol Myers Squibb corporate portfolio prioritization process, Bristol Myers Squibb notified CytomX that it does not intend to continue the development of BMS-986288 beyond the current Phase 2 study and terminated its collaboration license to the CTLA-4 target under the collaboration. BMS-986288 was Bristol Myers Squibb’s leading next generation PROBODY CTLA-4 program that it had previously prioritized over BMS-986249, which was a PROBODY version of ipilimumab.</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June 2024, Bristol Myers Squibb prioritized its pre-clinical research activities under the collaboration and revised the research scope by one collaboration target. The Company determined that it has no further obligations related to the target that was deprioritized and accounted for the reduction of the target as a modification and the related remaining unrecognized transaction price was reallocated to the remaining performance obligations. The Company has received in aggregate $297.0 million in upfront and milestone payments under the agreement. The Company's research efforts on all the ongoing programs were completed in April 2025 upon which the $11.6 million of remaining deferred revenue was fully recognized. In May 2025, one collaboration target was also terminated with two months written notice pursuant to the BMS Agreement and two preclinical programs remain in development with Bristol Myers Squibb responsible for further advancement.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ModernaTX, Inc.</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ModernaTX, Inc. (“Moderna”) entered into a Collaboration and License Agreement (the “Moderna Agreement”) on December 30, 2022, the effective date, to collaborate on discovery and preclinical research and development activities to create investigational messenger RNA (“mRNA”) based conditionally activated therapies using the Company’s PROBODY therapeutic technology. Moderna is solely responsible for the development (preclinical and clinical), manufacturing, and commercialization of any products under the Moderna Agreement.</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terms of the Moderna Agreement, the Company granted Moderna an exclusive, worldwide right to develop and commercialize PROBODY therapeutics for the collaboration programs. In exchange, the Company received an upfront payment of $35.0 million in January 2023, including $5.0 million of prepaid research and development service fees. The Company will continue to receive research and development service fees according to the preclinical research work plans based on a prescribed FTE rate and is eligible to receive up to approximately$1.2 billion in future development, regulatory, and commercial milestone payments. The Company is also eligible to receive tiered royalties from high-single digit to low-teen percentage rates of annual global net sales of any products that are commercialized under the Moderna Agreement.</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determined that each collaboration program was a distinct performance obligation consisting of the exclusive research, development and commercialization license, research services, and participation in the joint steering committee. The initial transaction price is $51.7 million, consisting of the upfront fee of $30.0 million and estimated research funding of $21.7 million from Moderna.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transaction price at the contract inception was allocated among the performance obligations using the SSP of each performance obligation, which was determined to be equal due to the early stage of the collaboration programs. The transaction price allocated to the collaboration programs is recognized using an input method. In applying the input measure of revenue recognition, the Company uses actual FTE hours incurred relative to estimated total FTE hours expected to be incurred for the respective collaboration program over an estimated service period of four years. Due to Moderna's budget considerations in 2025, the Company's remaining activities for its performance obligation are currently paused pending future alignment with Moderna.</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deferred revenue relating to the Moderna Agreement was $9.3 million and $9.3 million, respectively. The amount due from Moderna under the Moderna Agreement was $0 and $0.9 million as of December 31, 2025 and December 31,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Regeneron Pharmaceuticals, Inc.</w:t>
      </w:r>
    </w:p>
    <w:p>
      <w:pPr>
        <w:spacing w:after="0" w:line="12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The Company and Regeneron Pharmaceuticals Inc. (“Regeneron”) entered into a Collaboration and License Agreement (the “Regeneron Agreement”) on November 16, 2022, to collaborate on creation of conditionally-activated investigational bispecific cancer therapies utilizing the Company’s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therapeutic platform and Regeneron’s Veloci-Bi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bispecific antibody development platform. The Company and Regeneron will collaborate on preclinical research and discovery activities for initially agreed upon collaboration programs (“Collaboration Program”) with an option to expand additional Collaboration Programs (“Additional Collaboration Program Option”).</w:t>
      </w:r>
    </w:p>
    <w:p>
      <w:pPr>
        <w:spacing w:after="0" w:line="2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Collaboration and License Agreement, the Company granted Regeneron an exclusive, worldwide, royalty-bearing license under certain Company intellectual property to develop, manufacture, commercialize and otherwise exploit licensed products (“Licensed Products”) for all human and non-human diagnostic, prophylactic and therapeutic uses in oncology. Regeneron is responsible for funding the cost of preclinical research and discovery activities of both parties for all Licensed Products and for funding the cost of development, manufacturing and commercialization of all Licensed Products worldwide.</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the Regeneron Agreement, the consideration from Regeneron is comprised of an upfront fee of $30.0 million, contingent payments for development and regulatory milestones and commercial milestone payments of up to an aggregate of approximately $0.8 billion. If Regeneron exercises its Additional Collaboration Program Option, the Company would be eligible to receive additional upfront and milestone payments aggregating up to approximately $1.2 billion. The Company is also entitled to tiered royalties from high-single digit to low-teen percentage royalties from potential future sales. In addition, the Company will receive research and development service fees based on a prescribed FTE 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determined that each collaboration program was a distinct performance obligation consisting of an exclusive research, development and commercialization license, research and development services and participation in the joint research committee. The Company concluded that at the inception of the agreement, Regeneron’s Additional Collaboration Program Option did not include material rights and therefore was not a performance obligation. As such, each option will be accounted for as a separate arrangement upon exercise. The initial transaction price is $39.2 million consisting of the upfront fee of $30.0 million and estimated research and development service fees of $9.2 million. The initial transaction price excludes milestone payments as the achievement of such milestones is dependent on factors outside of the Company’s control and recognition would be probable of significant revenue reversal. As such, the milestones are fully constrained at the inception of the contract. The Company will re-evaluate the transaction price at each reporting date or as uncertain events are resolved or other changes in circumstances occur.</w:t>
      </w:r>
    </w:p>
    <w:p>
      <w:pPr>
        <w:spacing w:after="0" w:line="2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transaction price was allocated among the performance obligations using the SSP of each performance obligation, which was determined to be equal at the inception of the agreement. The transaction price allocated to each performance obligation is recognized using an input measure. In applying the input measure of revenue recognition, the Company uses actual FTE hours incurred relative to estimated total FTE hours expected to be incurred for each combined performance obligation over the estimated research service period of four years, which is projected to end in November 2026.</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deferred revenue relating to the Regeneron Agreement was $10.5 million and $15.6 million, respectively. The amount due from Regeneron under the Regeneron Agreement was $0.8 million and $1.0 million as of December 31, 2025 and December 31,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total contract liabilities for the years ended in December 31, 2025 and 2024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199"/>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12/31/2023</w:t>
            </w:r>
          </w:p>
        </w:tc>
        <w:tc>
          <w:tcPr>
            <w:tcW w:w="2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212,315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2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(126,895)</w:t>
            </w:r>
          </w:p>
        </w:tc>
      </w:tr>
      <w:tr>
        <w:trPr>
          <w:trHeight w:val="210"/>
        </w:trPr>
        <w:tc>
          <w:tcPr>
            <w:tcW w:w="20" w:type="dxa"/>
            <w:vAlign w:val="bottom"/>
          </w:tcPr>
          <w:p>
            <w:pPr>
              <w:spacing w:after="0"/>
              <w:rPr>
                <w:sz w:val="18"/>
                <w:szCs w:val="18"/>
                <w:color w:val="auto"/>
              </w:rPr>
            </w:pPr>
          </w:p>
        </w:tc>
        <w:tc>
          <w:tcPr>
            <w:tcW w:w="4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Balance at 12/31/2024</w:t>
            </w:r>
          </w:p>
        </w:tc>
        <w:tc>
          <w:tcPr>
            <w:tcW w:w="27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94,063</w:t>
            </w:r>
          </w:p>
        </w:tc>
        <w:tc>
          <w:tcPr>
            <w:tcW w:w="8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Additions</w:t>
            </w:r>
          </w:p>
        </w:tc>
        <w:tc>
          <w:tcPr>
            <w:tcW w:w="2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Revenue Recognized</w:t>
            </w:r>
          </w:p>
        </w:tc>
        <w:tc>
          <w:tcPr>
            <w:tcW w:w="2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(71,201)</w:t>
            </w:r>
          </w:p>
        </w:tc>
      </w:tr>
      <w:tr>
        <w:trPr>
          <w:trHeight w:val="250"/>
        </w:trPr>
        <w:tc>
          <w:tcPr>
            <w:tcW w:w="20" w:type="dxa"/>
            <w:vAlign w:val="bottom"/>
          </w:tcPr>
          <w:p>
            <w:pPr>
              <w:spacing w:after="0"/>
              <w:rPr>
                <w:sz w:val="21"/>
                <w:szCs w:val="21"/>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12/31/2025</w:t>
            </w:r>
          </w:p>
        </w:tc>
        <w:tc>
          <w:tcPr>
            <w:tcW w:w="27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-591185</wp:posOffset>
            </wp:positionV>
            <wp:extent cx="514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expects that the $28.5 million of deferred revenue related to the following contracts as of December 31, 2025 will be recognized as revenue based on actual FTE effort and estimated program progress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288" w:lineRule="exact"/>
        <w:rPr>
          <w:sz w:val="20"/>
          <w:szCs w:val="20"/>
          <w:color w:val="auto"/>
        </w:rPr>
      </w:pPr>
    </w:p>
    <w:p>
      <w:pPr>
        <w:ind w:left="1020" w:hanging="503"/>
        <w:spacing w:after="0"/>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$8.6 million of deferred revenue related to the Astellas Agreement is expected to be recognized until 2026.</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$9.3 million of deferred revenue related to the Moderna Agreement, together with research and development service fees, are expected to be recognized pending alignment with Moderna's budget consideration.</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$10.5 million of deferred revenue related to the Regeneron Agreement, together with research and development service fees, is expected to be recognized until 2026.</w:t>
      </w:r>
    </w:p>
    <w:p>
      <w:pPr>
        <w:spacing w:after="0" w:line="306"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UCSB Agreement</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August 2010, the Company entered into an exclusive, worldwide license agreement with University of California, Santa Barbara (“UCSB”), relating to the use of certain patents and technology, and to patent rights the Company co-owns with UCSB that cover certain conditionally activatable antibodies (the “UCSB Agreement”). Pursuant to the UCSB Agreement, the Company has annual minimum royalty obligations of $0.2 million under the terms of certain exclusive licensed patent rights. In April 2019, the Company entered into Amendment No.3 to the UCSB Agreement to adjust and clarify certain sublicense terms (“Amendment No.3”). Under the terms of Amendment No.3, the Company agreed to make an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2023, the Company incurred $0.2 million of sublicense fees triggered by achieving the clinical candidate milestone under the Astellas Agreement. In 2024, the Company incurred $0.6 million of sublicense fees triggered by achieving the GLP toxicology studies milestone for the first clinical candidate which was nominated by Astellas in 2023, as well as by achieving the clinical candidate nomination milestone for a second collaboration target under the Astellas Agreement. In the first quarter of 2025, the Company incurred $0.2 million of sublicense fees triggered by achieving the GLP toxicology studies milestone for the second clinical candidate which was nominated by Astellas in March 2024.</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incurred sublicense expenses of $1.1 million and $1.6 million, respectively, under the provisions of the UCSB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ImmunoGen (acquired by AbbVie in 2024)</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License Agreement (the “ImmunoGen 2019 License”) with ImmunoGen, Inc. to obtain an exclusive license with respect to epithelial cell adhesion molecule (“EPCAM”). Under the ImmunoGen 2019 License, ImmunoGen agreed to transfer its know-how, patents, intellectual property rights, and technology transfer materials and information related to its EpCAM program. The license gives the Company the sole ability to develop, manufacture, use and commercialize any licensed product that incorporates, is comprised of, or otherwise derived from PROBODY technology that targets EpCAM in any human therapeutic field on a worldwide basis. In exchange, the Company made an upfront license payment of $7.5 million, and will pay up to $35.0 million in certain clinical development milestones and up to $320.0 million in regulatory approval and commercial milestone payments, if achieved. ImmunoGen is also entitled to royalties on product sales ranging from the mid-to-high single digits percentages.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April 2024, the Company made a $5.0 million payment of the $35.0 million in potential clinical development milestone payments to AbbVie (formerly ImmunoGen) with respect to achieving the milestone of dosing the first patient for Varseta-M under the ImmunoGen 2019 License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Varseta-M, which is currently in Phase 1 development, is covered under the ImmunoGen License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Seattle Genetics, Inc ("SGEN")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August 22, 2023, the Company entered into a Transition Agreement (the “Transition Agreement”) with AbbVie Global Enterprises Ltd. (“AbbVie”), pursuant to which the Company regained exclusive worldwide rights to develop CX-2029, a CD71-targeting conditionally activated antibody drug conjugate. The Transition Agreement superseded the CD71 Co-Development and License Agreement (the “Collaboration Agreement”) entered into between the Company and AbbVie Ireland Unlimited Company (an affiliate entity of AbbVie) in 2016, that was terminated in May 2023, and granted certain intellectual property rights from AbbVie to enable the continued development of CX-2029 by the Company for all human and nonhuman diagnostic, prophylactic, and therapeutic uses. Pursuant to the Transition Agreement, the Company paid an annual license maintenance fee of $0.3 million to SGEN for certain related technology starting 2023 through the date on which licensee receives first regulatory approval in the territory for the applicable licensed product. The Company terminated the Transition Agreement in the first quarter of 2025.</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December 2015, the Company entered into a lease (the “2016 Lease”) of office and laboratory space located in South San Francisco, California for the Company’s corporate headquarters. The 2016 Lease has an initial term of ten years through 2026 and the Company has an option to extend the initial term for an additional five years at the then fair rental value as determined pursuant to the 2016 Lease.</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recorded $0.9 million of cash securing the Letter of Credit as non-current restricted cash on its balance sheet as of December 31,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2"/>
                <w:szCs w:val="12"/>
                <w:color w:val="auto"/>
              </w:rPr>
            </w:pPr>
          </w:p>
        </w:tc>
        <w:tc>
          <w:tcPr>
            <w:tcW w:w="1200" w:type="dxa"/>
            <w:vAlign w:val="bottom"/>
            <w:gridSpan w:val="2"/>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gridSpan w:val="4"/>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60" w:type="dxa"/>
            <w:vAlign w:val="bottom"/>
          </w:tcPr>
          <w:p>
            <w:pPr>
              <w:spacing w:after="0"/>
              <w:rPr>
                <w:sz w:val="18"/>
                <w:szCs w:val="18"/>
                <w:color w:val="auto"/>
              </w:rPr>
            </w:pPr>
          </w:p>
        </w:tc>
        <w:tc>
          <w:tcPr>
            <w:tcW w:w="80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5,572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8.25%</w:t>
            </w:r>
          </w:p>
        </w:tc>
        <w:tc>
          <w:tcPr>
            <w:tcW w:w="1120" w:type="dxa"/>
            <w:vAlign w:val="bottom"/>
          </w:tcPr>
          <w:p>
            <w:pPr>
              <w:spacing w:after="0"/>
              <w:rPr>
                <w:sz w:val="20"/>
                <w:szCs w:val="20"/>
                <w:color w:val="auto"/>
              </w:rPr>
            </w:pPr>
          </w:p>
        </w:tc>
      </w:tr>
      <w:tr>
        <w:trPr>
          <w:trHeight w:val="643"/>
        </w:trPr>
        <w:tc>
          <w:tcPr>
            <w:tcW w:w="11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center"/>
              <w:ind w:left="237"/>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gridSpan w:val="2"/>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5"/>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Operating lease cost</w:t>
            </w:r>
          </w:p>
        </w:tc>
        <w:tc>
          <w:tcPr>
            <w:tcW w:w="820" w:type="dxa"/>
            <w:vAlign w:val="bottom"/>
            <w:gridSpan w:val="3"/>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80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5,067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2,151</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8"/>
              </w:rPr>
              <w:t>1,185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608"/>
        </w:trPr>
        <w:tc>
          <w:tcPr>
            <w:tcW w:w="676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tbl>
      <w:tblPr>
        <w:tblLayout w:type="fixed"/>
        <w:tblInd w:w="11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4740" w:type="dxa"/>
            <w:vAlign w:val="bottom"/>
            <w:gridSpan w:val="2"/>
          </w:tcPr>
          <w:p>
            <w:pPr>
              <w:jc w:val="right"/>
              <w:ind w:right="1788"/>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80" w:type="dxa"/>
            <w:vAlign w:val="bottom"/>
          </w:tcPr>
          <w:p>
            <w:pPr>
              <w:spacing w:after="0"/>
              <w:rPr>
                <w:sz w:val="20"/>
                <w:szCs w:val="20"/>
                <w:color w:val="auto"/>
              </w:rPr>
            </w:pPr>
          </w:p>
        </w:tc>
        <w:tc>
          <w:tcPr>
            <w:tcW w:w="4740" w:type="dxa"/>
            <w:vAlign w:val="bottom"/>
            <w:gridSpan w:val="2"/>
          </w:tcPr>
          <w:p>
            <w:pPr>
              <w:jc w:val="right"/>
              <w:ind w:right="2028"/>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9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4"/>
        </w:trPr>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46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80" w:type="dxa"/>
            <w:vAlign w:val="bottom"/>
            <w:vMerge w:val="continue"/>
          </w:tcPr>
          <w:p>
            <w:pPr>
              <w:spacing w:after="0"/>
              <w:rPr>
                <w:sz w:val="15"/>
                <w:szCs w:val="15"/>
                <w:color w:val="auto"/>
              </w:rPr>
            </w:pPr>
          </w:p>
        </w:tc>
        <w:tc>
          <w:tcPr>
            <w:tcW w:w="4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color w:val="auto"/>
              </w:rPr>
              <w:t>Total lease payments</w:t>
            </w:r>
          </w:p>
        </w:tc>
        <w:tc>
          <w:tcPr>
            <w:tcW w:w="46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46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46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-453390</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March 2023, the Company entered into a sublease agreement for a portion of its existing office and laboratory space. The sublease is classified as an operating lease whereby sublease income, which is included as an offset against operating lease cost, is recognized on a straight-line basis over the sublease term that expires on September 30, 2026. In January 2026, the Company and the sublease tenant entered into a sublease termination agreement, resulting in an early termination of the sublease in February 2026. Pursuant to the sublease termination agreement, the sublessee will pay an aggregate of $0.6 million as final settlement of the sublease. The $0.6 million was collected in January 2026.</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the Company entered into a lease (the “2026 Lease”) of office and laboratory space located in Emeryville, California for the Company’s corporate headquarters. The contractual commencement date for the 2026 Lease will be October 1, 2026. The 2026 Lease will expire on December 31, 2029, and the Company has two options to extend the term, each for an additional two years, at the then fair market rent as determined under the term of the 2026 Lease. The Company is not reasonably certain to exercise the options. Under the terms of the lease, the Company is obligated to make aggregate future minimum lease payments totaling approximately $5.7 million over the lease term payable starting from January 2027, exclusive of operating expenses and other common area charges. The Company determined that the lease commencement date for accounting purpose is April 1, 2026, when the office and laboratory space is expected to be available for use by the Company to begin construction of its leasehold improvements.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2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2026 Lease</w:t>
            </w:r>
          </w:p>
        </w:tc>
        <w:tc>
          <w:tcPr>
            <w:tcW w:w="238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Maturity of operating lease liabilities</w:t>
            </w: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gridSpan w:val="2"/>
            <w:vMerge w:val="continue"/>
          </w:tcPr>
          <w:p>
            <w:pPr>
              <w:spacing w:after="0"/>
              <w:rPr>
                <w:sz w:val="13"/>
                <w:szCs w:val="13"/>
                <w:color w:val="auto"/>
              </w:rPr>
            </w:pP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4360" w:type="dxa"/>
            <w:vAlign w:val="bottom"/>
          </w:tcPr>
          <w:p>
            <w:pPr>
              <w:spacing w:after="0"/>
              <w:rPr>
                <w:sz w:val="20"/>
                <w:szCs w:val="20"/>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436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w:t>
            </w:r>
          </w:p>
        </w:tc>
        <w:tc>
          <w:tcPr>
            <w:tcW w:w="4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436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February 2020, the Company entered into the Open Market Sale Agreement (as amended on each of March 4, 2022 and August 9, 2024, the “Sales Agreement”) with Jefferies LLC (“Jefferies”), as sales agent, providing for the sale of up to $75,000,000 of its common stock, at par value $0.00001 per share, from time to time under an at-the-market (“ATM”) offering. Pursuant to the Sales Agreement, Jefferies as the sales agent will receive a commission of 3.0% of the gross sales price for shares of common stock sold under the Sales Agreement. In 2024, under the ATM program, the Company sold approximately 3.9 million shares at a weighted average price of $1.82 per share for net proceeds of approximately $6.9 million after deducting sales commissions and related issuance cost. In the fourth quarter of 2025, the Company sold approximately 4.9 million shares at a weighted average price of $3.44 per share under the ATM program for net proceeds of approximately $16.3 million, after deducting sales commissions and related issuance cost.</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2025, the Company completed an underwritten public offering of 76,923,076 shares of common stock at a price of $1.30 per share. The aggregate net proceeds received by the Company from the offering were approximately $93.4 million, after deducting underwriting discounts and commissions of $6.0 million and offering expenses of $0.6 million. Longitude Venture Partners V, L.P. (“LVPV”) acquired approximately 11.5 million shares of common stock through the underwritten public offering. Longitude Capital Partners V, LLC (“LCPV”) is a general partner of LVPV. A member of the Company’s board of directors serves as a managing director of LCPV, and therefore, LCPV is considered a related party of the Company. The Company had no other significant related party transactions with LCPV.</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June 2023, the Company entered into an agreement with BVF Partners L.P. (“BVF”) for a private placement (the “Private Placement Agreement”) and received an aggregate net proceeds of approximately $29.7 million in July 2023, after deducting issuance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of approximately $0.3 million. In the private placement, the Company issued pre-funded warrants to BVF to purchase up to 14,423,077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accompanying Tranche 1 warrants to purchase up to 5,769,231 shares of common stock and accompanying Tranche 2 warrants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5,769,231 shares of common stock, at a combined price of $2.08 per share. The initial exercise price of the Tranche 1 and Tranche 2 warrants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 per share and $6.24 per share, respectively. The public offering in May 2025 triggered an adjustment provision in the Tranche 1 and Tranche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pursuant to which the exercise prices were reduced to $2.73 and $3.77 per share, respectively. As a result of the exercise price reduction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 the Company recorded deemed dividend of $3.0 million as a down round adjustment for the warrants in additional paid-in-capital against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earnings in 2025. The deemed dividend is treated as a reduction to income available to common stockholders for the basic net income (loss)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calculation. However, the adjustment to net income (loss) is not required in periods when the warrants are out-of-the-money for the diluted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per share calculation. The Tranche 1 warrants expired without being exercised in July 2025 and the Tranche 2 warrants will expire in July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In May 2024, BVF exercised its right to purchase 7.5 million shares of common stock through its pre-funded warrants at an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$0.00001 per share. In May 2025, BVF exercised its right to purchase the remaining 6.9 million shares of common stock through its pre-funded warrants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exercise price of $0.00001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activities of outstanding warrants for the year ended December 31, 2024 and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504"/>
              <w:spacing w:after="0"/>
              <w:rPr>
                <w:sz w:val="20"/>
                <w:szCs w:val="20"/>
                <w:color w:val="auto"/>
              </w:rPr>
            </w:pPr>
            <w:r>
              <w:rPr>
                <w:rFonts w:ascii="Times New Roman" w:cs="Times New Roman" w:eastAsia="Times New Roman" w:hAnsi="Times New Roman"/>
                <w:sz w:val="15"/>
                <w:szCs w:val="15"/>
                <w:b w:val="1"/>
                <w:bCs w:val="1"/>
                <w:color w:val="auto"/>
              </w:rPr>
              <w:t>Pre-funded Warrants</w:t>
            </w:r>
          </w:p>
        </w:tc>
        <w:tc>
          <w:tcPr>
            <w:tcW w:w="240" w:type="dxa"/>
            <w:vAlign w:val="bottom"/>
          </w:tcPr>
          <w:p>
            <w:pPr>
              <w:spacing w:after="0"/>
              <w:rPr>
                <w:sz w:val="15"/>
                <w:szCs w:val="15"/>
                <w:color w:val="auto"/>
              </w:rPr>
            </w:pPr>
          </w:p>
        </w:tc>
        <w:tc>
          <w:tcPr>
            <w:tcW w:w="2520" w:type="dxa"/>
            <w:vAlign w:val="bottom"/>
            <w:gridSpan w:val="4"/>
          </w:tcPr>
          <w:p>
            <w:pPr>
              <w:jc w:val="right"/>
              <w:ind w:right="524"/>
              <w:spacing w:after="0"/>
              <w:rPr>
                <w:sz w:val="20"/>
                <w:szCs w:val="20"/>
                <w:color w:val="auto"/>
              </w:rPr>
            </w:pPr>
            <w:r>
              <w:rPr>
                <w:rFonts w:ascii="Times New Roman" w:cs="Times New Roman" w:eastAsia="Times New Roman" w:hAnsi="Times New Roman"/>
                <w:sz w:val="15"/>
                <w:szCs w:val="15"/>
                <w:b w:val="1"/>
                <w:bCs w:val="1"/>
                <w:color w:val="auto"/>
              </w:rPr>
              <w:t>Tranche 1 Warrants</w:t>
            </w:r>
          </w:p>
        </w:tc>
        <w:tc>
          <w:tcPr>
            <w:tcW w:w="200" w:type="dxa"/>
            <w:vAlign w:val="bottom"/>
          </w:tcPr>
          <w:p>
            <w:pPr>
              <w:spacing w:after="0"/>
              <w:rPr>
                <w:sz w:val="15"/>
                <w:szCs w:val="15"/>
                <w:color w:val="auto"/>
              </w:rPr>
            </w:pPr>
          </w:p>
        </w:tc>
        <w:tc>
          <w:tcPr>
            <w:tcW w:w="2720" w:type="dxa"/>
            <w:vAlign w:val="bottom"/>
            <w:gridSpan w:val="5"/>
          </w:tcPr>
          <w:p>
            <w:pPr>
              <w:ind w:left="640"/>
              <w:spacing w:after="0"/>
              <w:rPr>
                <w:sz w:val="20"/>
                <w:szCs w:val="20"/>
                <w:color w:val="auto"/>
              </w:rPr>
            </w:pPr>
            <w:r>
              <w:rPr>
                <w:rFonts w:ascii="Times New Roman" w:cs="Times New Roman" w:eastAsia="Times New Roman" w:hAnsi="Times New Roman"/>
                <w:sz w:val="15"/>
                <w:szCs w:val="15"/>
                <w:b w:val="1"/>
                <w:bCs w:val="1"/>
                <w:color w:val="auto"/>
              </w:rPr>
              <w:t>Tranche 2 Warrants</w:t>
            </w:r>
          </w:p>
        </w:tc>
        <w:tc>
          <w:tcPr>
            <w:tcW w:w="0" w:type="dxa"/>
            <w:vAlign w:val="bottom"/>
          </w:tcPr>
          <w:p>
            <w:pPr>
              <w:spacing w:after="0"/>
              <w:rPr>
                <w:sz w:val="1"/>
                <w:szCs w:val="1"/>
                <w:color w:val="auto"/>
              </w:rPr>
            </w:pPr>
          </w:p>
        </w:tc>
      </w:tr>
      <w:tr>
        <w:trPr>
          <w:trHeight w:val="134"/>
        </w:trPr>
        <w:tc>
          <w:tcPr>
            <w:tcW w:w="2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4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84"/>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0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04"/>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4"/>
                <w:szCs w:val="14"/>
                <w:color w:val="auto"/>
              </w:rPr>
            </w:pP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240" w:type="dxa"/>
            <w:vAlign w:val="bottom"/>
          </w:tcPr>
          <w:p>
            <w:pPr>
              <w:spacing w:after="0"/>
              <w:rPr>
                <w:sz w:val="14"/>
                <w:szCs w:val="14"/>
                <w:color w:val="auto"/>
              </w:rPr>
            </w:pPr>
          </w:p>
        </w:tc>
        <w:tc>
          <w:tcPr>
            <w:tcW w:w="14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200" w:type="dxa"/>
            <w:vAlign w:val="bottom"/>
          </w:tcPr>
          <w:p>
            <w:pPr>
              <w:spacing w:after="0"/>
              <w:rPr>
                <w:sz w:val="14"/>
                <w:szCs w:val="14"/>
                <w:color w:val="auto"/>
              </w:rPr>
            </w:pPr>
          </w:p>
        </w:tc>
        <w:tc>
          <w:tcPr>
            <w:tcW w:w="1200" w:type="dxa"/>
            <w:vAlign w:val="bottom"/>
          </w:tcPr>
          <w:p>
            <w:pPr>
              <w:jc w:val="right"/>
              <w:ind w:right="164"/>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0" w:type="dxa"/>
            <w:vAlign w:val="bottom"/>
          </w:tcPr>
          <w:p>
            <w:pPr>
              <w:spacing w:after="0"/>
              <w:rPr>
                <w:sz w:val="1"/>
                <w:szCs w:val="1"/>
                <w:color w:val="auto"/>
              </w:rPr>
            </w:pPr>
          </w:p>
        </w:tc>
      </w:tr>
      <w:tr>
        <w:trPr>
          <w:trHeight w:val="183"/>
        </w:trPr>
        <w:tc>
          <w:tcPr>
            <w:tcW w:w="2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240" w:type="dxa"/>
            <w:vAlign w:val="bottom"/>
          </w:tcPr>
          <w:p>
            <w:pPr>
              <w:spacing w:after="0"/>
              <w:rPr>
                <w:sz w:val="15"/>
                <w:szCs w:val="15"/>
                <w:color w:val="auto"/>
              </w:rPr>
            </w:pPr>
          </w:p>
        </w:tc>
        <w:tc>
          <w:tcPr>
            <w:tcW w:w="142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140" w:type="dxa"/>
            <w:vAlign w:val="bottom"/>
          </w:tcPr>
          <w:p>
            <w:pPr>
              <w:spacing w:after="0"/>
              <w:rPr>
                <w:sz w:val="15"/>
                <w:szCs w:val="15"/>
                <w:color w:val="auto"/>
              </w:rPr>
            </w:pPr>
          </w:p>
        </w:tc>
        <w:tc>
          <w:tcPr>
            <w:tcW w:w="96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200" w:type="dxa"/>
            <w:vAlign w:val="bottom"/>
          </w:tcPr>
          <w:p>
            <w:pPr>
              <w:spacing w:after="0"/>
              <w:rPr>
                <w:sz w:val="15"/>
                <w:szCs w:val="15"/>
                <w:color w:val="auto"/>
              </w:rPr>
            </w:pPr>
          </w:p>
        </w:tc>
        <w:tc>
          <w:tcPr>
            <w:tcW w:w="1200" w:type="dxa"/>
            <w:vAlign w:val="bottom"/>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warrants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0" w:type="dxa"/>
            <w:vAlign w:val="bottom"/>
          </w:tcPr>
          <w:p>
            <w:pPr>
              <w:spacing w:after="0"/>
              <w:rPr>
                <w:sz w:val="1"/>
                <w:szCs w:val="1"/>
                <w:color w:val="auto"/>
              </w:rPr>
            </w:pPr>
          </w:p>
        </w:tc>
      </w:tr>
      <w:tr>
        <w:trPr>
          <w:trHeight w:val="155"/>
        </w:trPr>
        <w:tc>
          <w:tcPr>
            <w:tcW w:w="2980" w:type="dxa"/>
            <w:vAlign w:val="bottom"/>
            <w:gridSpan w:val="2"/>
            <w:vMerge w:val="continue"/>
          </w:tcPr>
          <w:p>
            <w:pPr>
              <w:spacing w:after="0"/>
              <w:rPr>
                <w:sz w:val="13"/>
                <w:szCs w:val="13"/>
                <w:color w:val="auto"/>
              </w:rPr>
            </w:pPr>
          </w:p>
        </w:tc>
        <w:tc>
          <w:tcPr>
            <w:tcW w:w="12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14,423,077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0.00001</w:t>
            </w:r>
          </w:p>
        </w:tc>
        <w:tc>
          <w:tcPr>
            <w:tcW w:w="240" w:type="dxa"/>
            <w:vAlign w:val="bottom"/>
          </w:tcPr>
          <w:p>
            <w:pPr>
              <w:spacing w:after="0"/>
              <w:rPr>
                <w:sz w:val="13"/>
                <w:szCs w:val="13"/>
                <w:color w:val="auto"/>
              </w:rPr>
            </w:pPr>
          </w:p>
        </w:tc>
        <w:tc>
          <w:tcPr>
            <w:tcW w:w="1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5,769,231</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4.16</w:t>
            </w:r>
          </w:p>
        </w:tc>
        <w:tc>
          <w:tcPr>
            <w:tcW w:w="200" w:type="dxa"/>
            <w:vAlign w:val="bottom"/>
          </w:tcPr>
          <w:p>
            <w:pPr>
              <w:spacing w:after="0"/>
              <w:rPr>
                <w:sz w:val="13"/>
                <w:szCs w:val="13"/>
                <w:color w:val="auto"/>
              </w:rPr>
            </w:pPr>
          </w:p>
        </w:tc>
        <w:tc>
          <w:tcPr>
            <w:tcW w:w="1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5,769,231</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Exercises</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(7,500,000)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60" w:type="dxa"/>
            <w:vAlign w:val="bottom"/>
            <w:tcBorders>
              <w:top w:val="single" w:sz="8" w:color="CFF0FC"/>
            </w:tcBorders>
          </w:tcPr>
          <w:p>
            <w:pPr>
              <w:ind w:left="60"/>
              <w:spacing w:after="0" w:line="156" w:lineRule="exact"/>
              <w:rPr>
                <w:sz w:val="20"/>
                <w:szCs w:val="20"/>
                <w:color w:val="auto"/>
              </w:rPr>
            </w:pPr>
            <w:r>
              <w:rPr>
                <w:rFonts w:ascii="Times New Roman" w:cs="Times New Roman" w:eastAsia="Times New Roman" w:hAnsi="Times New Roman"/>
                <w:sz w:val="15"/>
                <w:szCs w:val="15"/>
                <w:color w:val="auto"/>
              </w:rPr>
              <w:t>Balance at December 31, 2024</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6,923,077</w:t>
            </w:r>
          </w:p>
        </w:tc>
        <w:tc>
          <w:tcPr>
            <w:tcW w:w="160" w:type="dxa"/>
            <w:vAlign w:val="bottom"/>
            <w:tcBorders>
              <w:top w:val="single" w:sz="8" w:color="CFF0FC"/>
            </w:tcBorders>
          </w:tcPr>
          <w:p>
            <w:pPr>
              <w:spacing w:after="0"/>
              <w:rPr>
                <w:sz w:val="13"/>
                <w:szCs w:val="13"/>
                <w:color w:val="auto"/>
              </w:rPr>
            </w:pPr>
          </w:p>
        </w:tc>
        <w:tc>
          <w:tcPr>
            <w:tcW w:w="240" w:type="dxa"/>
            <w:vAlign w:val="bottom"/>
            <w:tcBorders>
              <w:top w:val="single" w:sz="8" w:color="CFF0FC"/>
            </w:tcBorders>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CFF0FC"/>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0.00001</w:t>
            </w:r>
          </w:p>
        </w:tc>
        <w:tc>
          <w:tcPr>
            <w:tcW w:w="240" w:type="dxa"/>
            <w:vAlign w:val="bottom"/>
            <w:tcBorders>
              <w:top w:val="single" w:sz="8" w:color="CFF0FC"/>
            </w:tcBorders>
          </w:tcPr>
          <w:p>
            <w:pPr>
              <w:spacing w:after="0"/>
              <w:rPr>
                <w:sz w:val="13"/>
                <w:szCs w:val="13"/>
                <w:color w:val="auto"/>
              </w:rPr>
            </w:pPr>
          </w:p>
        </w:tc>
        <w:tc>
          <w:tcPr>
            <w:tcW w:w="1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5,769,231</w:t>
            </w:r>
          </w:p>
        </w:tc>
        <w:tc>
          <w:tcPr>
            <w:tcW w:w="2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CFF0FC"/>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4.16</w:t>
            </w:r>
          </w:p>
        </w:tc>
        <w:tc>
          <w:tcPr>
            <w:tcW w:w="200" w:type="dxa"/>
            <w:vAlign w:val="bottom"/>
            <w:tcBorders>
              <w:top w:val="single" w:sz="8" w:color="CFF0FC"/>
            </w:tcBorders>
          </w:tcPr>
          <w:p>
            <w:pPr>
              <w:spacing w:after="0"/>
              <w:rPr>
                <w:sz w:val="13"/>
                <w:szCs w:val="13"/>
                <w:color w:val="auto"/>
              </w:rPr>
            </w:pPr>
          </w:p>
        </w:tc>
        <w:tc>
          <w:tcPr>
            <w:tcW w:w="12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5,769,231</w:t>
            </w:r>
          </w:p>
        </w:tc>
        <w:tc>
          <w:tcPr>
            <w:tcW w:w="320" w:type="dxa"/>
            <w:vAlign w:val="bottom"/>
            <w:tcBorders>
              <w:top w:val="single" w:sz="8" w:color="CFF0FC"/>
            </w:tcBorders>
            <w:gridSpan w:val="2"/>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CFF0FC"/>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6.24</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80" w:type="dxa"/>
            <w:vAlign w:val="bottom"/>
            <w:gridSpan w:val="2"/>
            <w:shd w:val="clear" w:color="auto" w:fill="CFF0FC"/>
          </w:tcPr>
          <w:p>
            <w:pPr>
              <w:ind w:left="80"/>
              <w:spacing w:after="0" w:line="162" w:lineRule="exact"/>
              <w:rPr>
                <w:sz w:val="20"/>
                <w:szCs w:val="20"/>
                <w:color w:val="auto"/>
              </w:rPr>
            </w:pPr>
            <w:r>
              <w:rPr>
                <w:rFonts w:ascii="Times New Roman" w:cs="Times New Roman" w:eastAsia="Times New Roman" w:hAnsi="Times New Roman"/>
                <w:sz w:val="15"/>
                <w:szCs w:val="15"/>
                <w:color w:val="auto"/>
              </w:rPr>
              <w:t>Exercised</w:t>
            </w:r>
          </w:p>
        </w:tc>
        <w:tc>
          <w:tcPr>
            <w:tcW w:w="138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(6,923,077)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color w:val="auto"/>
              </w:rPr>
              <w:t>Expired</w:t>
            </w:r>
          </w:p>
        </w:tc>
        <w:tc>
          <w:tcPr>
            <w:tcW w:w="13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3"/>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(5,769,231)</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80" w:type="dxa"/>
            <w:vAlign w:val="bottom"/>
            <w:tcBorders>
              <w:bottom w:val="single" w:sz="8" w:color="CFF0FC"/>
            </w:tcBorders>
            <w:gridSpan w:val="2"/>
            <w:shd w:val="clear" w:color="auto" w:fill="CFF0FC"/>
          </w:tcPr>
          <w:p>
            <w:pPr>
              <w:ind w:left="60"/>
              <w:spacing w:after="0" w:line="156" w:lineRule="exact"/>
              <w:rPr>
                <w:sz w:val="20"/>
                <w:szCs w:val="20"/>
                <w:color w:val="auto"/>
              </w:rPr>
            </w:pPr>
            <w:r>
              <w:rPr>
                <w:rFonts w:ascii="Times New Roman" w:cs="Times New Roman" w:eastAsia="Times New Roman" w:hAnsi="Times New Roman"/>
                <w:sz w:val="15"/>
                <w:szCs w:val="15"/>
                <w:color w:val="auto"/>
              </w:rPr>
              <w:t>Balance at December 31, 2025</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gridSpan w:val="2"/>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0.00001</w:t>
            </w:r>
          </w:p>
        </w:tc>
        <w:tc>
          <w:tcPr>
            <w:tcW w:w="24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2.73</w:t>
            </w:r>
          </w:p>
        </w:tc>
        <w:tc>
          <w:tcPr>
            <w:tcW w:w="20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5,769,231</w:t>
            </w:r>
          </w:p>
        </w:tc>
        <w:tc>
          <w:tcPr>
            <w:tcW w:w="320" w:type="dxa"/>
            <w:vAlign w:val="bottom"/>
            <w:tcBorders>
              <w:bottom w:val="single" w:sz="8" w:color="CFF0FC"/>
            </w:tcBorders>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FF0FC"/>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-453390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-453390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-453390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May 2024 annual meeting of stockholders, the Company's authorized shares of common stock were approved to increase from 150,000,000 shares to 300,000,000 shares.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2010 Plan and 2011 Plan</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2010, the Company adopted its 2010 Stock Incentive Plan (the “2010 Plan”) which provided for the granting of stock options to employees, directors and consultants of the Company. Options granted under the 2010 Plan were either incentive stock options (“ISOs”) or nonqualified stock options (“NSOs”).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February 2012, the Company adopted its 2011 Stock Incentive Plan (the “2011 Plan”). The 2011 Plan is divided into two separate equity programs, an option and stock appreciation rights grant program and a stock award program. In conjunction with adopting the 2011 Plan, the Company discontinued the 2010 Plan and released the shares reserved and still available under that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consummation of the IPO in October 2015, the board of directors adopted the Company’s 2015 Equity Incentive Plan (the “2015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collectively with the 2010 Plan and 2011 Plan, the “Plans”). In conjunction with adopting the 2015 Plan, the Company discontinued the 2011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with respect to new equity awards.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2015 Plan</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2015 Plan authorized the board of directors to grant incentive stock options, non-statutory stock options and RSUs to employees, directors, non-employee directors and consultants of the Company. Stock options under the 2015 Plan may be granted for periods of up to ten years. All stock options issued to date have had a 10-year life. Under the terms of the 2015 Plan, stock options may be granted at an exercise price not less than the estimated fair value of the Company’s common stock on the date of grant, as determined by the Company’s board of directors. For employees holding more than 10% of the voting rights of all classes of stock, the exercise price of ISOs and NSOs may not be less than 110% of the estimated fair value of the shares on the date of grant, as determined by the board of directors. To date, stock options granted under the 2015 Plan generally vest over four years and vest at a rate of 25% upon the first anniversary of the issuance date and 1/48th per month thereafter.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42"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 xml:space="preserve">In June 2025, the Company’s stockholders approved the amendment and restatement of the 2015 Plan, among other things, to increase the aggregate number of shares of the Company’s common shares available for grant to approximately 6.3 million shares, remove the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evergreen provision</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which provided an annual increase of shares under the Plan on January 1 of each calendar year by 4% of the total number of issued and outstanding shares of common stock as of January 1 of the same year. As of December 31, 2025 and 2024, 5,191,986 shares and 2,319,648 shares of common stock, respectively, were available for future issuance under the 2015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2019 Plan</w:t>
      </w:r>
    </w:p>
    <w:p>
      <w:pPr>
        <w:spacing w:after="0" w:line="22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In September 2019, the Board of Directors adopted the 2019 Employment Inducement Incentive Plan (the “2019 Plan”) which provides for the grant of stock options and other equity awards to any employee who has not previously been an employee or director of the Company or who is commencing employment with the Company following a bona fide period of nonemployment by the Company. Awards granted under the 2019 Plan are intended to constitute “employment inducement awards” under Nasdaq Listing Rule 5635(c)(4). Options granted under the 2019 Plan are nonqualified stock options (“NSOs”) which may be exercisable for periods of up to ten years and the options shall be granted at an exercise price of not less than 100% of the fair market value of the Company’s common stock on the date of grant.</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initial number of shares of common stock available for future issuance under the 2019 Plan was 1,815,000. During 2021, the total number of shares of common stock available for issuance under the 2019 Plan has increased by 1,000,000 shares. In conjunction with the amendment of the 2015 Plan approved by the Company's stockholders in June 2025, the Company discontinued the 2019 Plan with respect to new equity awards. All the remaining shares available for grant under the 2019 Plan were released and transferred to the 2015 Plan. As of December 31, 2025 and 2024, no shares and 1,658,672 shares, respectively, of common stock were available for future issuance under the 2019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20" w:type="dxa"/>
            <w:vAlign w:val="bottom"/>
          </w:tcPr>
          <w:p>
            <w:pPr>
              <w:jc w:val="center"/>
              <w:ind w:left="189"/>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left="24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4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80" w:type="dxa"/>
            <w:vAlign w:val="bottom"/>
          </w:tcPr>
          <w:p>
            <w:pPr>
              <w:jc w:val="center"/>
              <w:ind w:left="24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14,562,061</w:t>
            </w:r>
          </w:p>
        </w:tc>
        <w:tc>
          <w:tcPr>
            <w:tcW w:w="160" w:type="dxa"/>
            <w:vAlign w:val="bottom"/>
          </w:tcPr>
          <w:p>
            <w:pPr>
              <w:spacing w:after="0"/>
              <w:rPr>
                <w:sz w:val="15"/>
                <w:szCs w:val="15"/>
                <w:color w:val="auto"/>
              </w:rPr>
            </w:pPr>
          </w:p>
        </w:tc>
        <w:tc>
          <w:tcPr>
            <w:tcW w:w="980" w:type="dxa"/>
            <w:vAlign w:val="bottom"/>
            <w:gridSpan w:val="2"/>
            <w:vMerge w:val="restart"/>
          </w:tcPr>
          <w:p>
            <w:pPr>
              <w:jc w:val="right"/>
              <w:ind w:right="70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6.20</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42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4,653,805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(319,855)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(2,187,069)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5.63</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16,708,942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5"/>
              </w:rPr>
              <w:t>5.12</w:t>
            </w:r>
          </w:p>
        </w:tc>
        <w:tc>
          <w:tcPr>
            <w:tcW w:w="22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7"/>
              </w:rPr>
              <w:t>6.1</w:t>
            </w:r>
          </w:p>
        </w:tc>
        <w:tc>
          <w:tcPr>
            <w:tcW w:w="3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24,594.2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Options Exercisable—December 31, 2025</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11,354,089</w:t>
            </w:r>
          </w:p>
        </w:tc>
        <w:tc>
          <w:tcPr>
            <w:tcW w:w="1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gridSpan w:val="2"/>
            <w:shd w:val="clear" w:color="auto" w:fill="CFF0FC"/>
          </w:tcPr>
          <w:p>
            <w:pPr>
              <w:jc w:val="right"/>
              <w:ind w:right="70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6.63</w:t>
            </w: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4.9</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11,996.4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-316230</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aggregate intrinsic values of options exercised, outstanding and exercisable were calculated as the difference between the exercise price of the options and the quoted market price of the underlying common stock as of December 31, 2025.</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recorded $3.9 million and $5.8 million of stock-based compensation expense related to the stock option plans for the years ended December 31, 2025 and 2024, respectively.</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options granted in the years ended December 31, 2025 and 2024 had weighted-average per share grant-date fair values of $1.41 and $1.21, respectively. As of December 31, 2025, the unrecognized compensation expense with respect to options granted was $7.3 million and is expected to be recognized over 2.58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RSUs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TRSU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TRSU activities: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2"/>
                <w:szCs w:val="12"/>
                <w:color w:val="auto"/>
              </w:rPr>
            </w:pPr>
          </w:p>
        </w:tc>
        <w:tc>
          <w:tcPr>
            <w:tcW w:w="13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2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1,853,232</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RSUs awarded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2,060,683</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RSUs vested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(565,125)</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RSUs forfeited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(437,596)</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2,911,194</w:t>
            </w: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7"/>
              </w:rPr>
              <w:t>0.9</w:t>
            </w:r>
          </w:p>
        </w:tc>
        <w:tc>
          <w:tcPr>
            <w:tcW w:w="3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12,401.7</w:t>
            </w:r>
          </w:p>
        </w:tc>
        <w:tc>
          <w:tcPr>
            <w:tcW w:w="34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-170815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recorded $1.5 million and $1.5 million of stock-based compensation expense related to the TRSUs for the year ended December 31, 2025 and 2024, respectively. As of December 31, 2025, the unrecognized compensation expense with respect to the TRSUs was $2.1 million which is expected to be recognized over 1.5 years. The TRSUs generally vest ratably over two to four years.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RSUs ("PSU")</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PSU</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February 2023, the Company granted 760,000 PSUs to executive employees with an aggregated grant date fair value of approximately $1.9 million. Vesting for 50% of the PSUs granted occurred upon attaining certain specific milestones by December 2024 (“2023-Tranche-1”), and the remaining 50% were set to vest upon attaining certain specific milestones by December 2025 (“2023-Tranche-2”). As of December 31, 2024, the PSUs for 2023-Tranche-1 were canceled as the related performance condition was not met by December 2024. The performance condition for 2023-Tranche-2 was determined to be satisfied in June 2025 and the 2023-Tranche-2 PSUs were fully vested. As a result, the Company recorded $0.7 million compensation cost for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PSU</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January 2024, the Company granted 810,000 PSUs to executive employees with an aggregated grant date fair value of approximately $1.3 million. Vesting for 50% of the PSUs granted will occur upon attaining certain specific milestones by December 2025 (“2024-Tranche-1”), and the remaining 50% will vest upon attaining certain specific milestones by December 2026 (“2024-Tranche-2”). As of December 31, 2025, the PSUs for 2024-Tranche-1 were canceled as the related performance condition was not met by December 2025. The Company determined that it is not probable that the performance conditions will be satisfied for 2024-Tranche-2 and hence no compensation cost was recorded for these awards through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2025 PSU</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 September 2025, the Company granted 413,350 PSUs to executive employees with an aggregated grant date fair value of approximately $1.2 million. Vesting for one third of the PSUs granted will occur upon attaining a certain specific milestone (“2025-Tranche-1”), vesting for one third of the PSUs granted will occur upon attaining a certain specific milestone (“2025-Tranche-2”) on June 30, 2027 or later, and the remaining one third will vest upon attaining a certain specific milestone on June 30, 2028 or later (“2025-Tranche-3”). The Company determined that it is not probable that the performance conditions will be satisfied for each of these tranches and hence no compensation cost was recorded for these awards through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PSU activities: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5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2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2"/>
                <w:szCs w:val="12"/>
                <w:color w:val="auto"/>
              </w:rPr>
            </w:pPr>
          </w:p>
        </w:tc>
        <w:tc>
          <w:tcPr>
            <w:tcW w:w="13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2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Value Per Share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1,190,000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PSUs awarded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413,350</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PSUs vested</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(275,000)</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PSUs forfeited</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(622,500)</w:t>
            </w: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705,850</w:t>
            </w:r>
          </w:p>
        </w:tc>
        <w:tc>
          <w:tcPr>
            <w:tcW w:w="240" w:type="dxa"/>
            <w:vAlign w:val="bottom"/>
            <w:tcBorders>
              <w:top w:val="single" w:sz="8" w:color="CFF0FC"/>
            </w:tcBorders>
          </w:tcPr>
          <w:p>
            <w:pPr>
              <w:spacing w:after="0"/>
              <w:rPr>
                <w:sz w:val="18"/>
                <w:szCs w:val="18"/>
                <w:color w:val="auto"/>
              </w:rPr>
            </w:pPr>
          </w:p>
        </w:tc>
        <w:tc>
          <w:tcPr>
            <w:tcW w:w="102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97"/>
              </w:rPr>
              <w:t>1.6</w:t>
            </w:r>
          </w:p>
        </w:tc>
        <w:tc>
          <w:tcPr>
            <w:tcW w:w="3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34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420" w:type="dxa"/>
            <w:vAlign w:val="bottom"/>
          </w:tcPr>
          <w:p>
            <w:pPr>
              <w:spacing w:after="0"/>
              <w:rPr>
                <w:sz w:val="24"/>
                <w:szCs w:val="24"/>
                <w:color w:val="auto"/>
              </w:rPr>
            </w:pPr>
          </w:p>
        </w:tc>
        <w:tc>
          <w:tcPr>
            <w:tcW w:w="128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-1053465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2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December 31, 2025, unrecognized compensation expense with respect to PSUs granted was $1.9 million, of which $1.5 million is expected to be recognized over approximately 1.6 years and $0.4 million will be recognized upon occurrence of the specific milestone.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Concurrent with the completion of the IPO in October 2015, the Company’s Employee Stock Purchase Plan (“ESPP”) became effective. The ESPP allows eligible employees to purchase shares of the Company’s common stock at a discount through payroll deductions of up to 15% of their eligible compensation, subject to any plan limitations. The ESPP generally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Company issued 207,528 and 383,346 shares of common stock under the ESPP in 2025 and 2024, respectively. In June 2025, the Board of Directors approved an amendment and restatement of the ESPP to remove the expiration date of the plan and the annual increase of shares on January 1 of each calendar year as defined under the ESPP.</w:t>
      </w:r>
    </w:p>
    <w:p>
      <w:pPr>
        <w:spacing w:after="0" w:line="18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Shares available for future purchase under the ESPP were 348,824 shares and 556,352 shares at December 31, 2025 and 2024, respectively. The compensation expense related to the ESPP was $0.2 million and $0.3 million for the years ended December 31, 2025 and 2024, respectively. As of December 31, 2025, there was $0.1 million of unrecognized compensation cost related to the ESPP, which the Company expects to recognize over 5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recorded related to stock options, TRSUs, PSUs and the ESPP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2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c>
          <w:tcPr>
            <w:tcW w:w="120" w:type="dxa"/>
            <w:vAlign w:val="bottom"/>
          </w:tcPr>
          <w:p>
            <w:pPr>
              <w:spacing w:after="0"/>
              <w:rPr>
                <w:sz w:val="18"/>
                <w:szCs w:val="18"/>
                <w:color w:val="auto"/>
              </w:rPr>
            </w:pPr>
          </w:p>
        </w:tc>
      </w:tr>
      <w:tr>
        <w:trPr>
          <w:trHeight w:val="230"/>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shd w:val="clear" w:color="auto" w:fill="CFF0FC"/>
          </w:tcPr>
          <w:p>
            <w:pPr>
              <w:jc w:val="right"/>
              <w:ind w:right="98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102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20" w:type="dxa"/>
            <w:vAlign w:val="bottom"/>
            <w:shd w:val="clear" w:color="auto" w:fill="CFF0FC"/>
          </w:tcPr>
          <w:p>
            <w:pPr>
              <w:spacing w:after="0"/>
              <w:rPr>
                <w:sz w:val="19"/>
                <w:szCs w:val="19"/>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employee stock options and ESPP using the Black-Scholes valuation model based on the date of grant with the following weighted average assumptions: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w w:val="99"/>
              </w:rPr>
              <w:t>ESPP</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9"/>
        </w:trPr>
        <w:tc>
          <w:tcPr>
            <w:tcW w:w="3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7"/>
              </w:rPr>
              <w:t>100.2%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8"/>
              </w:rPr>
              <w:t>84.0%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8"/>
                <w:szCs w:val="18"/>
                <w:color w:val="auto"/>
                <w:w w:val="99"/>
              </w:rPr>
              <w:t>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center"/>
              <w:ind w:right="196"/>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center"/>
              <w:ind w:right="273"/>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center"/>
              <w:ind w:right="257"/>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center"/>
              <w:ind w:right="233"/>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 yield</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center"/>
              <w:ind w:right="19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center"/>
              <w:ind w:right="273"/>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center"/>
              <w:ind w:right="25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average grant date fair value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derives its income only from the United States. The components of the provision for income taxes are as follows (in thousands):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9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7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860" w:type="dxa"/>
            <w:vAlign w:val="bottom"/>
            <w:gridSpan w:val="2"/>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7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w:t>
            </w:r>
          </w:p>
        </w:tc>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7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7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w:t>
            </w:r>
          </w:p>
        </w:tc>
        <w:tc>
          <w:tcPr>
            <w:tcW w:w="27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9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7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3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19"/>
                <w:szCs w:val="19"/>
                <w:color w:val="auto"/>
              </w:rPr>
            </w:pPr>
          </w:p>
        </w:tc>
      </w:tr>
      <w:tr>
        <w:trPr>
          <w:trHeight w:val="20"/>
        </w:trPr>
        <w:tc>
          <w:tcPr>
            <w:tcW w:w="498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-1409065</wp:posOffset>
            </wp:positionV>
            <wp:extent cx="93980" cy="1365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-1409065</wp:posOffset>
            </wp:positionV>
            <wp:extent cx="93980" cy="1365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table reflects the ASU 2023-09, Income Taxes (Topic 740): Improvements to Income Tax Disclosures (ASU 2023-09). See “Note 2. Basis of Presentation and Summary of Significant Accounting Policies — Recent Accounting Pronouncements” for additional information on the adoption of ASU 2023-09.</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8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0" w:type="dxa"/>
            <w:vAlign w:val="bottom"/>
          </w:tcPr>
          <w:p>
            <w:pPr>
              <w:spacing w:after="0"/>
              <w:rPr>
                <w:sz w:val="1"/>
                <w:szCs w:val="1"/>
                <w:color w:val="auto"/>
              </w:rPr>
            </w:pPr>
          </w:p>
        </w:tc>
      </w:tr>
      <w:tr>
        <w:trPr>
          <w:trHeight w:val="117"/>
        </w:trPr>
        <w:tc>
          <w:tcPr>
            <w:tcW w:w="6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494"/>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0"/>
                <w:szCs w:val="10"/>
                <w:color w:val="auto"/>
              </w:rPr>
            </w:pPr>
          </w:p>
        </w:tc>
        <w:tc>
          <w:tcPr>
            <w:tcW w:w="1400" w:type="dxa"/>
            <w:vAlign w:val="bottom"/>
            <w:tcBorders>
              <w:top w:val="single" w:sz="8" w:color="auto"/>
            </w:tcBorders>
            <w:vMerge w:val="restart"/>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(3,598)</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Nondeductible items</w:t>
            </w: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 162(m) limitation</w:t>
            </w: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adjustment related to stock based compensation</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612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5975985</wp:posOffset>
            </wp:positionH>
            <wp:positionV relativeFrom="paragraph">
              <wp:posOffset>-2035175</wp:posOffset>
            </wp:positionV>
            <wp:extent cx="93980" cy="2311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23114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-2035175</wp:posOffset>
            </wp:positionV>
            <wp:extent cx="137160" cy="2311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23114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-307975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-307975</wp:posOffset>
            </wp:positionV>
            <wp:extent cx="1117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Company’s effective tax rate to the statutory U.S. federal rate, prior to the adoption of ASU 2023-09,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398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5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5680" w:type="dxa"/>
            <w:vAlign w:val="bottom"/>
          </w:tcPr>
          <w:p>
            <w:pPr>
              <w:spacing w:after="0"/>
              <w:rPr>
                <w:sz w:val="12"/>
                <w:szCs w:val="12"/>
                <w:color w:val="auto"/>
              </w:rPr>
            </w:pPr>
          </w:p>
        </w:tc>
        <w:tc>
          <w:tcPr>
            <w:tcW w:w="14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56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7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72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162(m) limitation</w:t>
            </w:r>
          </w:p>
        </w:tc>
        <w:tc>
          <w:tcPr>
            <w:tcW w:w="7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588"/>
        </w:trPr>
        <w:tc>
          <w:tcPr>
            <w:tcW w:w="3980" w:type="dxa"/>
            <w:vAlign w:val="bottom"/>
            <w:tcBorders>
              <w:top w:val="single" w:sz="8" w:color="CFF0FC"/>
            </w:tcBorders>
          </w:tcPr>
          <w:p>
            <w:pPr>
              <w:spacing w:after="0"/>
              <w:rPr>
                <w:sz w:val="24"/>
                <w:szCs w:val="24"/>
                <w:color w:val="auto"/>
              </w:rPr>
            </w:pPr>
          </w:p>
        </w:tc>
        <w:tc>
          <w:tcPr>
            <w:tcW w:w="5680" w:type="dxa"/>
            <w:vAlign w:val="bottom"/>
            <w:tcBorders>
              <w:top w:val="single" w:sz="8" w:color="CFF0FC"/>
            </w:tcBorders>
          </w:tcPr>
          <w:p>
            <w:pPr>
              <w:jc w:val="right"/>
              <w:ind w:right="3810"/>
              <w:spacing w:after="0"/>
              <w:rPr>
                <w:sz w:val="20"/>
                <w:szCs w:val="20"/>
                <w:color w:val="auto"/>
              </w:rPr>
            </w:pPr>
            <w:r>
              <w:rPr>
                <w:rFonts w:ascii="Times New Roman" w:cs="Times New Roman" w:eastAsia="Times New Roman" w:hAnsi="Times New Roman"/>
                <w:sz w:val="18"/>
                <w:szCs w:val="18"/>
                <w:color w:val="auto"/>
              </w:rPr>
              <w:t>118</w:t>
            </w: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8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-908050</wp:posOffset>
            </wp:positionV>
            <wp:extent cx="1117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-890905</wp:posOffset>
            </wp:positionV>
            <wp:extent cx="1117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6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types of temporary differences that give rise to significant portions of the Company’s deferred income tax assets and liabilities are set out below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200" w:type="dxa"/>
            <w:vAlign w:val="bottom"/>
            <w:shd w:val="clear" w:color="auto" w:fill="CFF0FC"/>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84,916</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23,871</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Sec 174 capitalized research and development costs</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37,249</w:t>
            </w:r>
          </w:p>
        </w:tc>
        <w:tc>
          <w:tcPr>
            <w:tcW w:w="12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gross deferred income tax assets</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188,274</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164,217</w:t>
            </w:r>
          </w:p>
        </w:tc>
        <w:tc>
          <w:tcPr>
            <w:tcW w:w="120" w:type="dxa"/>
            <w:vAlign w:val="bottom"/>
          </w:tcPr>
          <w:p>
            <w:pPr>
              <w:spacing w:after="0"/>
              <w:rPr>
                <w:sz w:val="18"/>
                <w:szCs w:val="18"/>
                <w:color w:val="auto"/>
              </w:rPr>
            </w:pPr>
          </w:p>
        </w:tc>
      </w:tr>
      <w:tr>
        <w:trPr>
          <w:trHeight w:val="216"/>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(187,342)</w:t>
            </w: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(162,110)</w:t>
            </w:r>
          </w:p>
        </w:tc>
      </w:tr>
      <w:tr>
        <w:trPr>
          <w:trHeight w:val="210"/>
        </w:trPr>
        <w:tc>
          <w:tcPr>
            <w:tcW w:w="69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3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tcBorders>
              <w:top w:val="single" w:sz="8" w:color="CFF0FC"/>
            </w:tcBorders>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(947)</w:t>
            </w:r>
          </w:p>
        </w:tc>
        <w:tc>
          <w:tcPr>
            <w:tcW w:w="7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(1,903)</w:t>
            </w: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(164)</w:t>
            </w: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r>
      <w:tr>
        <w:trPr>
          <w:trHeight w:val="20"/>
        </w:trPr>
        <w:tc>
          <w:tcPr>
            <w:tcW w:w="69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(932)</w:t>
            </w:r>
          </w:p>
        </w:tc>
        <w:tc>
          <w:tcPr>
            <w:tcW w:w="7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(2,107)</w:t>
            </w:r>
          </w:p>
        </w:tc>
      </w:tr>
      <w:tr>
        <w:trPr>
          <w:trHeight w:val="249"/>
        </w:trPr>
        <w:tc>
          <w:tcPr>
            <w:tcW w:w="69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1200" w:type="dxa"/>
            <w:vAlign w:val="bottom"/>
            <w:tcBorders>
              <w:top w:val="single" w:sz="8" w:color="auto"/>
              <w:bottom w:val="single" w:sz="8" w:color="auto"/>
            </w:tcBorders>
            <w:shd w:val="clear" w:color="auto" w:fill="CFF0FC"/>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-2515235</wp:posOffset>
            </wp:positionV>
            <wp:extent cx="93980" cy="1365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-2515235</wp:posOffset>
            </wp:positionV>
            <wp:extent cx="102870" cy="1365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-1156970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-873760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-316865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established a valuation allowance against all of its net deferred tax assets. Management considered all available evidence, both positive and negative, including but not limited to our historical operating results, income or loss in recent periods, cumulative losses in recent years, forecasted earnings, future taxable income, and significant risk and uncertainty related to forecasts, and concluded the deferred tax assets are not more likely than not to be realized. The net change in the total valuation allowance for the years ended December 31, 2025 and 2024 was an increase of $25.2 million and a decrease of $13.4 million, respectively.</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had net operating loss carryforwards for federal and state income tax purposes of approximately $394.5 million and $56.9 million, respectively, as of December 31, 2025, available to reduce future taxable income. Of the federal net operating loss carryforwards, $65.6 million will begin to expire in 2034, if not utilized and $328.9 million will be carried forward indefinitely. The state net operating loss carryforwards will begin to expire in 2032, if not utilized.</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also has federal and state research and development tax credit carryforwards of $26.4 million and $15.0 million, respectively, as of December 31, 2025 available to reduce future income taxes. The federal research and development tax credits will begin to expire in 2031 if not utilized. The state research and development tax credits will carryforward indefinitely.</w:t>
      </w:r>
    </w:p>
    <w:p>
      <w:pPr>
        <w:spacing w:after="0" w:line="2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Internal Revenue Code section 382 (“IRC Section 382”) places a limitation (the “Section 382 Limitation”) on the amount of taxable income that can be offset by net operating loss (“NOL”) carryforwards after a change in control (generally greater than 50% change in ownership) of a loss corporation. California has similar rules. When such ownership change occurs, IRC Section 382 limits the use of NOLs and credits in subsequent periods based on the annual Section 382 Limitation. The Company performed an IRC Section 382 analysis and determined that there was no ownership change in 2025 which may result in a reduction of its NOLs or its research and development credits expiring unused.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unrecognized tax benefit amount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200" w:type="dxa"/>
            <w:vAlign w:val="bottom"/>
            <w:shd w:val="clear" w:color="auto" w:fill="CFF0FC"/>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0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19,377</w:t>
            </w:r>
          </w:p>
        </w:tc>
        <w:tc>
          <w:tcPr>
            <w:tcW w:w="120" w:type="dxa"/>
            <w:vAlign w:val="bottom"/>
            <w:shd w:val="clear" w:color="auto" w:fill="CFF0FC"/>
          </w:tcPr>
          <w:p>
            <w:pPr>
              <w:spacing w:after="0"/>
              <w:rPr>
                <w:sz w:val="18"/>
                <w:szCs w:val="18"/>
                <w:color w:val="auto"/>
              </w:rPr>
            </w:pPr>
          </w:p>
        </w:tc>
      </w:tr>
      <w:tr>
        <w:trPr>
          <w:trHeight w:val="216"/>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8"/>
                <w:szCs w:val="18"/>
                <w:color w:val="auto"/>
              </w:rPr>
            </w:pPr>
          </w:p>
        </w:tc>
      </w:tr>
      <w:tr>
        <w:trPr>
          <w:trHeight w:val="216"/>
        </w:trPr>
        <w:tc>
          <w:tcPr>
            <w:tcW w:w="69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 based on tax positions related to prior years</w:t>
            </w:r>
          </w:p>
        </w:tc>
        <w:tc>
          <w:tcPr>
            <w:tcW w:w="1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200" w:type="dxa"/>
            <w:vAlign w:val="bottom"/>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20,207</w:t>
            </w: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12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-706120</wp:posOffset>
            </wp:positionV>
            <wp:extent cx="93980" cy="1365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-706120</wp:posOffset>
            </wp:positionV>
            <wp:extent cx="102870" cy="1365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4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Of the unrecognized tax benefits as of each of December 31, 2025 and 2024, approximately $2.3 million would affect the Company’s effective tax rate if recognized. Penalties and interest of $1.0 million and $1.0 million, respectively, have been accrued for as of December 31, 2025.</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files income taxes in the U.S. federal jurisdiction, the state of California and various other U.S. states. The state of California contested the Company’s tax position on revenue apportionment for upfront and milestone payments resulting from the Company’s collaboration and licensing agreements for the years 2017 and 2018. In September 2023, the Company received Notice of Proposed Assessment (“NOPA”) from the Franchise Tax Board. The Company recorded an uncertain tax position of $4.4 million in long term liabilities for the proposed tax assessment, penalties and interest through December 31, 2025. Additional utilization of carryforward attributes and indirect federal tax effects of the assessment would result in a reduction in deferred tax assets of $5.0 million. The Company filed a protest to contest the proposed assessment in November 2023. Due to the ongoing nature of the examination and discussions with the state of California, the Company is unable to estimate a date by which this matter will be resolved.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During the years ended December 31, 2025 and 2024, the Company made contributions to the plan of $0.5 million and $0.6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operates as a single operating segment. The Chief Executive Officer is identified as the Chief Operating Decision Maker (“CODM”). The CODM primarily reviews the Company’s financial information on an aggregate basis. The CODM utilizes the aggregated financial information to make strategic decisions, assess performance, and allocate resources across the Company. The aggregate information includes the revenue by collaboration partner, research and development expense by program, as well as net income that is reported on the Statements of Operations and Comprehensive Income (Loss). Net income (loss) is used to monitor budget versus actual results in assessing performance of the segment and in establishing management's compensation. The measure of segment assets is reported on the Balance Sheets as total assets. All of the Company’s long-lived assets are located in the United States. In addition to the revenue by collaborative partners disclosed in Note 8, the CODM reviews the following significant expenses in making decisions about the allocation of resources and assessing performance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78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jc w:val="right"/>
              <w:ind w:right="51"/>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jc w:val="right"/>
              <w:ind w:right="588"/>
              <w:spacing w:after="0" w:line="155"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9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76,201</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138,103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costs incurred by product candidate (target):</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CX-904 (EGFRxCD3)</w:t>
            </w:r>
          </w:p>
        </w:tc>
        <w:tc>
          <w:tcPr>
            <w:tcW w:w="3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Varseta-M</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CX-801 (IFNα2b)</w:t>
            </w:r>
          </w:p>
        </w:tc>
        <w:tc>
          <w:tcPr>
            <w:tcW w:w="3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wholly owned and partnered programs</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General research and development expenses</w:t>
            </w:r>
          </w:p>
        </w:tc>
        <w:tc>
          <w:tcPr>
            <w:tcW w:w="30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external costs</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Internal costs</w:t>
            </w:r>
          </w:p>
        </w:tc>
        <w:tc>
          <w:tcPr>
            <w:tcW w:w="30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30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113,108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(22,364)</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income taxes</w:t>
            </w:r>
          </w:p>
        </w:tc>
        <w:tc>
          <w:tcPr>
            <w:tcW w:w="3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(17,130)</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(17,368)</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120</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7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-2468245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-2185035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-2185035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-1902460</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-1053465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128"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color w:val="auto"/>
        </w:rPr>
        <w:t>On January 6, 2025, the Company announced a restructuring plan to streamline its organization and prioritize Varseta-M (EpCAM PROBODY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ADC), CX-801 and its activities to support its research collaborations. This plan resulted in a reduction of approximately 40% of its workforce and was substantially completed in the first quarter of 2025. The Company incurred total restructuring charges of $2.8 million, primarily related to one-time severance payments and other employee-related costs. This includes $1.7 million of research and development expenses and $1.1 million of general and administrative expenses that were recorded during the twelve months ended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accrued restructuring costs as of December 31,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Severance and Benefits</w:t>
            </w:r>
          </w:p>
        </w:tc>
        <w:tc>
          <w:tcPr>
            <w:tcW w:w="140" w:type="dxa"/>
            <w:vAlign w:val="bottom"/>
          </w:tcPr>
          <w:p>
            <w:pPr>
              <w:spacing w:after="0"/>
              <w:rPr>
                <w:sz w:val="13"/>
                <w:szCs w:val="13"/>
                <w:color w:val="auto"/>
              </w:rPr>
            </w:pPr>
          </w:p>
        </w:tc>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Based Compensation</w:t>
            </w:r>
          </w:p>
        </w:tc>
        <w:tc>
          <w:tcPr>
            <w:tcW w:w="380" w:type="dxa"/>
            <w:vAlign w:val="bottom"/>
          </w:tcPr>
          <w:p>
            <w:pPr>
              <w:spacing w:after="0"/>
              <w:rPr>
                <w:sz w:val="13"/>
                <w:szCs w:val="13"/>
                <w:color w:val="auto"/>
              </w:rPr>
            </w:pPr>
          </w:p>
        </w:tc>
        <w:tc>
          <w:tcPr>
            <w:tcW w:w="14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cost recorded</w:t>
            </w:r>
          </w:p>
        </w:tc>
        <w:tc>
          <w:tcPr>
            <w:tcW w:w="100" w:type="dxa"/>
            <w:vAlign w:val="bottom"/>
          </w:tcPr>
          <w:p>
            <w:pPr>
              <w:spacing w:after="0"/>
              <w:rPr>
                <w:sz w:val="15"/>
                <w:szCs w:val="15"/>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4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payment</w:t>
            </w:r>
          </w:p>
        </w:tc>
        <w:tc>
          <w:tcPr>
            <w:tcW w:w="1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estimates</w:t>
            </w:r>
          </w:p>
        </w:tc>
        <w:tc>
          <w:tcPr>
            <w:tcW w:w="1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54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charges</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54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-170815</wp:posOffset>
            </wp:positionV>
            <wp:extent cx="77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2026, Astellas chose to not advance the remaining preclinical programs under the alliance, resulting in a termination of the collaboration effective in the second quarter of 2026. CytomX is currently assessing options to advance select targets previously covered under the Astellas collaboration as part of its ongoing research and development strategy.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241" w:lineRule="exact"/>
        <w:rPr>
          <w:sz w:val="20"/>
          <w:szCs w:val="20"/>
          <w:color w:val="auto"/>
        </w:rPr>
      </w:pPr>
    </w:p>
    <w:p>
      <w:pPr>
        <w:ind w:right="39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December 31, 2025, the end of the period covered by this Annual Report on Form 10-K. Based on that evaluation, the Company's Principal Executive Officer and Principal Financial Officer concluded that, as of December 31, 2025,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the financial statements in accordance with generally accepted accounting principles,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the Company's Principal Executive Officer and Principal Financial Officer concluded that, as of December 31, 2025, our internal control over financial reporting was effective.</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also been audited by Ernst &amp; Young LLP, an independent registered public accounting firm, as stated in its report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our fiscal quarter ended December 31, 2025, that has materially affected, or is reasonably likely to materially affect, our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4" w:name="page125"/>
    <w:bookmarkEnd w:id="1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set forth below is included for the purpose of providing disclosure under “Item 1.02 – Termination of a Material Definitive Agreement” of Form 8-K.</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12, 2026, CytomX Therapeutics, Inc. (the “Company”) received written notice from Astellas Pharma Inc. (“Astellas”) of Astellas’s termination of the Collaboration and License Agreement, dated as of March 23, 2020, by and between Astellas and the Company (the “Agreement”). Astellas exercised its right to terminate the Agreement, with such termination effective as of May 12, 2026.</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foregoing summary of the termination does not purport to be complete and is qualified in its entirety by reference to the full text of the Agreement, which was filed as Exhibit 10.4 to the Company’s Quarterly Report on Form 10-Q for the quarter ended March 31, 2020, filed with the Securities and Exchange Commission on May 7, 2020. For a summary of the material terms of the Agreement, please see Note 8, Collaboration and License Agreements to our audited financial statements included elsewhere in this Annual Report on Form 10-K.</w:t>
      </w:r>
    </w:p>
    <w:p>
      <w:pPr>
        <w:spacing w:after="0" w:line="284" w:lineRule="exact"/>
        <w:rPr>
          <w:sz w:val="20"/>
          <w:szCs w:val="20"/>
          <w:color w:val="auto"/>
        </w:rPr>
      </w:pPr>
    </w:p>
    <w:p>
      <w:pPr>
        <w:ind w:right="5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5" w:name="page126"/>
    <w:bookmarkEnd w:id="12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Company’s proxy statement to be filed with the Securities and Exchange Commission within 120 days after the Company’s fiscal year end and is incorporated herein by reference.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119"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52"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52"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7"/>
        </w:trPr>
        <w:tc>
          <w:tcPr>
            <w:tcW w:w="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20" w:type="dxa"/>
            <w:vAlign w:val="bottom"/>
            <w:vMerge w:val="restart"/>
          </w:tcPr>
          <w:p>
            <w:pPr>
              <w:ind w:left="27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40" w:type="dxa"/>
            <w:vAlign w:val="bottom"/>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5420" w:type="dxa"/>
            <w:vAlign w:val="bottom"/>
            <w:tcBorders>
              <w:bottom w:val="single" w:sz="8" w:color="auto"/>
            </w:tcBorders>
            <w:vMerge w:val="continue"/>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40"/>
          </w:cols>
          <w:pgMar w:left="320" w:top="765" w:right="339" w:bottom="1440" w:gutter="0" w:footer="0" w:header="0"/>
        </w:sectPr>
      </w:pPr>
    </w:p>
    <w:tbl>
      <w:tblPr>
        <w:tblLayout w:type="fixed"/>
        <w:tblInd w:w="60" w:type="dxa"/>
        <w:tblCellMar>
          <w:top w:w="0" w:type="dxa"/>
          <w:left w:w="0" w:type="dxa"/>
          <w:bottom w:w="0" w:type="dxa"/>
          <w:right w:w="0" w:type="dxa"/>
        </w:tblCellMar>
      </w:tblPr>
      <w:tr>
        <w:trPr>
          <w:trHeight w:val="207"/>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w:t>
            </w:r>
          </w:p>
        </w:tc>
        <w:tc>
          <w:tcPr>
            <w:tcW w:w="37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Amended and Restated Certificate of Incorporation.</w:t>
              </w:r>
            </w:hyperlink>
          </w:p>
        </w:tc>
        <w:tc>
          <w:tcPr>
            <w:tcW w:w="20" w:type="dxa"/>
            <w:vAlign w:val="bottom"/>
            <w:tcBorders>
              <w:bottom w:val="single" w:sz="8" w:color="0000EE"/>
            </w:tcBorders>
          </w:tcPr>
          <w:p>
            <w:pPr>
              <w:spacing w:after="0"/>
              <w:rPr>
                <w:sz w:val="17"/>
                <w:szCs w:val="17"/>
                <w:color w:val="auto"/>
              </w:rPr>
            </w:pPr>
          </w:p>
        </w:tc>
        <w:tc>
          <w:tcPr>
            <w:tcW w:w="26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w:t>
            </w:r>
          </w:p>
        </w:tc>
        <w:tc>
          <w:tcPr>
            <w:tcW w:w="6440" w:type="dxa"/>
            <w:vAlign w:val="bottom"/>
            <w:gridSpan w:val="23"/>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Amended and Restated Bylaws of CytomX Therapeutics, Inc,. effective March 20, 2024.</w:t>
              </w:r>
            </w:hyperlink>
          </w:p>
        </w:tc>
        <w:tc>
          <w:tcPr>
            <w:tcW w:w="0" w:type="dxa"/>
            <w:vAlign w:val="bottom"/>
          </w:tcPr>
          <w:p>
            <w:pPr>
              <w:spacing w:after="0"/>
              <w:rPr>
                <w:sz w:val="1"/>
                <w:szCs w:val="1"/>
                <w:color w:val="auto"/>
              </w:rPr>
            </w:pPr>
          </w:p>
        </w:tc>
      </w:tr>
      <w:tr>
        <w:trPr>
          <w:trHeight w:val="453"/>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4.1</w:t>
            </w:r>
          </w:p>
        </w:tc>
        <w:tc>
          <w:tcPr>
            <w:tcW w:w="64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3.2.</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4.2</w:t>
            </w:r>
          </w:p>
        </w:tc>
        <w:tc>
          <w:tcPr>
            <w:tcW w:w="6440" w:type="dxa"/>
            <w:vAlign w:val="bottom"/>
            <w:gridSpan w:val="23"/>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Specimen Common Stock Certificate.</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4.3</w:t>
            </w:r>
          </w:p>
        </w:tc>
        <w:tc>
          <w:tcPr>
            <w:tcW w:w="64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Registration Rights Agreement dated as of September 29, 2017 by and between CytomX</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25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Therapeutics, Inc. and Amgen, Inc.</w:t>
              </w:r>
            </w:hyperlink>
          </w:p>
        </w:tc>
        <w:tc>
          <w:tcPr>
            <w:tcW w:w="20" w:type="dxa"/>
            <w:vAlign w:val="bottom"/>
            <w:tcBorders>
              <w:bottom w:val="single" w:sz="8" w:color="0000EE"/>
            </w:tcBorders>
          </w:tcPr>
          <w:p>
            <w:pPr>
              <w:spacing w:after="0"/>
              <w:rPr>
                <w:sz w:val="17"/>
                <w:szCs w:val="17"/>
                <w:color w:val="auto"/>
              </w:rPr>
            </w:pPr>
          </w:p>
        </w:tc>
        <w:tc>
          <w:tcPr>
            <w:tcW w:w="3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4.4</w:t>
            </w:r>
          </w:p>
        </w:tc>
        <w:tc>
          <w:tcPr>
            <w:tcW w:w="64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Description of Registrant’s Securities Registered Pursuant to Section 12 of the Securities</w:t>
              </w:r>
            </w:hyperlink>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38">
              <w:r>
                <w:rPr>
                  <w:rFonts w:ascii="Times New Roman" w:cs="Times New Roman" w:eastAsia="Times New Roman" w:hAnsi="Times New Roman"/>
                  <w:sz w:val="18"/>
                  <w:szCs w:val="18"/>
                  <w:color w:val="0000FF"/>
                  <w:w w:val="98"/>
                </w:rPr>
                <w:t>Exchange Act of 1934.</w:t>
              </w:r>
            </w:hyperlink>
          </w:p>
        </w:tc>
        <w:tc>
          <w:tcPr>
            <w:tcW w:w="20" w:type="dxa"/>
            <w:vAlign w:val="bottom"/>
            <w:tcBorders>
              <w:bottom w:val="single" w:sz="8" w:color="0000EE"/>
            </w:tcBorders>
          </w:tcPr>
          <w:p>
            <w:pPr>
              <w:spacing w:after="0"/>
              <w:rPr>
                <w:sz w:val="17"/>
                <w:szCs w:val="17"/>
                <w:color w:val="auto"/>
              </w:rPr>
            </w:pPr>
          </w:p>
        </w:tc>
        <w:tc>
          <w:tcPr>
            <w:tcW w:w="47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4.5</w:t>
            </w:r>
          </w:p>
        </w:tc>
        <w:tc>
          <w:tcPr>
            <w:tcW w:w="6440" w:type="dxa"/>
            <w:vAlign w:val="bottom"/>
            <w:gridSpan w:val="23"/>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Form of Pre-Funded Warrant</w:t>
              </w:r>
            </w:hyperlink>
          </w:p>
        </w:tc>
        <w:tc>
          <w:tcPr>
            <w:tcW w:w="0" w:type="dxa"/>
            <w:vAlign w:val="bottom"/>
          </w:tcPr>
          <w:p>
            <w:pPr>
              <w:spacing w:after="0"/>
              <w:rPr>
                <w:sz w:val="1"/>
                <w:szCs w:val="1"/>
                <w:color w:val="auto"/>
              </w:rPr>
            </w:pPr>
          </w:p>
        </w:tc>
      </w:tr>
      <w:tr>
        <w:trPr>
          <w:trHeight w:val="412"/>
        </w:trPr>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w:t>
            </w:r>
          </w:p>
        </w:tc>
        <w:tc>
          <w:tcPr>
            <w:tcW w:w="186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Form of Tranche Warrant</w:t>
              </w:r>
            </w:hyperlink>
          </w:p>
        </w:tc>
        <w:tc>
          <w:tcPr>
            <w:tcW w:w="20" w:type="dxa"/>
            <w:vAlign w:val="bottom"/>
            <w:tcBorders>
              <w:top w:val="single" w:sz="8" w:color="0000FF"/>
              <w:bottom w:val="single" w:sz="8" w:color="0000EE"/>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10.1(a)#</w:t>
            </w:r>
          </w:p>
        </w:tc>
        <w:tc>
          <w:tcPr>
            <w:tcW w:w="53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2010 Stock Incentive Plan adopted on September 21, 2010 (“2010 Plan”).</w:t>
              </w:r>
            </w:hyperlink>
          </w:p>
        </w:tc>
        <w:tc>
          <w:tcPr>
            <w:tcW w:w="11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10.1(b)#</w:t>
            </w:r>
          </w:p>
        </w:tc>
        <w:tc>
          <w:tcPr>
            <w:tcW w:w="6440" w:type="dxa"/>
            <w:vAlign w:val="bottom"/>
            <w:gridSpan w:val="23"/>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Form of Stock Option Agreement under the 2010 Plan.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220" w:type="dxa"/>
            <w:vAlign w:val="bottom"/>
            <w:tcBorders>
              <w:right w:val="single" w:sz="8" w:color="0000EE"/>
            </w:tcBorders>
            <w:gridSpan w:val="9"/>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10.1(c)#</w:t>
            </w:r>
          </w:p>
        </w:tc>
        <w:tc>
          <w:tcPr>
            <w:tcW w:w="64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Separation Agreement, dated February 10, 2025, by and between CytomX Therapeutics,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7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Inc. and Jeffrey Landau.</w:t>
              </w:r>
            </w:hyperlink>
          </w:p>
        </w:tc>
        <w:tc>
          <w:tcPr>
            <w:tcW w:w="46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10.2(a)#</w:t>
            </w:r>
          </w:p>
        </w:tc>
        <w:tc>
          <w:tcPr>
            <w:tcW w:w="6440" w:type="dxa"/>
            <w:vAlign w:val="bottom"/>
            <w:gridSpan w:val="23"/>
            <w:vMerge w:val="restart"/>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2011 Stock Incentive Plan, adopted on February 7, 2012, as amended (“2011 Plan”).</w:t>
              </w:r>
            </w:hyperlink>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644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gridSpan w:val="1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10.2(b)#</w:t>
            </w:r>
          </w:p>
        </w:tc>
        <w:tc>
          <w:tcPr>
            <w:tcW w:w="63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Form of Restricted Stock Award Agreement and Option Exercise Agreement under the</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6440" w:type="dxa"/>
            <w:vAlign w:val="bottom"/>
            <w:gridSpan w:val="23"/>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2011 Plan.</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10.3(a)#</w:t>
            </w:r>
          </w:p>
        </w:tc>
        <w:tc>
          <w:tcPr>
            <w:tcW w:w="55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346">
              <w:r>
                <w:rPr>
                  <w:rFonts w:ascii="Times New Roman" w:cs="Times New Roman" w:eastAsia="Times New Roman" w:hAnsi="Times New Roman"/>
                  <w:sz w:val="18"/>
                  <w:szCs w:val="18"/>
                  <w:color w:val="0000FF"/>
                  <w:w w:val="99"/>
                </w:rPr>
                <w:t>Form of 2015 Plan Option Agreement under the 2015 Equity Incentive Plan.</w:t>
              </w:r>
            </w:hyperlink>
          </w:p>
        </w:tc>
        <w:tc>
          <w:tcPr>
            <w:tcW w:w="20" w:type="dxa"/>
            <w:vAlign w:val="bottom"/>
            <w:tcBorders>
              <w:bottom w:val="single" w:sz="8" w:color="0000EE"/>
            </w:tcBorders>
          </w:tcPr>
          <w:p>
            <w:pPr>
              <w:spacing w:after="0"/>
              <w:rPr>
                <w:sz w:val="24"/>
                <w:szCs w:val="24"/>
                <w:color w:val="auto"/>
              </w:rPr>
            </w:pPr>
          </w:p>
        </w:tc>
        <w:tc>
          <w:tcPr>
            <w:tcW w:w="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7"/>
              </w:rPr>
              <w:t>10.3(b)#</w:t>
            </w:r>
          </w:p>
        </w:tc>
        <w:tc>
          <w:tcPr>
            <w:tcW w:w="6440" w:type="dxa"/>
            <w:vAlign w:val="bottom"/>
            <w:gridSpan w:val="23"/>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Amended and Restated CytomX Therapeutics, Inc. 2015 Equity Incentive Plan.</w:t>
              </w:r>
            </w:hyperlink>
          </w:p>
        </w:tc>
        <w:tc>
          <w:tcPr>
            <w:tcW w:w="0" w:type="dxa"/>
            <w:vAlign w:val="bottom"/>
          </w:tcPr>
          <w:p>
            <w:pPr>
              <w:spacing w:after="0"/>
              <w:rPr>
                <w:sz w:val="1"/>
                <w:szCs w:val="1"/>
                <w:color w:val="auto"/>
              </w:rPr>
            </w:pPr>
          </w:p>
        </w:tc>
      </w:tr>
      <w:tr>
        <w:trPr>
          <w:trHeight w:val="412"/>
        </w:trPr>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10.3(c)#</w:t>
            </w:r>
          </w:p>
        </w:tc>
        <w:tc>
          <w:tcPr>
            <w:tcW w:w="572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Form of 2015 Equity Incentive Plan Early Exercise Option Agreement</w:t>
              </w:r>
            </w:hyperlink>
          </w:p>
        </w:tc>
        <w:tc>
          <w:tcPr>
            <w:tcW w:w="7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5/17/2024</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3.1</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3/22/2024</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3.1</w:t>
            </w:r>
          </w:p>
        </w:tc>
      </w:tr>
      <w:tr>
        <w:trPr>
          <w:trHeight w:val="86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9/28/2015</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4.1</w:t>
            </w:r>
          </w:p>
        </w:tc>
      </w:tr>
      <w:tr>
        <w:trPr>
          <w:trHeight w:val="540"/>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11/7/2017</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4.4</w:t>
            </w:r>
          </w:p>
        </w:tc>
      </w:tr>
      <w:tr>
        <w:trPr>
          <w:trHeight w:val="594"/>
        </w:trPr>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76"/>
              </w:rPr>
              <w:t>X</w:t>
            </w:r>
          </w:p>
        </w:tc>
      </w:tr>
      <w:tr>
        <w:trPr>
          <w:trHeight w:val="594"/>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7/3/2023</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4.1</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7/3/2023</w:t>
            </w:r>
          </w:p>
        </w:tc>
        <w:tc>
          <w:tcPr>
            <w:tcW w:w="12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4.2</w:t>
            </w:r>
          </w:p>
        </w:tc>
      </w:tr>
      <w:tr>
        <w:trPr>
          <w:trHeight w:val="432"/>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10.4</w:t>
            </w:r>
          </w:p>
        </w:tc>
      </w:tr>
      <w:tr>
        <w:trPr>
          <w:trHeight w:val="540"/>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10.1</w:t>
            </w:r>
          </w:p>
        </w:tc>
      </w:tr>
      <w:tr>
        <w:trPr>
          <w:trHeight w:val="540"/>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10.2</w:t>
            </w:r>
          </w:p>
        </w:tc>
      </w:tr>
      <w:tr>
        <w:trPr>
          <w:trHeight w:val="540"/>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11/23/2015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10.4</w:t>
            </w:r>
          </w:p>
        </w:tc>
      </w:tr>
      <w:tr>
        <w:trPr>
          <w:trHeight w:val="432"/>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6/13/2025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10.1</w:t>
            </w:r>
          </w:p>
        </w:tc>
      </w:tr>
      <w:tr>
        <w:trPr>
          <w:trHeight w:val="432"/>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11/23/2015</w:t>
            </w:r>
          </w:p>
        </w:tc>
        <w:tc>
          <w:tcPr>
            <w:tcW w:w="12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10.5</w:t>
            </w:r>
          </w:p>
        </w:tc>
      </w:tr>
    </w:tbl>
    <w:p>
      <w:pPr>
        <w:spacing w:after="0" w:line="200" w:lineRule="exact"/>
        <w:rPr>
          <w:sz w:val="20"/>
          <w:szCs w:val="20"/>
          <w:color w:val="auto"/>
        </w:rPr>
      </w:pPr>
    </w:p>
    <w:p>
      <w:pPr>
        <w:sectPr>
          <w:pgSz w:w="11900" w:h="16838" w:orient="portrait"/>
          <w:cols w:equalWidth="0" w:num="2">
            <w:col w:w="7400" w:space="440"/>
            <w:col w:w="3400"/>
          </w:cols>
          <w:pgMar w:left="320" w:top="765" w:right="3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60" w:type="dxa"/>
            <w:vAlign w:val="bottom"/>
            <w:gridSpan w:val="24"/>
          </w:tcPr>
          <w:p>
            <w:pPr>
              <w:ind w:left="40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10.3(d)#</w:t>
            </w:r>
          </w:p>
        </w:tc>
        <w:tc>
          <w:tcPr>
            <w:tcW w:w="6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Form of 2015 Equity Incentive Plan Restricted Share Unit Award Grant Notice and</w:t>
              </w:r>
            </w:hyperlink>
          </w:p>
        </w:tc>
        <w:tc>
          <w:tcPr>
            <w:tcW w:w="580" w:type="dxa"/>
            <w:vAlign w:val="bottom"/>
            <w:gridSpan w:val="1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350">
              <w:r>
                <w:rPr>
                  <w:rFonts w:ascii="Times New Roman" w:cs="Times New Roman" w:eastAsia="Times New Roman" w:hAnsi="Times New Roman"/>
                  <w:sz w:val="18"/>
                  <w:szCs w:val="18"/>
                  <w:color w:val="0000FF"/>
                  <w:w w:val="97"/>
                </w:rPr>
                <w:t>Agreement</w:t>
              </w:r>
            </w:hyperlink>
          </w:p>
        </w:tc>
        <w:tc>
          <w:tcPr>
            <w:tcW w:w="20" w:type="dxa"/>
            <w:vAlign w:val="bottom"/>
            <w:tcBorders>
              <w:bottom w:val="single" w:sz="8" w:color="0000EE"/>
            </w:tcBorders>
          </w:tcPr>
          <w:p>
            <w:pPr>
              <w:spacing w:after="0"/>
              <w:rPr>
                <w:sz w:val="17"/>
                <w:szCs w:val="17"/>
                <w:color w:val="auto"/>
              </w:rPr>
            </w:pPr>
          </w:p>
        </w:tc>
        <w:tc>
          <w:tcPr>
            <w:tcW w:w="5820" w:type="dxa"/>
            <w:vAlign w:val="bottom"/>
            <w:gridSpan w:val="30"/>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6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2019 Employment Inducement Incentive Plan adopted on September 18, 2019 (“2019</w:t>
              </w:r>
            </w:hyperlink>
          </w:p>
        </w:tc>
        <w:tc>
          <w:tcPr>
            <w:tcW w:w="400" w:type="dxa"/>
            <w:vAlign w:val="bottom"/>
            <w:gridSpan w:val="11"/>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40" w:type="dxa"/>
            <w:vAlign w:val="bottom"/>
            <w:gridSpan w:val="33"/>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Plan”).</w:t>
              </w:r>
            </w:hyperlink>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10.4(b)#</w:t>
            </w:r>
          </w:p>
        </w:tc>
        <w:tc>
          <w:tcPr>
            <w:tcW w:w="6640" w:type="dxa"/>
            <w:vAlign w:val="bottom"/>
            <w:gridSpan w:val="33"/>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Form of Stock Option Agreement under the 2019 Plan.</w:t>
              </w:r>
            </w:hyperlink>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640" w:type="dxa"/>
            <w:vAlign w:val="bottom"/>
            <w:gridSpan w:val="33"/>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Amended and Restated CytomX Therapeutics, Inc. Employee Stock Purchase Plan.</w:t>
              </w:r>
            </w:hyperlink>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5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Form of Indemnification Agreement by and between CytomX Therapeutics, Inc. and each</w:t>
              </w:r>
            </w:hyperlink>
          </w:p>
        </w:tc>
        <w:tc>
          <w:tcPr>
            <w:tcW w:w="10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40" w:type="dxa"/>
            <w:vAlign w:val="bottom"/>
            <w:gridSpan w:val="33"/>
          </w:tcPr>
          <w:p>
            <w:pPr>
              <w:spacing w:after="0" w:line="196" w:lineRule="exact"/>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of its directors and each of its executive officers.</w:t>
              </w:r>
            </w:hyperlink>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3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Employment Offer Letter Agreement between CytomX Therapeutics, Inc. and Sean A.</w:t>
              </w:r>
            </w:hyperlink>
          </w:p>
        </w:tc>
        <w:tc>
          <w:tcPr>
            <w:tcW w:w="340" w:type="dxa"/>
            <w:vAlign w:val="bottom"/>
            <w:gridSpan w:val="10"/>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40" w:type="dxa"/>
            <w:vAlign w:val="bottom"/>
            <w:gridSpan w:val="33"/>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McCarthy, D. Phil, dated as of December 15, 2010.</w:t>
              </w:r>
            </w:hyperlink>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5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Employment Offer Letter Agreement between CytomX Therapeutics, Inc. and Rachael G.</w:t>
            </w:r>
          </w:p>
        </w:tc>
        <w:tc>
          <w:tcPr>
            <w:tcW w:w="12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Lester, dated as of September 16, 2025.</w:t>
            </w:r>
          </w:p>
        </w:tc>
        <w:tc>
          <w:tcPr>
            <w:tcW w:w="20" w:type="dxa"/>
            <w:vAlign w:val="bottom"/>
            <w:tcBorders>
              <w:bottom w:val="single" w:sz="8" w:color="0000EE"/>
            </w:tcBorders>
          </w:tcPr>
          <w:p>
            <w:pPr>
              <w:spacing w:after="0"/>
              <w:rPr>
                <w:sz w:val="17"/>
                <w:szCs w:val="17"/>
                <w:color w:val="auto"/>
              </w:rPr>
            </w:pPr>
          </w:p>
        </w:tc>
        <w:tc>
          <w:tcPr>
            <w:tcW w:w="3760" w:type="dxa"/>
            <w:vAlign w:val="bottom"/>
            <w:gridSpan w:val="24"/>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4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Amended and Restated Severance and Change of Control Agreement dated February 27,</w:t>
              </w:r>
            </w:hyperlink>
          </w:p>
        </w:tc>
        <w:tc>
          <w:tcPr>
            <w:tcW w:w="220" w:type="dxa"/>
            <w:vAlign w:val="bottom"/>
            <w:gridSpan w:val="7"/>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40" w:type="dxa"/>
            <w:vAlign w:val="bottom"/>
            <w:gridSpan w:val="33"/>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2019, by and between CytomX Therapeutics, Inc. and Sean McCarthy. D. Phil.</w:t>
              </w:r>
            </w:hyperlink>
          </w:p>
        </w:tc>
      </w:tr>
      <w:tr>
        <w:trPr>
          <w:trHeight w:val="20"/>
        </w:trPr>
        <w:tc>
          <w:tcPr>
            <w:tcW w:w="90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6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Amended and Restated Severance and Change of Control Agreement by and</w:t>
              </w:r>
            </w:hyperlink>
          </w:p>
        </w:tc>
        <w:tc>
          <w:tcPr>
            <w:tcW w:w="440" w:type="dxa"/>
            <w:vAlign w:val="bottom"/>
            <w:gridSpan w:val="1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48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between CytomX Therapeutics, Inc. and each of its executive officers other than Sean A.</w:t>
              </w:r>
            </w:hyperlink>
          </w:p>
        </w:tc>
        <w:tc>
          <w:tcPr>
            <w:tcW w:w="160" w:type="dxa"/>
            <w:vAlign w:val="bottom"/>
            <w:gridSpan w:val="4"/>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8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McCarthy.</w:t>
              </w:r>
            </w:hyperlink>
          </w:p>
        </w:tc>
        <w:tc>
          <w:tcPr>
            <w:tcW w:w="5820" w:type="dxa"/>
            <w:vAlign w:val="bottom"/>
            <w:gridSpan w:val="30"/>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10.11(a)</w:t>
            </w:r>
          </w:p>
        </w:tc>
        <w:tc>
          <w:tcPr>
            <w:tcW w:w="66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Lease dated as of December 10, 2015, by and between CytomX Therapeutics, Inc. and HCP</w:t>
              </w:r>
            </w:hyperlink>
          </w:p>
        </w:tc>
      </w:tr>
      <w:tr>
        <w:trPr>
          <w:trHeight w:val="196"/>
        </w:trPr>
        <w:tc>
          <w:tcPr>
            <w:tcW w:w="900" w:type="dxa"/>
            <w:vAlign w:val="bottom"/>
          </w:tcPr>
          <w:p>
            <w:pPr>
              <w:spacing w:after="0"/>
              <w:rPr>
                <w:sz w:val="17"/>
                <w:szCs w:val="17"/>
                <w:color w:val="auto"/>
              </w:rPr>
            </w:pPr>
          </w:p>
        </w:tc>
        <w:tc>
          <w:tcPr>
            <w:tcW w:w="15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358">
              <w:r>
                <w:rPr>
                  <w:rFonts w:ascii="Times New Roman" w:cs="Times New Roman" w:eastAsia="Times New Roman" w:hAnsi="Times New Roman"/>
                  <w:sz w:val="18"/>
                  <w:szCs w:val="18"/>
                  <w:color w:val="0000FF"/>
                  <w:w w:val="98"/>
                </w:rPr>
                <w:t>Oyster Point III LLC.</w:t>
              </w:r>
            </w:hyperlink>
          </w:p>
        </w:tc>
        <w:tc>
          <w:tcPr>
            <w:tcW w:w="20" w:type="dxa"/>
            <w:vAlign w:val="bottom"/>
            <w:tcBorders>
              <w:bottom w:val="single" w:sz="8" w:color="0000EE"/>
            </w:tcBorders>
          </w:tcPr>
          <w:p>
            <w:pPr>
              <w:spacing w:after="0"/>
              <w:rPr>
                <w:sz w:val="17"/>
                <w:szCs w:val="17"/>
                <w:color w:val="auto"/>
              </w:rPr>
            </w:pPr>
          </w:p>
        </w:tc>
        <w:tc>
          <w:tcPr>
            <w:tcW w:w="5060" w:type="dxa"/>
            <w:vAlign w:val="bottom"/>
            <w:gridSpan w:val="28"/>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10.11(b)</w:t>
            </w:r>
          </w:p>
        </w:tc>
        <w:tc>
          <w:tcPr>
            <w:tcW w:w="64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Sublease Agreement dated as of March 24, 2023, by and between CytomX Therapeutics,</w:t>
              </w:r>
            </w:hyperlink>
          </w:p>
        </w:tc>
        <w:tc>
          <w:tcPr>
            <w:tcW w:w="180" w:type="dxa"/>
            <w:vAlign w:val="bottom"/>
            <w:gridSpan w:val="5"/>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7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359">
              <w:r>
                <w:rPr>
                  <w:rFonts w:ascii="Times New Roman" w:cs="Times New Roman" w:eastAsia="Times New Roman" w:hAnsi="Times New Roman"/>
                  <w:sz w:val="18"/>
                  <w:szCs w:val="18"/>
                  <w:color w:val="0000FF"/>
                  <w:w w:val="98"/>
                </w:rPr>
                <w:t>Inc and Atomic AI, Inc.</w:t>
              </w:r>
            </w:hyperlink>
          </w:p>
        </w:tc>
        <w:tc>
          <w:tcPr>
            <w:tcW w:w="4920" w:type="dxa"/>
            <w:vAlign w:val="bottom"/>
            <w:gridSpan w:val="27"/>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10.11(c)</w:t>
            </w:r>
          </w:p>
        </w:tc>
        <w:tc>
          <w:tcPr>
            <w:tcW w:w="65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Office/Laboratory Lease, dated November 3, 2025, by and between CytomX Therapeutics,</w:t>
              </w:r>
            </w:hyperlink>
          </w:p>
        </w:tc>
        <w:tc>
          <w:tcPr>
            <w:tcW w:w="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40" w:type="dxa"/>
            <w:vAlign w:val="bottom"/>
            <w:gridSpan w:val="33"/>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Inc. and Emery Station West, LLC.</w:t>
              </w:r>
            </w:hyperlink>
          </w:p>
        </w:tc>
      </w:tr>
      <w:tr>
        <w:trPr>
          <w:trHeight w:val="20"/>
        </w:trPr>
        <w:tc>
          <w:tcPr>
            <w:tcW w:w="900" w:type="dxa"/>
            <w:vAlign w:val="bottom"/>
          </w:tcPr>
          <w:p>
            <w:pPr>
              <w:spacing w:after="0" w:line="20" w:lineRule="exact"/>
              <w:rPr>
                <w:sz w:val="1"/>
                <w:szCs w:val="1"/>
                <w:color w:val="auto"/>
              </w:rPr>
            </w:pPr>
          </w:p>
        </w:tc>
        <w:tc>
          <w:tcPr>
            <w:tcW w:w="2560" w:type="dxa"/>
            <w:vAlign w:val="bottom"/>
            <w:tcBorders>
              <w:right w:val="single" w:sz="8" w:color="0000EE"/>
            </w:tcBorders>
            <w:gridSpan w:val="7"/>
            <w:shd w:val="clear" w:color="auto" w:fill="0000FF"/>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10.12(a)</w:t>
            </w:r>
          </w:p>
        </w:tc>
        <w:tc>
          <w:tcPr>
            <w:tcW w:w="66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Exclusive License Agreement dated as of August 19, 2010, by and between The Regents of</w:t>
              </w:r>
            </w:hyperlink>
          </w:p>
        </w:tc>
      </w:tr>
      <w:tr>
        <w:trPr>
          <w:trHeight w:val="196"/>
        </w:trPr>
        <w:tc>
          <w:tcPr>
            <w:tcW w:w="900" w:type="dxa"/>
            <w:vAlign w:val="bottom"/>
          </w:tcPr>
          <w:p>
            <w:pPr>
              <w:spacing w:after="0"/>
              <w:rPr>
                <w:sz w:val="17"/>
                <w:szCs w:val="17"/>
                <w:color w:val="auto"/>
              </w:rPr>
            </w:pPr>
          </w:p>
        </w:tc>
        <w:tc>
          <w:tcPr>
            <w:tcW w:w="64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the University of California and CytomX Therapeutics, Inc., as amended by Amendment</w:t>
              </w:r>
            </w:hyperlink>
          </w:p>
        </w:tc>
        <w:tc>
          <w:tcPr>
            <w:tcW w:w="200" w:type="dxa"/>
            <w:vAlign w:val="bottom"/>
            <w:gridSpan w:val="6"/>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62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No. 1 to Exclusive Agreement effective as of May 30, 2013 and Amendment No. 2 to</w:t>
              </w:r>
            </w:hyperlink>
          </w:p>
        </w:tc>
        <w:tc>
          <w:tcPr>
            <w:tcW w:w="420" w:type="dxa"/>
            <w:vAlign w:val="bottom"/>
            <w:gridSpan w:val="12"/>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406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61">
              <w:r>
                <w:rPr>
                  <w:rFonts w:ascii="Times New Roman" w:cs="Times New Roman" w:eastAsia="Times New Roman" w:hAnsi="Times New Roman"/>
                  <w:sz w:val="18"/>
                  <w:szCs w:val="18"/>
                  <w:color w:val="0000FF"/>
                  <w:w w:val="99"/>
                </w:rPr>
                <w:t>Exclusive Agreement effective as of November 8, 2013.</w:t>
              </w:r>
            </w:hyperlink>
          </w:p>
        </w:tc>
        <w:tc>
          <w:tcPr>
            <w:tcW w:w="2580" w:type="dxa"/>
            <w:vAlign w:val="bottom"/>
            <w:gridSpan w:val="19"/>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10.12(b)†</w:t>
            </w:r>
          </w:p>
        </w:tc>
        <w:tc>
          <w:tcPr>
            <w:tcW w:w="63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Amendment No.3 to Exclusive License Agreement effective as of April 2, 2019, by and</w:t>
              </w:r>
            </w:hyperlink>
          </w:p>
        </w:tc>
        <w:tc>
          <w:tcPr>
            <w:tcW w:w="260" w:type="dxa"/>
            <w:vAlign w:val="bottom"/>
            <w:gridSpan w:val="9"/>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1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between CytomX Therapeutics, Inc. and The Regents of the University of California.</w:t>
              </w:r>
            </w:hyperlink>
          </w:p>
        </w:tc>
        <w:tc>
          <w:tcPr>
            <w:tcW w:w="20" w:type="dxa"/>
            <w:vAlign w:val="bottom"/>
            <w:tcBorders>
              <w:bottom w:val="single" w:sz="8" w:color="0000EE"/>
            </w:tcBorders>
          </w:tcPr>
          <w:p>
            <w:pPr>
              <w:spacing w:after="0"/>
              <w:rPr>
                <w:sz w:val="17"/>
                <w:szCs w:val="17"/>
                <w:color w:val="auto"/>
              </w:rPr>
            </w:pPr>
          </w:p>
        </w:tc>
        <w:tc>
          <w:tcPr>
            <w:tcW w:w="480" w:type="dxa"/>
            <w:vAlign w:val="bottom"/>
            <w:gridSpan w:val="14"/>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10.13(a)†</w:t>
            </w:r>
          </w:p>
        </w:tc>
        <w:tc>
          <w:tcPr>
            <w:tcW w:w="654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Collaboration and License Agreement dated as of May 23, 2014, by and between CytomX</w:t>
              </w:r>
            </w:hyperlink>
          </w:p>
        </w:tc>
        <w:tc>
          <w:tcPr>
            <w:tcW w:w="10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640" w:type="dxa"/>
            <w:vAlign w:val="bottom"/>
            <w:gridSpan w:val="33"/>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Therapeutics, Inc. and Bristol Myers Squibb Company.</w:t>
              </w:r>
            </w:hyperlink>
          </w:p>
        </w:tc>
      </w:tr>
      <w:tr>
        <w:trPr>
          <w:trHeight w:val="20"/>
        </w:trPr>
        <w:tc>
          <w:tcPr>
            <w:tcW w:w="900" w:type="dxa"/>
            <w:vAlign w:val="bottom"/>
          </w:tcPr>
          <w:p>
            <w:pPr>
              <w:spacing w:after="0" w:line="20" w:lineRule="exact"/>
              <w:rPr>
                <w:sz w:val="1"/>
                <w:szCs w:val="1"/>
                <w:color w:val="auto"/>
              </w:rPr>
            </w:pPr>
          </w:p>
        </w:tc>
        <w:tc>
          <w:tcPr>
            <w:tcW w:w="3860" w:type="dxa"/>
            <w:vAlign w:val="bottom"/>
            <w:gridSpan w:val="1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tcBorders>
              <w:left w:val="single" w:sz="8" w:color="0000EE"/>
            </w:tcBorders>
            <w:gridSpan w:val="1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10.13(b)†</w:t>
            </w:r>
          </w:p>
        </w:tc>
        <w:tc>
          <w:tcPr>
            <w:tcW w:w="64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Amendment to Extend Collaboration and License Agreement, dated March 17, 2017, by</w:t>
              </w:r>
            </w:hyperlink>
          </w:p>
        </w:tc>
        <w:tc>
          <w:tcPr>
            <w:tcW w:w="240" w:type="dxa"/>
            <w:vAlign w:val="bottom"/>
            <w:gridSpan w:val="8"/>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8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64">
              <w:r>
                <w:rPr>
                  <w:rFonts w:ascii="Times New Roman" w:cs="Times New Roman" w:eastAsia="Times New Roman" w:hAnsi="Times New Roman"/>
                  <w:sz w:val="18"/>
                  <w:szCs w:val="18"/>
                  <w:color w:val="0000FF"/>
                  <w:w w:val="99"/>
                </w:rPr>
                <w:t>and between the Company and Bristol Myers Squibb.</w:t>
              </w:r>
            </w:hyperlink>
          </w:p>
        </w:tc>
        <w:tc>
          <w:tcPr>
            <w:tcW w:w="2780" w:type="dxa"/>
            <w:vAlign w:val="bottom"/>
            <w:gridSpan w:val="21"/>
          </w:tcPr>
          <w:p>
            <w:pPr>
              <w:spacing w:after="0"/>
              <w:rPr>
                <w:sz w:val="17"/>
                <w:szCs w:val="17"/>
                <w:color w:val="auto"/>
              </w:rPr>
            </w:pPr>
          </w:p>
        </w:tc>
      </w:tr>
      <w:tr>
        <w:trPr>
          <w:trHeight w:val="628"/>
        </w:trPr>
        <w:tc>
          <w:tcPr>
            <w:tcW w:w="900" w:type="dxa"/>
            <w:vAlign w:val="bottom"/>
          </w:tcPr>
          <w:p>
            <w:pPr>
              <w:spacing w:after="0"/>
              <w:rPr>
                <w:sz w:val="24"/>
                <w:szCs w:val="24"/>
                <w:color w:val="auto"/>
              </w:rPr>
            </w:pPr>
          </w:p>
        </w:tc>
        <w:tc>
          <w:tcPr>
            <w:tcW w:w="5720" w:type="dxa"/>
            <w:vAlign w:val="bottom"/>
            <w:gridSpan w:val="15"/>
          </w:tcPr>
          <w:p>
            <w:pPr>
              <w:ind w:left="452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467360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3/21/2022</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11/7/2019</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10.1</w:t>
            </w:r>
          </w:p>
        </w:tc>
      </w:tr>
      <w:tr>
        <w:trPr>
          <w:trHeight w:val="540"/>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11/7/2019</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10.2</w:t>
            </w:r>
          </w:p>
        </w:tc>
      </w:tr>
      <w:tr>
        <w:trPr>
          <w:trHeight w:val="432"/>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10-Q</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10.2</w:t>
            </w:r>
          </w:p>
        </w:tc>
      </w:tr>
      <w:tr>
        <w:trPr>
          <w:trHeight w:val="540"/>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8/28/2015</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8/28/2015</w:t>
            </w: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10.7</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5/9/2019</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756"/>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r>
      <w:tr>
        <w:trPr>
          <w:trHeight w:val="756"/>
        </w:trPr>
        <w:tc>
          <w:tcPr>
            <w:tcW w:w="6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12/16/2015</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5/9/2023</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11/6/2025</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S-1/A</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9/18/2015</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864"/>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5/9/2019</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10.6</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11/5/2020</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10.2</w:t>
            </w:r>
          </w:p>
        </w:tc>
      </w:tr>
      <w:tr>
        <w:trPr>
          <w:trHeight w:val="648"/>
        </w:trPr>
        <w:tc>
          <w:tcPr>
            <w:tcW w:w="6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5/5/2017</w:t>
            </w:r>
          </w:p>
        </w:tc>
        <w:tc>
          <w:tcPr>
            <w:tcW w:w="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10.1</w:t>
            </w:r>
          </w:p>
        </w:tc>
      </w:tr>
    </w:tbl>
    <w:p>
      <w:pPr>
        <w:sectPr>
          <w:pgSz w:w="11900" w:h="16838" w:orient="portrait"/>
          <w:cols w:equalWidth="0" w:num="2">
            <w:col w:w="7540" w:space="240"/>
            <w:col w:w="3000"/>
          </w:cols>
          <w:pgMar w:left="380" w:top="765" w:right="739" w:bottom="1440" w:gutter="0" w:footer="0" w:header="0"/>
        </w:sectPr>
      </w:pPr>
    </w:p>
    <w:bookmarkStart w:id="128" w:name="page129"/>
    <w:bookmarkEnd w:id="128"/>
    <w:p>
      <w:pPr>
        <w:ind w:left="4180"/>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9"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10.13(c)†</w:t>
      </w:r>
      <w:r>
        <w:rPr>
          <w:sz w:val="20"/>
          <w:szCs w:val="20"/>
          <w:color w:val="auto"/>
        </w:rPr>
        <w:tab/>
      </w:r>
      <w:hyperlink r:id="rId366">
        <w:r>
          <w:rPr>
            <w:rFonts w:ascii="Times New Roman" w:cs="Times New Roman" w:eastAsia="Times New Roman" w:hAnsi="Times New Roman"/>
            <w:sz w:val="17"/>
            <w:szCs w:val="17"/>
            <w:u w:val="single" w:color="auto"/>
            <w:color w:val="0000FF"/>
          </w:rPr>
          <w:t>Amendment No 2 to Collaboration and License Agreement, as amended, dated March 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-7620</wp:posOffset>
            </wp:positionV>
            <wp:extent cx="41306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4130675" cy="8255"/>
                    </a:xfrm>
                    <a:prstGeom prst="rect">
                      <a:avLst/>
                    </a:prstGeom>
                    <a:noFill/>
                  </pic:spPr>
                </pic:pic>
              </a:graphicData>
            </a:graphic>
          </wp:anchor>
        </w:drawing>
      </w:r>
    </w:p>
    <w:p>
      <w:pPr>
        <w:spacing w:after="0" w:line="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366">
        <w:r>
          <w:rPr>
            <w:rFonts w:ascii="Times New Roman" w:cs="Times New Roman" w:eastAsia="Times New Roman" w:hAnsi="Times New Roman"/>
            <w:sz w:val="18"/>
            <w:szCs w:val="18"/>
            <w:u w:val="single" w:color="auto"/>
            <w:color w:val="0000FF"/>
          </w:rPr>
          <w:t>2017, by and between the Company and Bristol Myers Squibb, effective as of February 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41948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4194810" cy="8255"/>
                    </a:xfrm>
                    <a:prstGeom prst="rect">
                      <a:avLst/>
                    </a:prstGeom>
                    <a:noFill/>
                  </pic:spPr>
                </pic:pic>
              </a:graphicData>
            </a:graphic>
          </wp:anchor>
        </w:drawing>
      </w:r>
    </w:p>
    <w:p>
      <w:pPr>
        <w:ind w:left="900"/>
        <w:spacing w:after="0"/>
        <w:rPr>
          <w:rFonts w:ascii="Times New Roman" w:cs="Times New Roman" w:eastAsia="Times New Roman" w:hAnsi="Times New Roman"/>
          <w:sz w:val="18"/>
          <w:szCs w:val="18"/>
          <w:u w:val="single" w:color="auto"/>
          <w:color w:val="0000FF"/>
        </w:rPr>
      </w:pPr>
      <w:hyperlink r:id="rId366">
        <w:r>
          <w:rPr>
            <w:rFonts w:ascii="Times New Roman" w:cs="Times New Roman" w:eastAsia="Times New Roman" w:hAnsi="Times New Roman"/>
            <w:sz w:val="18"/>
            <w:szCs w:val="18"/>
            <w:u w:val="single" w:color="auto"/>
            <w:color w:val="0000FF"/>
          </w:rPr>
          <w:t>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25717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87" w:lineRule="exact"/>
        <w:rPr>
          <w:sz w:val="20"/>
          <w:szCs w:val="20"/>
          <w:color w:val="auto"/>
        </w:rPr>
      </w:pPr>
    </w:p>
    <w:p>
      <w:pPr>
        <w:ind w:left="900" w:right="280" w:hanging="890"/>
        <w:spacing w:after="0" w:line="266"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10.13(d)†</w:t>
      </w:r>
      <w:r>
        <w:rPr>
          <w:sz w:val="20"/>
          <w:szCs w:val="20"/>
          <w:color w:val="auto"/>
        </w:rPr>
        <w:tab/>
      </w:r>
      <w:hyperlink r:id="rId370">
        <w:r>
          <w:rPr>
            <w:rFonts w:ascii="Times New Roman" w:cs="Times New Roman" w:eastAsia="Times New Roman" w:hAnsi="Times New Roman"/>
            <w:sz w:val="18"/>
            <w:szCs w:val="18"/>
            <w:u w:val="single" w:color="auto"/>
            <w:color w:val="0000FF"/>
          </w:rPr>
          <w:t>Amendment No 3 to Collaboration and License Agreement, dated May 23, 2014, by and</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between the Company and Bristol Myers Squibb Company, effective as of October 11,</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571500</wp:posOffset>
            </wp:positionH>
            <wp:positionV relativeFrom="paragraph">
              <wp:posOffset>-313055</wp:posOffset>
            </wp:positionV>
            <wp:extent cx="4070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407098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-175895</wp:posOffset>
            </wp:positionV>
            <wp:extent cx="40011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400113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-38735</wp:posOffset>
            </wp:positionV>
            <wp:extent cx="25717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ind w:left="900" w:right="42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10.14(a)†</w:t>
      </w:r>
      <w:r>
        <w:rPr>
          <w:sz w:val="20"/>
          <w:szCs w:val="20"/>
          <w:color w:val="auto"/>
        </w:rPr>
        <w:tab/>
      </w:r>
      <w:hyperlink r:id="rId374">
        <w:r>
          <w:rPr>
            <w:rFonts w:ascii="Times New Roman" w:cs="Times New Roman" w:eastAsia="Times New Roman" w:hAnsi="Times New Roman"/>
            <w:sz w:val="18"/>
            <w:szCs w:val="18"/>
            <w:u w:val="single" w:color="auto"/>
            <w:color w:val="0000FF"/>
          </w:rPr>
          <w:t>Collaboration and License Agreement by and between CytomX Therapeutics, Inc. and</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Amgen, Inc. dated as of September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39814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398145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0656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42"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10.14(b)†</w:t>
      </w:r>
      <w:r>
        <w:rPr>
          <w:sz w:val="20"/>
          <w:szCs w:val="20"/>
          <w:color w:val="auto"/>
        </w:rPr>
        <w:tab/>
      </w:r>
      <w:hyperlink r:id="rId377">
        <w:r>
          <w:rPr>
            <w:rFonts w:ascii="Times New Roman" w:cs="Times New Roman" w:eastAsia="Times New Roman" w:hAnsi="Times New Roman"/>
            <w:sz w:val="17"/>
            <w:szCs w:val="17"/>
            <w:u w:val="single" w:color="auto"/>
            <w:color w:val="0000FF"/>
          </w:rPr>
          <w:t>Amendment No. 1 to the Collaboration and License Agreement, dated as of September 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-7620</wp:posOffset>
            </wp:positionV>
            <wp:extent cx="417195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8">
                      <a:extLst>
                        <a:ext uri="{28A0092B-C50C-407E-A947-70E740481C1C}"/>
                      </a:extLst>
                    </a:blip>
                    <a:srcRect/>
                    <a:stretch>
                      <a:fillRect/>
                    </a:stretch>
                  </pic:blipFill>
                  <pic:spPr bwMode="auto">
                    <a:xfrm>
                      <a:off x="0" y="0"/>
                      <a:ext cx="4171950" cy="8255"/>
                    </a:xfrm>
                    <a:prstGeom prst="rect">
                      <a:avLst/>
                    </a:prstGeom>
                    <a:noFill/>
                  </pic:spPr>
                </pic:pic>
              </a:graphicData>
            </a:graphic>
          </wp:anchor>
        </w:drawing>
      </w:r>
    </w:p>
    <w:p>
      <w:pPr>
        <w:spacing w:after="0" w:line="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377">
        <w:r>
          <w:rPr>
            <w:rFonts w:ascii="Times New Roman" w:cs="Times New Roman" w:eastAsia="Times New Roman" w:hAnsi="Times New Roman"/>
            <w:sz w:val="18"/>
            <w:szCs w:val="18"/>
            <w:u w:val="single" w:color="auto"/>
            <w:color w:val="0000FF"/>
          </w:rPr>
          <w:t>2020, by and between CytomX Therapeutics, Inc. and Amgen,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30651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9">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187"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10.14(c)†</w:t>
      </w:r>
      <w:r>
        <w:rPr>
          <w:sz w:val="20"/>
          <w:szCs w:val="20"/>
          <w:color w:val="auto"/>
        </w:rPr>
        <w:tab/>
      </w:r>
      <w:hyperlink r:id="rId380">
        <w:r>
          <w:rPr>
            <w:rFonts w:ascii="Times New Roman" w:cs="Times New Roman" w:eastAsia="Times New Roman" w:hAnsi="Times New Roman"/>
            <w:sz w:val="18"/>
            <w:szCs w:val="18"/>
            <w:u w:val="single" w:color="auto"/>
            <w:color w:val="0000FF"/>
          </w:rPr>
          <w:t>Amendment No. 2 to the Collaboration and License Agreement, dated as of October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-7620</wp:posOffset>
            </wp:positionV>
            <wp:extent cx="40513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1">
                      <a:extLst>
                        <a:ext uri="{28A0092B-C50C-407E-A947-70E740481C1C}"/>
                      </a:extLst>
                    </a:blip>
                    <a:srcRect/>
                    <a:stretch>
                      <a:fillRect/>
                    </a:stretch>
                  </pic:blipFill>
                  <pic:spPr bwMode="auto">
                    <a:xfrm>
                      <a:off x="0" y="0"/>
                      <a:ext cx="4051300" cy="8255"/>
                    </a:xfrm>
                    <a:prstGeom prst="rect">
                      <a:avLst/>
                    </a:prstGeom>
                    <a:noFill/>
                  </pic:spPr>
                </pic:pic>
              </a:graphicData>
            </a:graphic>
          </wp:anchor>
        </w:drawing>
      </w:r>
    </w:p>
    <w:p>
      <w:pPr>
        <w:spacing w:after="0" w:line="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380">
        <w:r>
          <w:rPr>
            <w:rFonts w:ascii="Times New Roman" w:cs="Times New Roman" w:eastAsia="Times New Roman" w:hAnsi="Times New Roman"/>
            <w:sz w:val="18"/>
            <w:szCs w:val="18"/>
            <w:u w:val="single" w:color="auto"/>
            <w:color w:val="0000FF"/>
          </w:rPr>
          <w:t>2021, by and between CytomX Therapeutics, Inc. and Amgen,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30651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2">
                      <a:extLst>
                        <a:ext uri="{28A0092B-C50C-407E-A947-70E740481C1C}"/>
                      </a:extLst>
                    </a:blip>
                    <a:srcRect/>
                    <a:stretch>
                      <a:fillRect/>
                    </a:stretch>
                  </pic:blipFill>
                  <pic:spPr bwMode="auto">
                    <a:xfrm>
                      <a:off x="0" y="0"/>
                      <a:ext cx="3065145" cy="8890"/>
                    </a:xfrm>
                    <a:prstGeom prst="rect">
                      <a:avLst/>
                    </a:prstGeom>
                    <a:noFill/>
                  </pic:spPr>
                </pic:pic>
              </a:graphicData>
            </a:graphic>
          </wp:anchor>
        </w:drawing>
      </w:r>
    </w:p>
    <w:p>
      <w:pPr>
        <w:spacing w:after="0" w:line="187" w:lineRule="exact"/>
        <w:rPr>
          <w:sz w:val="20"/>
          <w:szCs w:val="20"/>
          <w:color w:val="auto"/>
        </w:rPr>
      </w:pPr>
    </w:p>
    <w:p>
      <w:pPr>
        <w:ind w:left="900" w:right="10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10.14(d)†</w:t>
      </w:r>
      <w:r>
        <w:rPr>
          <w:sz w:val="20"/>
          <w:szCs w:val="20"/>
          <w:color w:val="auto"/>
        </w:rPr>
        <w:tab/>
      </w:r>
      <w:hyperlink r:id="rId383">
        <w:r>
          <w:rPr>
            <w:rFonts w:ascii="Times New Roman" w:cs="Times New Roman" w:eastAsia="Times New Roman" w:hAnsi="Times New Roman"/>
            <w:sz w:val="18"/>
            <w:szCs w:val="18"/>
            <w:u w:val="single" w:color="auto"/>
            <w:color w:val="0000FF"/>
          </w:rPr>
          <w:t>Amendment No. 3 to the Collaboration and License Agreement, dated as of May 18, 2023,</w:t>
        </w:r>
      </w:hyperlink>
      <w:r>
        <w:rPr>
          <w:rFonts w:ascii="Times New Roman" w:cs="Times New Roman" w:eastAsia="Times New Roman" w:hAnsi="Times New Roman"/>
          <w:sz w:val="18"/>
          <w:szCs w:val="18"/>
          <w:u w:val="single" w:color="auto"/>
          <w:color w:val="0000FF"/>
        </w:rPr>
        <w:t xml:space="preserve"> </w:t>
      </w:r>
      <w:hyperlink r:id="rId383">
        <w:r>
          <w:rPr>
            <w:rFonts w:ascii="Times New Roman" w:cs="Times New Roman" w:eastAsia="Times New Roman" w:hAnsi="Times New Roman"/>
            <w:sz w:val="18"/>
            <w:szCs w:val="18"/>
            <w:u w:val="single" w:color="auto"/>
            <w:color w:val="0000FF"/>
          </w:rPr>
          <w:t>by and between CytomX Therapeutics, Inc. and Amgen,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41789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417893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8079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2807970" cy="8255"/>
                    </a:xfrm>
                    <a:prstGeom prst="rect">
                      <a:avLst/>
                    </a:prstGeom>
                    <a:noFill/>
                  </pic:spPr>
                </pic:pic>
              </a:graphicData>
            </a:graphic>
          </wp:anchor>
        </w:drawing>
      </w:r>
    </w:p>
    <w:p>
      <w:pPr>
        <w:spacing w:after="0" w:line="142" w:lineRule="exact"/>
        <w:rPr>
          <w:sz w:val="20"/>
          <w:szCs w:val="20"/>
          <w:color w:val="auto"/>
        </w:rPr>
      </w:pPr>
    </w:p>
    <w:p>
      <w:pPr>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10.14(e)†</w:t>
      </w:r>
      <w:r>
        <w:rPr>
          <w:sz w:val="20"/>
          <w:szCs w:val="20"/>
          <w:color w:val="auto"/>
        </w:rPr>
        <w:tab/>
      </w:r>
      <w:hyperlink r:id="rId386">
        <w:r>
          <w:rPr>
            <w:rFonts w:ascii="Times New Roman" w:cs="Times New Roman" w:eastAsia="Times New Roman" w:hAnsi="Times New Roman"/>
            <w:sz w:val="17"/>
            <w:szCs w:val="17"/>
            <w:u w:val="single" w:color="auto"/>
            <w:color w:val="0000FF"/>
          </w:rPr>
          <w:t>Amendment No. 4 to the Collaboration and License Agreement, dated as of March 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-7620</wp:posOffset>
            </wp:positionV>
            <wp:extent cx="39820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3982085" cy="8255"/>
                    </a:xfrm>
                    <a:prstGeom prst="rect">
                      <a:avLst/>
                    </a:prstGeom>
                    <a:noFill/>
                  </pic:spPr>
                </pic:pic>
              </a:graphicData>
            </a:graphic>
          </wp:anchor>
        </w:drawing>
      </w:r>
    </w:p>
    <w:p>
      <w:pPr>
        <w:spacing w:after="0" w:line="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2024, by and between CytomX Therapeutics, Inc. and Amgen,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30651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3065145" cy="8890"/>
                    </a:xfrm>
                    <a:prstGeom prst="rect">
                      <a:avLst/>
                    </a:prstGeom>
                    <a:noFill/>
                  </pic:spPr>
                </pic:pic>
              </a:graphicData>
            </a:graphic>
          </wp:anchor>
        </w:drawing>
      </w:r>
    </w:p>
    <w:p>
      <w:pPr>
        <w:spacing w:after="0" w:line="187" w:lineRule="exact"/>
        <w:rPr>
          <w:sz w:val="20"/>
          <w:szCs w:val="20"/>
          <w:color w:val="auto"/>
        </w:rPr>
      </w:pPr>
    </w:p>
    <w:p>
      <w:pPr>
        <w:ind w:left="90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89">
        <w:r>
          <w:rPr>
            <w:rFonts w:ascii="Times New Roman" w:cs="Times New Roman" w:eastAsia="Times New Roman" w:hAnsi="Times New Roman"/>
            <w:sz w:val="18"/>
            <w:szCs w:val="18"/>
            <w:u w:val="single" w:color="auto"/>
            <w:color w:val="0000FF"/>
          </w:rPr>
          <w:t>License Agreement by and between CytomX Therapeutics, Inc. and ImmunoGen Inc., dated</w:t>
        </w:r>
      </w:hyperlink>
      <w:r>
        <w:rPr>
          <w:rFonts w:ascii="Times New Roman" w:cs="Times New Roman" w:eastAsia="Times New Roman" w:hAnsi="Times New Roman"/>
          <w:sz w:val="18"/>
          <w:szCs w:val="18"/>
          <w:u w:val="single" w:color="auto"/>
          <w:color w:val="0000FF"/>
        </w:rPr>
        <w:t xml:space="preserve"> </w:t>
      </w:r>
      <w:hyperlink r:id="rId389">
        <w:r>
          <w:rPr>
            <w:rFonts w:ascii="Times New Roman" w:cs="Times New Roman" w:eastAsia="Times New Roman" w:hAnsi="Times New Roman"/>
            <w:sz w:val="18"/>
            <w:szCs w:val="18"/>
            <w:u w:val="single" w:color="auto"/>
            <w:color w:val="0000FF"/>
          </w:rPr>
          <w:t>as of February 12,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42176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11169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142" w:lineRule="exact"/>
        <w:rPr>
          <w:sz w:val="20"/>
          <w:szCs w:val="20"/>
          <w:color w:val="auto"/>
        </w:rPr>
      </w:pPr>
    </w:p>
    <w:p>
      <w:pPr>
        <w:ind w:left="900" w:right="42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10.16(a)†</w:t>
      </w:r>
      <w:r>
        <w:rPr>
          <w:sz w:val="20"/>
          <w:szCs w:val="20"/>
          <w:color w:val="auto"/>
        </w:rPr>
        <w:tab/>
      </w:r>
      <w:hyperlink r:id="rId392">
        <w:r>
          <w:rPr>
            <w:rFonts w:ascii="Times New Roman" w:cs="Times New Roman" w:eastAsia="Times New Roman" w:hAnsi="Times New Roman"/>
            <w:sz w:val="18"/>
            <w:szCs w:val="18"/>
            <w:u w:val="single" w:color="auto"/>
            <w:color w:val="0000FF"/>
          </w:rPr>
          <w:t>Collaboration and License Agreement dated as of November 16, 2022 by and between</w:t>
        </w:r>
      </w:hyperlink>
      <w:r>
        <w:rPr>
          <w:rFonts w:ascii="Times New Roman" w:cs="Times New Roman" w:eastAsia="Times New Roman" w:hAnsi="Times New Roman"/>
          <w:sz w:val="18"/>
          <w:szCs w:val="18"/>
          <w:u w:val="single" w:color="auto"/>
          <w:color w:val="0000FF"/>
        </w:rPr>
        <w:t xml:space="preserve"> </w:t>
      </w:r>
      <w:hyperlink r:id="rId392">
        <w:r>
          <w:rPr>
            <w:rFonts w:ascii="Times New Roman" w:cs="Times New Roman" w:eastAsia="Times New Roman" w:hAnsi="Times New Roman"/>
            <w:sz w:val="18"/>
            <w:szCs w:val="18"/>
            <w:u w:val="single" w:color="auto"/>
            <w:color w:val="0000FF"/>
          </w:rPr>
          <w:t>CytomX Therapeutics, Inc. and Regeneron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39782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397827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9692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2969260" cy="8255"/>
                    </a:xfrm>
                    <a:prstGeom prst="rect">
                      <a:avLst/>
                    </a:prstGeom>
                    <a:noFill/>
                  </pic:spPr>
                </pic:pic>
              </a:graphicData>
            </a:graphic>
          </wp:anchor>
        </w:drawing>
      </w:r>
    </w:p>
    <w:p>
      <w:pPr>
        <w:spacing w:after="0" w:line="142" w:lineRule="exact"/>
        <w:rPr>
          <w:sz w:val="20"/>
          <w:szCs w:val="20"/>
          <w:color w:val="auto"/>
        </w:rPr>
      </w:pPr>
    </w:p>
    <w:p>
      <w:pPr>
        <w:ind w:left="90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10.16(b)†</w:t>
      </w:r>
      <w:r>
        <w:rPr>
          <w:sz w:val="20"/>
          <w:szCs w:val="20"/>
          <w:color w:val="auto"/>
        </w:rPr>
        <w:tab/>
      </w:r>
      <w:hyperlink r:id="rId395">
        <w:r>
          <w:rPr>
            <w:rFonts w:ascii="Times New Roman" w:cs="Times New Roman" w:eastAsia="Times New Roman" w:hAnsi="Times New Roman"/>
            <w:sz w:val="18"/>
            <w:szCs w:val="18"/>
            <w:u w:val="single" w:color="auto"/>
            <w:color w:val="0000FF"/>
          </w:rPr>
          <w:t>Amendment No.1 to the Collaboration and License Agreement effective as of June 28, 2024</w:t>
        </w:r>
      </w:hyperlink>
      <w:r>
        <w:rPr>
          <w:rFonts w:ascii="Times New Roman" w:cs="Times New Roman" w:eastAsia="Times New Roman" w:hAnsi="Times New Roman"/>
          <w:sz w:val="18"/>
          <w:szCs w:val="18"/>
          <w:u w:val="single" w:color="auto"/>
          <w:color w:val="0000FF"/>
        </w:rPr>
        <w:t xml:space="preserve"> </w:t>
      </w:r>
      <w:hyperlink r:id="rId395">
        <w:r>
          <w:rPr>
            <w:rFonts w:ascii="Times New Roman" w:cs="Times New Roman" w:eastAsia="Times New Roman" w:hAnsi="Times New Roman"/>
            <w:sz w:val="18"/>
            <w:szCs w:val="18"/>
            <w:u w:val="single" w:color="auto"/>
            <w:color w:val="0000FF"/>
          </w:rPr>
          <w:t>by and between CytomX Therapeutics, Inc. and Regeneron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42176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37153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7">
                      <a:extLst>
                        <a:ext uri="{28A0092B-C50C-407E-A947-70E740481C1C}"/>
                      </a:extLst>
                    </a:blip>
                    <a:srcRect/>
                    <a:stretch>
                      <a:fillRect/>
                    </a:stretch>
                  </pic:blipFill>
                  <pic:spPr bwMode="auto">
                    <a:xfrm>
                      <a:off x="0" y="0"/>
                      <a:ext cx="3715385" cy="8890"/>
                    </a:xfrm>
                    <a:prstGeom prst="rect">
                      <a:avLst/>
                    </a:prstGeom>
                    <a:noFill/>
                  </pic:spPr>
                </pic:pic>
              </a:graphicData>
            </a:graphic>
          </wp:anchor>
        </w:drawing>
      </w:r>
    </w:p>
    <w:p>
      <w:pPr>
        <w:spacing w:after="0" w:line="142" w:lineRule="exact"/>
        <w:rPr>
          <w:sz w:val="20"/>
          <w:szCs w:val="20"/>
          <w:color w:val="auto"/>
        </w:rPr>
      </w:pPr>
    </w:p>
    <w:p>
      <w:pPr>
        <w:spacing w:after="0"/>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10.16(c)†</w:t>
      </w:r>
      <w:r>
        <w:rPr>
          <w:sz w:val="20"/>
          <w:szCs w:val="20"/>
          <w:color w:val="auto"/>
        </w:rPr>
        <w:tab/>
      </w:r>
      <w:hyperlink r:id="rId398">
        <w:r>
          <w:rPr>
            <w:rFonts w:ascii="Times New Roman" w:cs="Times New Roman" w:eastAsia="Times New Roman" w:hAnsi="Times New Roman"/>
            <w:sz w:val="18"/>
            <w:szCs w:val="18"/>
            <w:u w:val="single" w:color="auto"/>
            <w:color w:val="0000FF"/>
          </w:rPr>
          <w:t>Amendment No. 2 to the Collaboration and License Agreement effective as of October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-7620</wp:posOffset>
            </wp:positionV>
            <wp:extent cx="41465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4146550" cy="8255"/>
                    </a:xfrm>
                    <a:prstGeom prst="rect">
                      <a:avLst/>
                    </a:prstGeom>
                    <a:noFill/>
                  </pic:spPr>
                </pic:pic>
              </a:graphicData>
            </a:graphic>
          </wp:anchor>
        </w:drawing>
      </w:r>
    </w:p>
    <w:p>
      <w:pPr>
        <w:spacing w:after="0" w:line="7"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398">
        <w:r>
          <w:rPr>
            <w:rFonts w:ascii="Times New Roman" w:cs="Times New Roman" w:eastAsia="Times New Roman" w:hAnsi="Times New Roman"/>
            <w:sz w:val="18"/>
            <w:szCs w:val="18"/>
            <w:u w:val="single" w:color="auto"/>
            <w:color w:val="0000FF"/>
          </w:rPr>
          <w:t>2025 by and between CytomX Therapeutics, Inc. and Regeneron Pharmaceuticals,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39719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3971925" cy="8890"/>
                    </a:xfrm>
                    <a:prstGeom prst="rect">
                      <a:avLst/>
                    </a:prstGeom>
                    <a:noFill/>
                  </pic:spPr>
                </pic:pic>
              </a:graphicData>
            </a:graphic>
          </wp:anchor>
        </w:drawing>
      </w:r>
    </w:p>
    <w:p>
      <w:pPr>
        <w:spacing w:after="0" w:line="187" w:lineRule="exact"/>
        <w:rPr>
          <w:sz w:val="20"/>
          <w:szCs w:val="20"/>
          <w:color w:val="auto"/>
        </w:rPr>
      </w:pPr>
    </w:p>
    <w:p>
      <w:pPr>
        <w:ind w:left="900" w:right="44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10.17(a)†</w:t>
      </w:r>
      <w:r>
        <w:rPr>
          <w:sz w:val="20"/>
          <w:szCs w:val="20"/>
          <w:color w:val="auto"/>
        </w:rPr>
        <w:tab/>
      </w:r>
      <w:hyperlink r:id="rId401">
        <w:r>
          <w:rPr>
            <w:rFonts w:ascii="Times New Roman" w:cs="Times New Roman" w:eastAsia="Times New Roman" w:hAnsi="Times New Roman"/>
            <w:sz w:val="18"/>
            <w:szCs w:val="18"/>
            <w:u w:val="single" w:color="auto"/>
            <w:color w:val="0000FF"/>
          </w:rPr>
          <w:t>Collaboration and License Agreement dated as of December 30, 2022 by and between</w:t>
        </w:r>
      </w:hyperlink>
      <w:r>
        <w:rPr>
          <w:rFonts w:ascii="Times New Roman" w:cs="Times New Roman" w:eastAsia="Times New Roman" w:hAnsi="Times New Roman"/>
          <w:sz w:val="18"/>
          <w:szCs w:val="18"/>
          <w:u w:val="single" w:color="auto"/>
          <w:color w:val="0000FF"/>
        </w:rPr>
        <w:t xml:space="preserve"> </w:t>
      </w:r>
      <w:hyperlink r:id="rId401">
        <w:r>
          <w:rPr>
            <w:rFonts w:ascii="Times New Roman" w:cs="Times New Roman" w:eastAsia="Times New Roman" w:hAnsi="Times New Roman"/>
            <w:sz w:val="18"/>
            <w:szCs w:val="18"/>
            <w:u w:val="single" w:color="auto"/>
            <w:color w:val="0000FF"/>
          </w:rPr>
          <w:t>CytomX Therapeutics, Inc. and ModernaTX,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39655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2">
                      <a:extLst>
                        <a:ext uri="{28A0092B-C50C-407E-A947-70E740481C1C}"/>
                      </a:extLst>
                    </a:blip>
                    <a:srcRect/>
                    <a:stretch>
                      <a:fillRect/>
                    </a:stretch>
                  </pic:blipFill>
                  <pic:spPr bwMode="auto">
                    <a:xfrm>
                      <a:off x="0" y="0"/>
                      <a:ext cx="396557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2618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3">
                      <a:extLst>
                        <a:ext uri="{28A0092B-C50C-407E-A947-70E740481C1C}"/>
                      </a:extLst>
                    </a:blip>
                    <a:srcRect/>
                    <a:stretch>
                      <a:fillRect/>
                    </a:stretch>
                  </pic:blipFill>
                  <pic:spPr bwMode="auto">
                    <a:xfrm>
                      <a:off x="0" y="0"/>
                      <a:ext cx="2261870" cy="8890"/>
                    </a:xfrm>
                    <a:prstGeom prst="rect">
                      <a:avLst/>
                    </a:prstGeom>
                    <a:noFill/>
                  </pic:spPr>
                </pic:pic>
              </a:graphicData>
            </a:graphic>
          </wp:anchor>
        </w:drawing>
      </w:r>
    </w:p>
    <w:p>
      <w:pPr>
        <w:spacing w:after="0" w:line="142" w:lineRule="exact"/>
        <w:rPr>
          <w:sz w:val="20"/>
          <w:szCs w:val="20"/>
          <w:color w:val="auto"/>
        </w:rPr>
      </w:pPr>
    </w:p>
    <w:p>
      <w:pPr>
        <w:jc w:val="center"/>
        <w:ind w:right="240"/>
        <w:spacing w:after="0"/>
        <w:tabs>
          <w:tab w:leader="none" w:pos="160" w:val="left"/>
        </w:tabs>
        <w:rPr>
          <w:sz w:val="20"/>
          <w:szCs w:val="20"/>
          <w:color w:val="auto"/>
        </w:rPr>
      </w:pPr>
      <w:r>
        <w:rPr>
          <w:rFonts w:ascii="Times New Roman" w:cs="Times New Roman" w:eastAsia="Times New Roman" w:hAnsi="Times New Roman"/>
          <w:sz w:val="18"/>
          <w:szCs w:val="18"/>
          <w:color w:val="auto"/>
        </w:rPr>
        <w:t>10.17(b)†</w:t>
      </w:r>
      <w:r>
        <w:rPr>
          <w:sz w:val="20"/>
          <w:szCs w:val="20"/>
          <w:color w:val="auto"/>
        </w:rPr>
        <w:tab/>
      </w:r>
      <w:r>
        <w:rPr>
          <w:rFonts w:ascii="Times New Roman" w:cs="Times New Roman" w:eastAsia="Times New Roman" w:hAnsi="Times New Roman"/>
          <w:sz w:val="18"/>
          <w:szCs w:val="18"/>
          <w:u w:val="single" w:color="auto"/>
          <w:color w:val="0000FF"/>
        </w:rPr>
        <w:t>Amendment No.1 to the Collaboration and License Agreement effective as of November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-7620</wp:posOffset>
            </wp:positionV>
            <wp:extent cx="40894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4">
                      <a:extLst>
                        <a:ext uri="{28A0092B-C50C-407E-A947-70E740481C1C}"/>
                      </a:extLst>
                    </a:blip>
                    <a:srcRect/>
                    <a:stretch>
                      <a:fillRect/>
                    </a:stretch>
                  </pic:blipFill>
                  <pic:spPr bwMode="auto">
                    <a:xfrm>
                      <a:off x="0" y="0"/>
                      <a:ext cx="4089400" cy="8255"/>
                    </a:xfrm>
                    <a:prstGeom prst="rect">
                      <a:avLst/>
                    </a:prstGeom>
                    <a:noFill/>
                  </pic:spPr>
                </pic:pic>
              </a:graphicData>
            </a:graphic>
          </wp:anchor>
        </w:drawing>
      </w:r>
    </w:p>
    <w:p>
      <w:pPr>
        <w:spacing w:after="0" w:line="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u w:val="single" w:color="auto"/>
          <w:color w:val="0000FF"/>
        </w:rPr>
        <w:t>20, 2025 by and between CytomX Therapeutics, Inc. and ModernaTX,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-19050</wp:posOffset>
            </wp:positionV>
            <wp:extent cx="34359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5">
                      <a:extLst>
                        <a:ext uri="{28A0092B-C50C-407E-A947-70E740481C1C}"/>
                      </a:extLst>
                    </a:blip>
                    <a:srcRect/>
                    <a:stretch>
                      <a:fillRect/>
                    </a:stretch>
                  </pic:blipFill>
                  <pic:spPr bwMode="auto">
                    <a:xfrm>
                      <a:off x="0" y="0"/>
                      <a:ext cx="3435985" cy="8890"/>
                    </a:xfrm>
                    <a:prstGeom prst="rect">
                      <a:avLst/>
                    </a:prstGeom>
                    <a:noFill/>
                  </pic:spPr>
                </pic:pic>
              </a:graphicData>
            </a:graphic>
          </wp:anchor>
        </w:drawing>
      </w:r>
    </w:p>
    <w:p>
      <w:pPr>
        <w:spacing w:after="0" w:line="187" w:lineRule="exact"/>
        <w:rPr>
          <w:sz w:val="20"/>
          <w:szCs w:val="20"/>
          <w:color w:val="auto"/>
        </w:rPr>
      </w:pPr>
    </w:p>
    <w:p>
      <w:pPr>
        <w:ind w:left="900" w:right="60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406">
        <w:r>
          <w:rPr>
            <w:rFonts w:ascii="Times New Roman" w:cs="Times New Roman" w:eastAsia="Times New Roman" w:hAnsi="Times New Roman"/>
            <w:sz w:val="18"/>
            <w:szCs w:val="18"/>
            <w:u w:val="single" w:color="auto"/>
            <w:color w:val="0000FF"/>
          </w:rPr>
          <w:t>Unit Purchase Agreement by and among the CytomX Therapeutics, Inc. and certain</w:t>
        </w:r>
      </w:hyperlink>
      <w:r>
        <w:rPr>
          <w:rFonts w:ascii="Times New Roman" w:cs="Times New Roman" w:eastAsia="Times New Roman" w:hAnsi="Times New Roman"/>
          <w:sz w:val="18"/>
          <w:szCs w:val="18"/>
          <w:u w:val="single" w:color="auto"/>
          <w:color w:val="0000FF"/>
        </w:rPr>
        <w:t xml:space="preserve"> </w:t>
      </w:r>
      <w:hyperlink r:id="rId406">
        <w:r>
          <w:rPr>
            <w:rFonts w:ascii="Times New Roman" w:cs="Times New Roman" w:eastAsia="Times New Roman" w:hAnsi="Times New Roman"/>
            <w:sz w:val="18"/>
            <w:szCs w:val="18"/>
            <w:u w:val="single" w:color="auto"/>
            <w:color w:val="0000FF"/>
          </w:rPr>
          <w:t>accredited investors named therein, dated June 29,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38582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385826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5888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42" w:lineRule="exact"/>
        <w:rPr>
          <w:sz w:val="20"/>
          <w:szCs w:val="20"/>
          <w:color w:val="auto"/>
        </w:rPr>
      </w:pPr>
    </w:p>
    <w:p>
      <w:pPr>
        <w:ind w:left="900" w:right="36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10.19(a)</w:t>
      </w:r>
      <w:r>
        <w:rPr>
          <w:sz w:val="20"/>
          <w:szCs w:val="20"/>
          <w:color w:val="auto"/>
        </w:rPr>
        <w:tab/>
      </w:r>
      <w:hyperlink r:id="rId409">
        <w:r>
          <w:rPr>
            <w:rFonts w:ascii="Times New Roman" w:cs="Times New Roman" w:eastAsia="Times New Roman" w:hAnsi="Times New Roman"/>
            <w:sz w:val="18"/>
            <w:szCs w:val="18"/>
            <w:u w:val="single" w:color="auto"/>
            <w:color w:val="0000FF"/>
          </w:rPr>
          <w:t>Open Market Sale Agreement, dated as of February 27, 2020, by and between CytomX</w:t>
        </w:r>
      </w:hyperlink>
      <w:r>
        <w:rPr>
          <w:rFonts w:ascii="Times New Roman" w:cs="Times New Roman" w:eastAsia="Times New Roman" w:hAnsi="Times New Roman"/>
          <w:sz w:val="18"/>
          <w:szCs w:val="18"/>
          <w:u w:val="single" w:color="auto"/>
          <w:color w:val="0000FF"/>
        </w:rPr>
        <w:t xml:space="preserve"> </w:t>
      </w:r>
      <w:hyperlink r:id="rId409">
        <w:r>
          <w:rPr>
            <w:rFonts w:ascii="Times New Roman" w:cs="Times New Roman" w:eastAsia="Times New Roman" w:hAnsi="Times New Roman"/>
            <w:sz w:val="18"/>
            <w:szCs w:val="18"/>
            <w:u w:val="single" w:color="auto"/>
            <w:color w:val="0000FF"/>
          </w:rPr>
          <w:t>Therapeutics,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40138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17037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1703705" cy="8255"/>
                    </a:xfrm>
                    <a:prstGeom prst="rect">
                      <a:avLst/>
                    </a:prstGeom>
                    <a:noFill/>
                  </pic:spPr>
                </pic:pic>
              </a:graphicData>
            </a:graphic>
          </wp:anchor>
        </w:drawing>
      </w:r>
    </w:p>
    <w:p>
      <w:pPr>
        <w:spacing w:after="0" w:line="142" w:lineRule="exact"/>
        <w:rPr>
          <w:sz w:val="20"/>
          <w:szCs w:val="20"/>
          <w:color w:val="auto"/>
        </w:rPr>
      </w:pPr>
    </w:p>
    <w:p>
      <w:pPr>
        <w:ind w:left="900" w:right="38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10.19(b)</w:t>
      </w:r>
      <w:r>
        <w:rPr>
          <w:sz w:val="20"/>
          <w:szCs w:val="20"/>
          <w:color w:val="auto"/>
        </w:rPr>
        <w:tab/>
      </w:r>
      <w:hyperlink r:id="rId412">
        <w:r>
          <w:rPr>
            <w:rFonts w:ascii="Times New Roman" w:cs="Times New Roman" w:eastAsia="Times New Roman" w:hAnsi="Times New Roman"/>
            <w:sz w:val="18"/>
            <w:szCs w:val="18"/>
            <w:u w:val="single" w:color="auto"/>
            <w:color w:val="0000FF"/>
          </w:rPr>
          <w:t>Amendment No. 1 to Open Market Sale Agreement, dated as of March 4, 2022, by and</w:t>
        </w:r>
      </w:hyperlink>
      <w:r>
        <w:rPr>
          <w:rFonts w:ascii="Times New Roman" w:cs="Times New Roman" w:eastAsia="Times New Roman" w:hAnsi="Times New Roman"/>
          <w:sz w:val="18"/>
          <w:szCs w:val="18"/>
          <w:u w:val="single" w:color="auto"/>
          <w:color w:val="0000FF"/>
        </w:rPr>
        <w:t xml:space="preserve"> </w:t>
      </w:r>
      <w:hyperlink r:id="rId412">
        <w:r>
          <w:rPr>
            <w:rFonts w:ascii="Times New Roman" w:cs="Times New Roman" w:eastAsia="Times New Roman" w:hAnsi="Times New Roman"/>
            <w:sz w:val="18"/>
            <w:szCs w:val="18"/>
            <w:u w:val="single" w:color="auto"/>
            <w:color w:val="0000FF"/>
          </w:rPr>
          <w:t>between CytomX Therapeutics,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400431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3">
                      <a:extLst>
                        <a:ext uri="{28A0092B-C50C-407E-A947-70E740481C1C}"/>
                      </a:extLst>
                    </a:blip>
                    <a:srcRect/>
                    <a:stretch>
                      <a:fillRect/>
                    </a:stretch>
                  </pic:blipFill>
                  <pic:spPr bwMode="auto">
                    <a:xfrm>
                      <a:off x="0" y="0"/>
                      <a:ext cx="4004310" cy="8890"/>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5349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4">
                      <a:extLst>
                        <a:ext uri="{28A0092B-C50C-407E-A947-70E740481C1C}"/>
                      </a:extLst>
                    </a:blip>
                    <a:srcRect/>
                    <a:stretch>
                      <a:fillRect/>
                    </a:stretch>
                  </pic:blipFill>
                  <pic:spPr bwMode="auto">
                    <a:xfrm>
                      <a:off x="0" y="0"/>
                      <a:ext cx="2534920" cy="8890"/>
                    </a:xfrm>
                    <a:prstGeom prst="rect">
                      <a:avLst/>
                    </a:prstGeom>
                    <a:noFill/>
                  </pic:spPr>
                </pic:pic>
              </a:graphicData>
            </a:graphic>
          </wp:anchor>
        </w:drawing>
      </w:r>
    </w:p>
    <w:p>
      <w:pPr>
        <w:spacing w:after="0" w:line="142" w:lineRule="exact"/>
        <w:rPr>
          <w:sz w:val="20"/>
          <w:szCs w:val="20"/>
          <w:color w:val="auto"/>
        </w:rPr>
      </w:pPr>
    </w:p>
    <w:p>
      <w:pPr>
        <w:ind w:left="900" w:right="320" w:hanging="890"/>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10.19(c)</w:t>
      </w:r>
      <w:r>
        <w:rPr>
          <w:sz w:val="20"/>
          <w:szCs w:val="20"/>
          <w:color w:val="auto"/>
        </w:rPr>
        <w:tab/>
      </w:r>
      <w:hyperlink r:id="rId415">
        <w:r>
          <w:rPr>
            <w:rFonts w:ascii="Times New Roman" w:cs="Times New Roman" w:eastAsia="Times New Roman" w:hAnsi="Times New Roman"/>
            <w:sz w:val="18"/>
            <w:szCs w:val="18"/>
            <w:u w:val="single" w:color="auto"/>
            <w:color w:val="0000FF"/>
          </w:rPr>
          <w:t>Amendment No. 2 to Open Market Sale Agreement, dated as of August 9, 2024, by and</w:t>
        </w:r>
      </w:hyperlink>
      <w:r>
        <w:rPr>
          <w:rFonts w:ascii="Times New Roman" w:cs="Times New Roman" w:eastAsia="Times New Roman" w:hAnsi="Times New Roman"/>
          <w:sz w:val="18"/>
          <w:szCs w:val="18"/>
          <w:u w:val="single" w:color="auto"/>
          <w:color w:val="0000FF"/>
        </w:rPr>
        <w:t xml:space="preserve"> </w:t>
      </w:r>
      <w:hyperlink r:id="rId415">
        <w:r>
          <w:rPr>
            <w:rFonts w:ascii="Times New Roman" w:cs="Times New Roman" w:eastAsia="Times New Roman" w:hAnsi="Times New Roman"/>
            <w:sz w:val="18"/>
            <w:szCs w:val="18"/>
            <w:u w:val="single" w:color="auto"/>
            <w:color w:val="0000FF"/>
          </w:rPr>
          <w:t>between CytomX Therapeutics, Inc. and Jefferies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-185420</wp:posOffset>
            </wp:positionV>
            <wp:extent cx="40360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6">
                      <a:extLst>
                        <a:ext uri="{28A0092B-C50C-407E-A947-70E740481C1C}"/>
                      </a:extLst>
                    </a:blip>
                    <a:srcRect/>
                    <a:stretch>
                      <a:fillRect/>
                    </a:stretch>
                  </pic:blipFill>
                  <pic:spPr bwMode="auto">
                    <a:xfrm>
                      <a:off x="0" y="0"/>
                      <a:ext cx="4036060"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-48260</wp:posOffset>
            </wp:positionV>
            <wp:extent cx="25349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7">
                      <a:extLst>
                        <a:ext uri="{28A0092B-C50C-407E-A947-70E740481C1C}"/>
                      </a:extLst>
                    </a:blip>
                    <a:srcRect/>
                    <a:stretch>
                      <a:fillRect/>
                    </a:stretch>
                  </pic:blipFill>
                  <pic:spPr bwMode="auto">
                    <a:xfrm>
                      <a:off x="0" y="0"/>
                      <a:ext cx="2534920" cy="8890"/>
                    </a:xfrm>
                    <a:prstGeom prst="rect">
                      <a:avLst/>
                    </a:prstGeom>
                    <a:noFill/>
                  </pic:spPr>
                </pic:pic>
              </a:graphicData>
            </a:graphic>
          </wp:anchor>
        </w:drawing>
      </w:r>
    </w:p>
    <w:p>
      <w:pPr>
        <w:spacing w:after="0" w:line="10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5/6/2021</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10.2</w:t>
            </w:r>
          </w:p>
        </w:tc>
      </w:tr>
      <w:tr>
        <w:trPr>
          <w:trHeight w:val="8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11/8/2022</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10.6</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11/7/2017</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11/5/2020</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10.3</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3/1/2022</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10.20(c)</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8/8/2023</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5/8/2024</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11/6/2018</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10.4</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3/27/2023</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10.24</w:t>
            </w:r>
          </w:p>
        </w:tc>
      </w:tr>
      <w:tr>
        <w:trPr>
          <w:trHeight w:val="54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8/8/2024</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11/6/2025</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10.1</w:t>
            </w:r>
          </w:p>
        </w:tc>
      </w:tr>
      <w:tr>
        <w:trPr>
          <w:trHeight w:val="75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3/27/2023</w:t>
            </w:r>
          </w:p>
        </w:tc>
        <w:tc>
          <w:tcPr>
            <w:tcW w:w="7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10.25</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7/3/2023</w:t>
            </w:r>
          </w:p>
        </w:tc>
        <w:tc>
          <w:tcPr>
            <w:tcW w:w="5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2/27/2020</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1.1</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8/9/2024</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1.3</w:t>
            </w:r>
          </w:p>
        </w:tc>
      </w:tr>
      <w:tr>
        <w:trPr>
          <w:trHeight w:val="648"/>
        </w:trPr>
        <w:tc>
          <w:tcPr>
            <w:tcW w:w="5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S-3</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8/9/2024</w:t>
            </w:r>
          </w:p>
        </w:tc>
        <w:tc>
          <w:tcPr>
            <w:tcW w:w="5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1.4</w:t>
            </w:r>
          </w:p>
        </w:tc>
      </w:tr>
    </w:tbl>
    <w:p>
      <w:pPr>
        <w:sectPr>
          <w:pgSz w:w="11900" w:h="16838" w:orient="portrait"/>
          <w:cols w:equalWidth="0" w:num="2">
            <w:col w:w="7540" w:space="260"/>
            <w:col w:w="2980"/>
          </w:cols>
          <w:pgMar w:left="380" w:top="765" w:right="739" w:bottom="1440" w:gutter="0" w:footer="0" w:header="0"/>
        </w:sectPr>
      </w:pPr>
    </w:p>
    <w:bookmarkStart w:id="129" w:name="page130"/>
    <w:bookmarkEnd w:id="12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4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6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419">
              <w:r>
                <w:rPr>
                  <w:rFonts w:ascii="Times New Roman" w:cs="Times New Roman" w:eastAsia="Times New Roman" w:hAnsi="Times New Roman"/>
                  <w:sz w:val="18"/>
                  <w:szCs w:val="18"/>
                  <w:color w:val="0000FF"/>
                  <w:w w:val="99"/>
                </w:rPr>
                <w:t>Corporate Securities Trading Policy</w:t>
              </w:r>
            </w:hyperlink>
          </w:p>
        </w:tc>
        <w:tc>
          <w:tcPr>
            <w:tcW w:w="20" w:type="dxa"/>
            <w:vAlign w:val="bottom"/>
            <w:tcBorders>
              <w:bottom w:val="single" w:sz="8" w:color="0000EE"/>
            </w:tcBorders>
          </w:tcPr>
          <w:p>
            <w:pPr>
              <w:spacing w:after="0"/>
              <w:rPr>
                <w:sz w:val="24"/>
                <w:szCs w:val="24"/>
                <w:color w:val="auto"/>
              </w:rPr>
            </w:pPr>
          </w:p>
        </w:tc>
        <w:tc>
          <w:tcPr>
            <w:tcW w:w="4120" w:type="dxa"/>
            <w:vAlign w:val="bottom"/>
            <w:gridSpan w:val="11"/>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3/11/2024</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19.1</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signature page)</w:t>
            </w:r>
          </w:p>
        </w:tc>
        <w:tc>
          <w:tcPr>
            <w:tcW w:w="20" w:type="dxa"/>
            <w:vAlign w:val="bottom"/>
            <w:tcBorders>
              <w:top w:val="single" w:sz="8" w:color="0000FF"/>
              <w:bottom w:val="single" w:sz="8" w:color="0000EE"/>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38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3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44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2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4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0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462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2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50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26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48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0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7"/>
                <w:szCs w:val="17"/>
                <w:color w:val="auto"/>
              </w:rPr>
            </w:pPr>
          </w:p>
        </w:tc>
        <w:tc>
          <w:tcPr>
            <w:tcW w:w="4620" w:type="dxa"/>
            <w:vAlign w:val="bottom"/>
            <w:gridSpan w:val="13"/>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5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67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 Section 906 of the Sarbanes-Oxley Act of</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ind w:left="114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90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2002.</w:t>
            </w:r>
          </w:p>
        </w:tc>
        <w:tc>
          <w:tcPr>
            <w:tcW w:w="20" w:type="dxa"/>
            <w:vAlign w:val="bottom"/>
            <w:tcBorders>
              <w:top w:val="single" w:sz="8" w:color="0000FF"/>
              <w:bottom w:val="single" w:sz="8" w:color="0000EE"/>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3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20">
              <w:r>
                <w:rPr>
                  <w:rFonts w:ascii="Times New Roman" w:cs="Times New Roman" w:eastAsia="Times New Roman" w:hAnsi="Times New Roman"/>
                  <w:sz w:val="18"/>
                  <w:szCs w:val="18"/>
                  <w:color w:val="0000FF"/>
                  <w:w w:val="99"/>
                </w:rPr>
                <w:t>Executive Compensation Clawback Policy</w:t>
              </w:r>
            </w:hyperlink>
          </w:p>
        </w:tc>
        <w:tc>
          <w:tcPr>
            <w:tcW w:w="20" w:type="dxa"/>
            <w:vAlign w:val="bottom"/>
            <w:tcBorders>
              <w:bottom w:val="single" w:sz="8" w:color="0000EE"/>
            </w:tcBorders>
          </w:tcPr>
          <w:p>
            <w:pPr>
              <w:spacing w:after="0"/>
              <w:rPr>
                <w:sz w:val="24"/>
                <w:szCs w:val="24"/>
                <w:color w:val="auto"/>
              </w:rPr>
            </w:pPr>
          </w:p>
        </w:tc>
        <w:tc>
          <w:tcPr>
            <w:tcW w:w="3640" w:type="dxa"/>
            <w:vAlign w:val="bottom"/>
            <w:gridSpan w:val="9"/>
          </w:tcPr>
          <w:p>
            <w:pPr>
              <w:spacing w:after="0"/>
              <w:rPr>
                <w:sz w:val="24"/>
                <w:szCs w:val="24"/>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3/11/2024</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97.1</w:t>
            </w:r>
          </w:p>
        </w:tc>
      </w:tr>
      <w:tr>
        <w:trPr>
          <w:trHeight w:val="4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234"/>
        </w:trPr>
        <w:tc>
          <w:tcPr>
            <w:tcW w:w="900" w:type="dxa"/>
            <w:vAlign w:val="bottom"/>
          </w:tcPr>
          <w:p>
            <w:pPr>
              <w:spacing w:after="0"/>
              <w:rPr>
                <w:sz w:val="20"/>
                <w:szCs w:val="20"/>
                <w:color w:val="auto"/>
              </w:rPr>
            </w:pP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351" w:lineRule="exact"/>
        <w:rPr>
          <w:sz w:val="20"/>
          <w:szCs w:val="20"/>
          <w:color w:val="auto"/>
        </w:rPr>
      </w:pPr>
    </w:p>
    <w:p>
      <w:pPr>
        <w:ind w:left="140" w:hanging="132"/>
        <w:spacing w:after="0"/>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Certain confidential portions of this exhibit (indicated by “[***]”) have been omitted from this exhibit pursuant to Item 601(b)(10) of Regulation S-K.</w:t>
      </w:r>
    </w:p>
    <w:p>
      <w:pPr>
        <w:spacing w:after="0" w:line="1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Indicates management contract or compensatory plan.</w:t>
      </w:r>
    </w:p>
    <w:p>
      <w:pPr>
        <w:spacing w:after="0" w:line="262" w:lineRule="exact"/>
        <w:rPr>
          <w:sz w:val="20"/>
          <w:szCs w:val="20"/>
          <w:color w:val="auto"/>
        </w:rPr>
      </w:pPr>
    </w:p>
    <w:p>
      <w:pPr>
        <w:ind w:firstLine="8"/>
        <w:spacing w:after="0" w:line="281" w:lineRule="auto"/>
        <w:tabs>
          <w:tab w:leader="none" w:pos="121"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that accompany this Annual Report on Form 10-K are not deemed filed with the Securities and Exchange Commission and are not to be incorporated by reference into any filing of CytomX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Registrants may voluntarily include a summary of information required by Form 10-K under Item 16. We have elected not to include such summary.</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CytomX Therapeutics, Inc.</w:t>
            </w:r>
          </w:p>
        </w:tc>
      </w:tr>
      <w:tr>
        <w:trPr>
          <w:trHeight w:val="432"/>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32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r>
      <w:tr>
        <w:trPr>
          <w:trHeight w:val="187"/>
        </w:trPr>
        <w:tc>
          <w:tcPr>
            <w:tcW w:w="4180" w:type="dxa"/>
            <w:vAlign w:val="bottom"/>
          </w:tcPr>
          <w:p>
            <w:pPr>
              <w:spacing w:after="0"/>
              <w:rPr>
                <w:sz w:val="16"/>
                <w:szCs w:val="16"/>
                <w:color w:val="auto"/>
              </w:rPr>
            </w:pPr>
          </w:p>
        </w:tc>
        <w:tc>
          <w:tcPr>
            <w:tcW w:w="3220" w:type="dxa"/>
            <w:vAlign w:val="bottom"/>
          </w:tcPr>
          <w:p>
            <w:pPr>
              <w:ind w:left="2600"/>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Sean A. McCarthy, D.Phil.</w:t>
            </w:r>
          </w:p>
        </w:tc>
      </w:tr>
      <w:tr>
        <w:trPr>
          <w:trHeight w:val="218"/>
        </w:trPr>
        <w:tc>
          <w:tcPr>
            <w:tcW w:w="4180" w:type="dxa"/>
            <w:vAlign w:val="bottom"/>
          </w:tcPr>
          <w:p>
            <w:pPr>
              <w:spacing w:after="0"/>
              <w:rPr>
                <w:sz w:val="18"/>
                <w:szCs w:val="18"/>
                <w:color w:val="auto"/>
              </w:rPr>
            </w:pPr>
          </w:p>
        </w:tc>
        <w:tc>
          <w:tcPr>
            <w:tcW w:w="32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w:t>
            </w:r>
          </w:p>
        </w:tc>
      </w:tr>
      <w:tr>
        <w:trPr>
          <w:trHeight w:val="236"/>
        </w:trPr>
        <w:tc>
          <w:tcPr>
            <w:tcW w:w="4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4180" w:type="dxa"/>
            <w:vAlign w:val="bottom"/>
          </w:tcPr>
          <w:p>
            <w:pPr>
              <w:spacing w:after="0"/>
              <w:rPr>
                <w:sz w:val="24"/>
                <w:szCs w:val="24"/>
                <w:color w:val="auto"/>
              </w:rPr>
            </w:pPr>
          </w:p>
        </w:tc>
        <w:tc>
          <w:tcPr>
            <w:tcW w:w="32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W. Ogden</w:t>
            </w:r>
          </w:p>
        </w:tc>
      </w:tr>
      <w:tr>
        <w:trPr>
          <w:trHeight w:val="187"/>
        </w:trPr>
        <w:tc>
          <w:tcPr>
            <w:tcW w:w="4180" w:type="dxa"/>
            <w:vAlign w:val="bottom"/>
          </w:tcPr>
          <w:p>
            <w:pPr>
              <w:spacing w:after="0"/>
              <w:rPr>
                <w:sz w:val="16"/>
                <w:szCs w:val="16"/>
                <w:color w:val="auto"/>
              </w:rPr>
            </w:pPr>
          </w:p>
        </w:tc>
        <w:tc>
          <w:tcPr>
            <w:tcW w:w="3220" w:type="dxa"/>
            <w:vAlign w:val="bottom"/>
          </w:tcPr>
          <w:p>
            <w:pPr>
              <w:ind w:left="2600"/>
              <w:spacing w:after="0" w:line="188"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Christopher W. Ogden</w:t>
            </w:r>
          </w:p>
        </w:tc>
      </w:tr>
      <w:tr>
        <w:trPr>
          <w:trHeight w:val="218"/>
        </w:trPr>
        <w:tc>
          <w:tcPr>
            <w:tcW w:w="4180" w:type="dxa"/>
            <w:vAlign w:val="bottom"/>
          </w:tcPr>
          <w:p>
            <w:pPr>
              <w:spacing w:after="0"/>
              <w:rPr>
                <w:sz w:val="18"/>
                <w:szCs w:val="18"/>
                <w:color w:val="auto"/>
              </w:rPr>
            </w:pPr>
          </w:p>
        </w:tc>
        <w:tc>
          <w:tcPr>
            <w:tcW w:w="32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41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w:t>
            </w:r>
          </w:p>
        </w:tc>
      </w:tr>
      <w:tr>
        <w:trPr>
          <w:trHeight w:val="236"/>
        </w:trPr>
        <w:tc>
          <w:tcPr>
            <w:tcW w:w="4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1" w:name="page132"/>
    <w:bookmarkEnd w:id="13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CYTOMX THERAPEUTICS,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person whose individual signature appears below hereby authorizes and appoints Sean A. McCarthy, D. Phil. and Christopher W. Ogden and each of them, with full power of substitution and resubstitution,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attorney-in-fact and agents full power and authority to do and perform each and every act and thing, ratifying and confirming all that said attorney-in-fact and agents or his substitute or substitutes may lawfully do or cause to be done by virtue thereof. 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765" w:right="39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Sean A. McCarthy</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Sean A. McCarthy, D.Phil.</w:t>
            </w:r>
          </w:p>
        </w:tc>
        <w:tc>
          <w:tcPr>
            <w:tcW w:w="522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Christopher W. Ogden</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Christopher W. Ogden</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P. Young</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P. Young</w:t>
            </w:r>
          </w:p>
        </w:tc>
        <w:tc>
          <w:tcPr>
            <w:tcW w:w="522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Alan Ashworth</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Alan Ashworth, Ph.D. FRS</w:t>
            </w:r>
          </w:p>
        </w:tc>
        <w:tc>
          <w:tcPr>
            <w:tcW w:w="522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Elaine V. Jones</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Elaine V. Jones, Ph.D.</w:t>
            </w:r>
          </w:p>
        </w:tc>
        <w:tc>
          <w:tcPr>
            <w:tcW w:w="522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 Meyers</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 Meyers</w:t>
            </w:r>
          </w:p>
        </w:tc>
        <w:tc>
          <w:tcPr>
            <w:tcW w:w="522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Mani Mohindru</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Mani Mohindru, Ph.D.</w:t>
            </w:r>
          </w:p>
        </w:tc>
        <w:tc>
          <w:tcPr>
            <w:tcW w:w="522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Halley E. Gilbert</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Halley E. Gilbert</w:t>
            </w:r>
          </w:p>
        </w:tc>
        <w:tc>
          <w:tcPr>
            <w:tcW w:w="5220" w:type="dxa"/>
            <w:vAlign w:val="bottom"/>
          </w:tcPr>
          <w:p>
            <w:pPr>
              <w:spacing w:after="0"/>
              <w:rPr>
                <w:sz w:val="19"/>
                <w:szCs w:val="19"/>
                <w:color w:val="auto"/>
              </w:rPr>
            </w:pPr>
          </w:p>
        </w:tc>
      </w:tr>
      <w:tr>
        <w:trPr>
          <w:trHeight w:val="414"/>
        </w:trPr>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Zhen Su</w:t>
            </w:r>
          </w:p>
        </w:tc>
        <w:tc>
          <w:tcPr>
            <w:tcW w:w="52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Zhen Su, M.D.</w:t>
            </w:r>
          </w:p>
        </w:tc>
        <w:tc>
          <w:tcPr>
            <w:tcW w:w="5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461" w:lineRule="exact"/>
        <w:rPr>
          <w:sz w:val="20"/>
          <w:szCs w:val="20"/>
          <w:color w:val="auto"/>
        </w:rPr>
      </w:pPr>
    </w:p>
    <w:p>
      <w:pPr>
        <w:sectPr>
          <w:pgSz w:w="11900" w:h="16838" w:orient="portrait"/>
          <w:cols w:equalWidth="0" w:num="2">
            <w:col w:w="8920" w:space="720"/>
            <w:col w:w="1540"/>
          </w:cols>
          <w:pgMar w:left="320" w:top="765" w:right="399" w:bottom="1440" w:gutter="0" w:footer="0" w:header="0"/>
          <w:type w:val="continuous"/>
        </w:sect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w:t>
      </w:r>
    </w:p>
    <w:p>
      <w:pPr>
        <w:spacing w:after="0" w:line="178"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sets forth certain material terms and provisions of the securities of CytomX Therapeutics, Inc. (“we,” “us” or “our”) that are registered under Section 12 of the Securities Exchange Act of 1934, as amended. The following description of our securities is not complete and may not contain all the information you should consider before investing in our securities. This description is summarized from, and qualified in its entirety by reference to, our amended and restated certificate of incorporation (our “certificate of incorporation”), our amended and restated bylaws (our “bylaws”) and certain other documents referenced herein, which are incorporated herein by reference. The summary below is also qualified by reference to the provisions of the General Corporation Law of the State of Delaware (the “DGCL”).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authorized 300,000,000 shares of common stock, $0.00001 par value per share, and 10,000,000 shares of preferred stock, $0.00001 par value per share under our certificate of incorporation.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of record for the election of directors and on all matters submitted to a vote of stockholders. In the election of directors, a majority of the votes cast at a meeting of stockholders is sufficient to elect a director, unless the number of nominees exceeds the number of directors to be elected, in which case directors shall be elected by a plurality of the votes cast. Our stockholders do not have cumulative voting rights in the election of directors. Accordingly, holders of a majority of the voting shares are able to elect all of the directors. In all other matters, except as noted below under “</w:t>
      </w:r>
      <w:r>
        <w:rPr>
          <w:rFonts w:ascii="Times New Roman" w:cs="Times New Roman" w:eastAsia="Times New Roman" w:hAnsi="Times New Roman"/>
          <w:sz w:val="18"/>
          <w:szCs w:val="18"/>
          <w:i w:val="1"/>
          <w:iCs w:val="1"/>
          <w:color w:val="auto"/>
        </w:rPr>
        <w:t>Anti-Takeover Effects of Delaware Law, Our Certificate of Incorporation and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a majority of votes cast by stockholders is generally required to take action under our certificate of incorporation and our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ratably, if any, as may be declared by our board of directors out of legally available funds, subject to any preferential dividend rights of any preferred stock then outstanding.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0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Upon our dissolution, liquidation or winding up, holders of our common stock are entitled to share ratably in our net assets legally available after the payment of all our debts and other liabilities, subject to the preferential rights of any preferred stock then outstanding.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 and Preferences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Holders of our common stock have no preemptive, subscription or conversion rights, and there are no redemption or sinking fund provisions applicable to our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action by the stockholders, to designate and issue up to an aggregate of 10,000,000 shares of preferred stock in one or more series. The board of directors can fix the rights, preferences and privileges of the shares of each series and any of its qualifications, limitations or restrictions. Our board of directors may authorize the issuance of preferred stock with voting or conversion rights that could adversely affect the voting power or other rights of the holders of common stock. The issuance of preferred stock, while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spacing w:after="0" w:line="282" w:lineRule="auto"/>
        <w:rPr>
          <w:sz w:val="20"/>
          <w:szCs w:val="20"/>
          <w:color w:val="auto"/>
        </w:rPr>
      </w:pPr>
      <w:r>
        <w:rPr>
          <w:rFonts w:ascii="Times New Roman" w:cs="Times New Roman" w:eastAsia="Times New Roman" w:hAnsi="Times New Roman"/>
          <w:sz w:val="18"/>
          <w:szCs w:val="18"/>
          <w:color w:val="auto"/>
        </w:rPr>
        <w:t>providing flexibility in connection with possible future financings and acquisitions and other corporate purposes could, under certain circumstances, have the effect of delaying or preventing a change in control of our company and might harm the market price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Pursuant to our registration rights agreement with Amgen Inc. (“Amgen”), dated as of September 29, 2017, Amgen is entitled to require us to register the resale of 1,156,069 shares of our common stock. The registration rights agreement contains customary indemnification provisions, and terminates if there are no registrable shares outstanding.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Certificate of Incorporation and Our Bylaws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subject to any limitations imposed by law and the rights of the holders of any series of our preferred stock, the board of directors or any individual director may be removed from office at any time without cause by the affirmative vote of the holders of a majority of the voting power of all the then-outstanding shares of voting stock of our company entitled to vote at an election of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20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all stockholder actions are required to be taken by a vote of the stockholders at an annual or special meeting, and that stockholders may not take any action by written consent in lieu of a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staggered classes of directors of the same or nearly the same number and each director will be assigned to one of the three classes. At each annual meeting of the stockholders, a class of directors will be elected for a three-year term to succeed the directors of the same class whose terms are then expiring. Our certificate of incorporation provides that the number of our directors shall be fixed from time to time by a resolution of the majority of our board of directors. Any additional directorships resulting from an increase in the number of directors will be distributed among the three classes so that, as nearly as possible, each class shall consist of one third of the board of directors. The division of our board of directors into three classes with staggered three-year terms may delay or prevent stockholder efforts to effect a change of our management or a change in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Meetings of Stockholders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which our company is not obligated to call more than once per calendar year, may only be called by the chairperson of our board of directors, our chief executive officer, or our board of directors pursuant to a resolution adopted by a majority of the total number of authorized directors. In addition, our bylaws limit the business that may be conducted at an annual meeting of stockholders to those matters properly brought before the meeting.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bylaws include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secretary prior to the meeting at which the action is to be taken. Generally, to be timely, notice must be received at our principal executive offices not later than the close of business on the ninetieth (90th) day nor earlier than the close of business on the one hundred twentieth (120th) day prior to the first anniversary of the annual meeting for the preceding year.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jc w:val="both"/>
        <w:spacing w:after="0" w:line="266" w:lineRule="auto"/>
        <w:rPr>
          <w:sz w:val="20"/>
          <w:szCs w:val="20"/>
          <w:color w:val="auto"/>
        </w:rPr>
      </w:pPr>
      <w:r>
        <w:rPr>
          <w:rFonts w:ascii="Times New Roman" w:cs="Times New Roman" w:eastAsia="Times New Roman" w:hAnsi="Times New Roman"/>
          <w:sz w:val="18"/>
          <w:szCs w:val="18"/>
          <w:color w:val="auto"/>
        </w:rPr>
        <w:t>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Certificate of Incorporation and Bylaws</w:t>
      </w:r>
    </w:p>
    <w:p>
      <w:pPr>
        <w:spacing w:after="0" w:line="20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the affirmative votes of the holders of at least a majority of the voting power of all of the then-outstanding shares of our voting stock, voting together as a single class, is required to amend certain provisions of our certificate of incorporation, including provisions relating to the size of our board of directors, removal of directors, special meeting of stockholders and actions by written consent. The affirmative votes of the holders of at least a majority of the voting power of all of the then-outstanding shares of our voting stock is required to amend or repeal our bylaws. In addition, our bylaws may be amended by our board of directors, subject to any limitations set forth in the bylaws.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Blank Check Preferred Stock</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percent or more of the corporation’s voting stock. Under Section 203, a business combination between a corporation and an interested stockholder is prohibited unless it satisfies one of the following conditions:</w:t>
      </w:r>
    </w:p>
    <w:p>
      <w:pPr>
        <w:spacing w:after="0" w:line="148" w:lineRule="exact"/>
        <w:rPr>
          <w:sz w:val="20"/>
          <w:szCs w:val="20"/>
          <w:color w:val="auto"/>
        </w:rPr>
      </w:pPr>
    </w:p>
    <w:p>
      <w:pPr>
        <w:ind w:left="760" w:right="20" w:hanging="378"/>
        <w:spacing w:after="0" w:line="282"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before the stockholder became interested, the board of directors of the corporation approved either the business combination or the transaction which resulted in the stockholder becoming an interested stockholder;</w:t>
      </w:r>
    </w:p>
    <w:p>
      <w:pPr>
        <w:spacing w:after="0" w:line="134" w:lineRule="exact"/>
        <w:rPr>
          <w:rFonts w:ascii="Times New Roman" w:cs="Times New Roman" w:eastAsia="Times New Roman" w:hAnsi="Times New Roman"/>
          <w:sz w:val="14"/>
          <w:szCs w:val="14"/>
          <w:color w:val="auto"/>
        </w:rPr>
      </w:pPr>
    </w:p>
    <w:p>
      <w:pPr>
        <w:jc w:val="both"/>
        <w:ind w:left="760" w:hanging="378"/>
        <w:spacing w:after="0" w:line="266"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35" w:lineRule="exact"/>
        <w:rPr>
          <w:rFonts w:ascii="Times New Roman" w:cs="Times New Roman" w:eastAsia="Times New Roman" w:hAnsi="Times New Roman"/>
          <w:sz w:val="14"/>
          <w:szCs w:val="14"/>
          <w:color w:val="auto"/>
        </w:rPr>
      </w:pPr>
    </w:p>
    <w:p>
      <w:pPr>
        <w:jc w:val="both"/>
        <w:ind w:left="760" w:hanging="378"/>
        <w:spacing w:after="0" w:line="266" w:lineRule="auto"/>
        <w:tabs>
          <w:tab w:leader="none" w:pos="7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66 2/3 percent of the outstanding voting stock which is not owned by the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5" w:name="page136"/>
    <w:bookmarkEnd w:id="135"/>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as Sole and Exclusive Forum</w:t>
      </w:r>
    </w:p>
    <w:p>
      <w:pPr>
        <w:spacing w:after="0" w:line="20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bylaws provide that, unless we consent in writing to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directors, officers or other employees to us or our stockholders, (iii) any action asserting a claim against us arising pursuant to any provision of the DGCL, as amended, or our certificate of incorporation or our bylaws, (iv) any action to interpret, apply, enforce or determine the validity of our certificate of incorporation or bylaws, or (v) any action asserting a claim against us or any of our directors, officers or employees governed by the internal affairs doctrine.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permitted by the DGCL, as amended, our certificate of incorporation and bylaws, in each case, limit or eliminate the personal liability of our directors. Consequently, a director will not be personally liable to us or our stockholders for monetary damages for breach of fiduciary duty as a director, except for liability for:</w:t>
      </w:r>
    </w:p>
    <w:p>
      <w:pPr>
        <w:spacing w:after="0" w:line="149"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8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8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19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8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U.S. federal securities laws and do not affect the availability of equitable remedies such as an injunction or rescission.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98" w:lineRule="exact"/>
        <w:rPr>
          <w:sz w:val="20"/>
          <w:szCs w:val="20"/>
          <w:color w:val="auto"/>
        </w:rPr>
      </w:pPr>
    </w:p>
    <w:p>
      <w:pPr>
        <w:ind w:left="760" w:hanging="378"/>
        <w:spacing w:after="0" w:line="282"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will indemnify our directors and executive officers to the fullest extent permitted by the DGCL, as amended, subject to limited exceptions, and we have the power to indemnify our other officers, employees and agents to the fullest extent permitted by the DGCL, as amended;</w:t>
      </w:r>
    </w:p>
    <w:p>
      <w:pPr>
        <w:spacing w:after="0" w:line="121" w:lineRule="exact"/>
        <w:rPr>
          <w:rFonts w:ascii="Times New Roman" w:cs="Times New Roman" w:eastAsia="Times New Roman" w:hAnsi="Times New Roman"/>
          <w:sz w:val="14"/>
          <w:szCs w:val="14"/>
          <w:color w:val="auto"/>
        </w:rPr>
      </w:pPr>
    </w:p>
    <w:p>
      <w:pPr>
        <w:jc w:val="both"/>
        <w:ind w:left="760" w:hanging="378"/>
        <w:spacing w:after="0" w:line="261"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we will advance expenses, including attorneys’ fees, to our directors and executive officers in connection with legal proceedings, subject to receipt of an undertaking to repay such amounts if it is ultimately determined that such person is not entitled to indemnification, provided that, other than with respect to directors, no advance will be made if it is determined that the facts demonstrate clearly and convincingly that such person acted in bad faith or in a manner that such person did not believe to be in or not opposed to our best interests; and</w:t>
      </w:r>
    </w:p>
    <w:p>
      <w:pPr>
        <w:spacing w:after="0" w:line="139" w:lineRule="exact"/>
        <w:rPr>
          <w:rFonts w:ascii="Times New Roman" w:cs="Times New Roman" w:eastAsia="Times New Roman" w:hAnsi="Times New Roman"/>
          <w:sz w:val="14"/>
          <w:szCs w:val="14"/>
          <w:color w:val="auto"/>
        </w:rPr>
      </w:pPr>
    </w:p>
    <w:p>
      <w:pPr>
        <w:jc w:val="both"/>
        <w:ind w:left="760" w:right="20" w:hanging="378"/>
        <w:spacing w:after="0" w:line="266" w:lineRule="auto"/>
        <w:tabs>
          <w:tab w:leader="none" w:pos="7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indemnification and advancement of expenses provided in our bylaws are not exclusive of any other right to which our directors or officers may be entitled under any statute, provision of our certificate of incorporation, bylaws, agreement, vote of stockholders or disinterested directors or otherwise.</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The form of these agreements has previously been approved by our stockholders. These agreements provide that we will indemnify each of our executive officers and directors to the fullest extent permitted by law and advance expenses to each indemnitee in connection with any proceeding in which indemnification is available.</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obtained insurance that covers certain liabilities of our directors and officers arising out of claims based on acts or omissions in their capacities as directors or officers, including liabilities under the Securities Act of 1933, as amended (the “Securities Act”). Insofar as indemnification for liabilities arising under the Securities Act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6" w:name="page137"/>
    <w:bookmarkEnd w:id="136"/>
    <w:p>
      <w:pPr>
        <w:jc w:val="both"/>
        <w:spacing w:after="0" w:line="282" w:lineRule="auto"/>
        <w:rPr>
          <w:sz w:val="20"/>
          <w:szCs w:val="20"/>
          <w:color w:val="auto"/>
        </w:rPr>
      </w:pPr>
      <w:r>
        <w:rPr>
          <w:rFonts w:ascii="Times New Roman" w:cs="Times New Roman" w:eastAsia="Times New Roman" w:hAnsi="Times New Roman"/>
          <w:sz w:val="18"/>
          <w:szCs w:val="18"/>
          <w:color w:val="auto"/>
        </w:rPr>
        <w:t>permitted to directors, officers or persons controlling the registrant pursuant to the foregoing provisions, we have been informed that in the opinion of the Securities and Exchange Commission such indemnification is against public policy as expressed in the Securities Act and is therefore unenforceable.</w:t>
      </w:r>
    </w:p>
    <w:p>
      <w:pPr>
        <w:spacing w:after="0" w:line="121"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above provisions may discourage stockholders from bringing a lawsuit against our directors for breach of their fiduciary duty. The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 Listing</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trading symbol “CTMX.”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0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Suite 101, Canton, Massachusetts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39825" cy="6172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1139825" cy="61722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September 16,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Rachael G. Lester</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Dear Rachael,</w:t>
      </w:r>
    </w:p>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On behalf of Cytomx Therapeutics (“CytomX” or the “Company”), I am pleased to offer you an exempt position of Senior Vice President, Chief Business Officer, reporting directly to 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Compensation</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Your salary will be paid at the rate of $17,115.39 biweekly ($445,000.00 annualized) less payroll deductions and all required withholdings. You will be eligible to receive CytomX’s complete package of benefits and discretionary bonus program that is made available to all of the Company’s full-time employees. Details about these benefit plans will be made available for your review. The Company may modify compensation and benefits from time to time and in its sole discretion as it deems necessary and consistent with applicable law.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Target Bonus</w:t>
      </w:r>
    </w:p>
    <w:p>
      <w:pPr>
        <w:spacing w:after="0" w:line="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You will be eligible to receive a pro-rated target discretionary annual bonus of up to 40.0</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of your base salary, based on the Company’s performance and your individual performance, subject to CytomX’s policy for paying annual bonuses set forth in CytomX’s Employee Handbook, as may be amended from time to time. Employees who [***] are not eligible for [***]. Whether the Company awards bonuses for any given year, the allocation of the bonuses for Company and individual performance, and the amounts of such bonuses, if awarded, will be in the sole discretion of the Company as determined by its Board of Directors (the “Board”) in its sole discretion. If the Board approves payment of bonuses for any given year, the bonus amounts generally will be determined and paid within the first calendar quarter of the following year based on the prior year’s performance. To incentivize you to remain employed with the Company, you must be employed on the date any bonus is paid in order to earn the bonus. If your employment terminates for any reason prior to the payment of the bonus, then you will not have earned the bonus and will not receive any portion of 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Equity</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Subject to approval by the Board, you will be granted an option to purchase 650,000 shares of the Company’s common stock, pursuant to terms and conditions that will be provided to you under a stock option agreement. The grant agreement will include a four (4) year vesting schedule, such that 25% of the shares will vest on the first anniversary of the commencement of your employment, with the balance vesting in equal monthly installments over the subsequent thirty-six (36) months, until either your option shares are fully vested or your employment ends, whichever occurs first.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Total Rewards: Additional Benefits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to your compensation package, you will receive the following:</w:t>
      </w:r>
    </w:p>
    <w:p>
      <w:pPr>
        <w:spacing w:after="0" w:line="1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color w:val="auto"/>
        </w:rPr>
        <w:t xml:space="preserve">Sign-On Bonus: </w:t>
      </w:r>
      <w:r>
        <w:rPr>
          <w:rFonts w:ascii="Times New Roman" w:cs="Times New Roman" w:eastAsia="Times New Roman" w:hAnsi="Times New Roman"/>
          <w:sz w:val="18"/>
          <w:szCs w:val="18"/>
          <w:color w:val="auto"/>
        </w:rPr>
        <w:t>Payable upon your first paycheck you will receive a one-time sign-on bonus payment of $120,000, less required taxes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withholdings. You are required to repay this amount to the Company per the following terms if you terminate your employment with the Company for any reason, or are terminated for cause, within [***]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1189990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6600825" cy="6000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6600825" cy="6000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w:t>
      </w:r>
    </w:p>
    <w:p>
      <w:pPr>
        <w:spacing w:after="0" w:line="2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You authorize the Company to deduct such amounts from any wages, vacation pay, expense reimbursements or other compensation due to you upon termination of employment, subject to the requirements of applicable law. You agree to repay to the Company any remaining amounts owed by you that are not satisfied by such deductions within [***] following your employment termination date.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Worksite Designation</w:t>
      </w:r>
    </w:p>
    <w:p>
      <w:pPr>
        <w:spacing w:after="0" w:line="1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 xml:space="preserve">The Company has adopted a Work From Home Policy (“WFH Policy”) to provide flexibility for employees where consistent with the needs of the Company, which allows for remote, partial remote or onsite work designations. You have been designated by management as a </w:t>
      </w:r>
      <w:r>
        <w:rPr>
          <w:rFonts w:ascii="Times New Roman" w:cs="Times New Roman" w:eastAsia="Times New Roman" w:hAnsi="Times New Roman"/>
          <w:sz w:val="19"/>
          <w:szCs w:val="19"/>
          <w:b w:val="1"/>
          <w:bCs w:val="1"/>
          <w:color w:val="auto"/>
        </w:rPr>
        <w:t>“Partial Remote”</w:t>
      </w:r>
      <w:r>
        <w:rPr>
          <w:rFonts w:ascii="Times New Roman" w:cs="Times New Roman" w:eastAsia="Times New Roman" w:hAnsi="Times New Roman"/>
          <w:sz w:val="19"/>
          <w:szCs w:val="19"/>
          <w:color w:val="auto"/>
        </w:rPr>
        <w:t xml:space="preserve"> employee, meaning that your job requires some of your activities to be performed on CytomX premises and allows some of your activities to be performed from your home location in Burlingame, CA. Your designation is subject to change at any time for any reason by management as more fully set forth in our WFH Policy. Notwithstanding any designation, the WFH Policy also states that you may be required to come on Company premises for meetings, projects, work assignments or other work-related activities designated by the Company. Further, Partial Remote employees may not change their primary work location without prior written authorization from management in accordance with the WFH Policy.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1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9"/>
          <w:szCs w:val="19"/>
          <w:color w:val="auto"/>
        </w:rPr>
        <w:t>As a CytomX employee, you will be expected to abide by Company rules and regulations and sign and comply with the Company’s Proprietary Information and Inventions Agreement which prohibits unauthorized use or disclosure of company proprietary information.</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your work for the Company, you will be expected not to use or disclose any confidential information, including trade secrets, of any former employer or other person to whom you have an obligation of confidentiality. Rather, you will be expected to use only that information which is generally known and used by persons with training and experience comparable to your own, which is common knowledge in the industry or otherwise legally in the public domain, or which is otherwise provided or developed by the Company.</w:t>
      </w:r>
    </w:p>
    <w:p>
      <w:pPr>
        <w:spacing w:after="0" w:line="18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You agree that you will not bring onto Company premises any unpublished documents or property belonging to any former employer or other person to whom you have an obligation of confidentiality.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Arbitration</w:t>
      </w:r>
    </w:p>
    <w:p>
      <w:pPr>
        <w:spacing w:after="0" w:line="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9"/>
          <w:szCs w:val="19"/>
          <w:color w:val="auto"/>
        </w:rPr>
        <w:t>In the event of any dispute or claim relating to or arising out of our employment relationship, you and the Company agree that such dispute shall be resolved by final and binding arbitration in San Francisco, California conducted through JAMS before a single neutral arbitrator, in accordance with the JAMS employment arbitration rules then in effect, a copy of which can be obtained from Human Resources, or found on the JAMS website at https://www.jamsadr.com/rules-employment-arbitration/english. The arbitrator shall authorize both parties to engage in reasonable discovery necessary to obtain evidence in support of the claims and defenses of the parties, and to apply applicable law to determine issues of liability and damages regarding all Claims to be arbitrated. The arbitrator is authorized to award any remedy or relief that would have been available to the Parties had the matter been heard in court, in accordance with the law applicable to such claims. The decision of the arbitrator shall be in writing and shall provide the reasons for the arbitrator's award. The decision of the arbitrator shall be final and binding on the parties, and judgment thereon may be entered in a court of competent jurisdiction. The parties acknowledge and agree that they are each waiving their rights to a jury trial in favor of having their disputes resolved by final and binding arbitration, to the extent permitted by applicable law. The disputes that the parties agree to submit to final and binding arbitration include but are not limited to any statutory claims under any state or federal law, as well as any common law claims of harassment, discrimination, wrongful termination, retaliation, fraud, negligent misrepresentation, breach of contract and any statutory or common law claims for unpaid wages, wage and hour claims, commissions, overtime, bonus or other compensation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1073785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6600825" cy="6000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6600825" cy="60007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39" w:name="page140"/>
    <w:bookmarkEnd w:id="139"/>
    <w:p>
      <w:pPr>
        <w:jc w:val="both"/>
        <w:spacing w:after="0" w:line="242" w:lineRule="auto"/>
        <w:rPr>
          <w:sz w:val="20"/>
          <w:szCs w:val="20"/>
          <w:color w:val="auto"/>
        </w:rPr>
      </w:pPr>
      <w:r>
        <w:rPr>
          <w:rFonts w:ascii="Times New Roman" w:cs="Times New Roman" w:eastAsia="Times New Roman" w:hAnsi="Times New Roman"/>
          <w:sz w:val="19"/>
          <w:szCs w:val="19"/>
          <w:color w:val="auto"/>
        </w:rPr>
        <w:t>permitted by applicable law. Your further waive the ability to file or participate in class action or collective claims against the Company, and agree to pursue all claims individually in arbitration. Notwithstanding anything to contrary herein, either party may seek a temporary restraining order, preliminary injunction or other provisional injunctive or declaratory relief in any court of competent jurisdiction at any time to ensure that the relief sought in arbitration is not rendered ineffectual by any interim harm. The Company will pay all administrative fees unique to the arbitration service, including the arbitrator’s fees, but each party is solely responsible for its own attorneys’ fees, costs and expert fees; provided, however, that the arbitrator shall have authority to make statutory fee awards in favor of a prevailing party and consistent with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Acknowledgements</w:t>
      </w:r>
    </w:p>
    <w:p>
      <w:pPr>
        <w:spacing w:after="0" w:line="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By signing below, you agree that your employment with CytomX is “at will,” which means you may terminate your employment with the Company at any time and for any reason whatsoever simply by notifying CytomX, and likewise, CytomX may terminate your employment at any time and for any reason whatsoever, with or without cause or advance notice. This at-will employment relationship cannot be changed except in a writing signed by a Company officer. The Company reserves the right, in its sole discretion, to adjust salaries, incentive compensation, stock plans, employee benefits, job titles, locations, duties, responsibilities and reporting relationships.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This letter, together with the Proprietary Information and Inventions Agreement and Company policies, forms the complete and exclusive statement of your employment terms with CytomX. The terms in this letter supersede any other agreements or promises made to you by anyone, whether oral or written. Changes in your agreement terms, other than those changes expressly reserved to the Company’s discretion in this letter, require a written modification signed by an officer of the Company. As required by law, this offer is subject to satisfactory proof of your right to work in the United States of America.</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The Company reserves the right to conduct background investigations and/or reference checks on all of its potential employees. Your employment offer, therefore, is contingent upon a clearance of such a background investigation and/or reference check.</w:t>
      </w:r>
    </w:p>
    <w:p>
      <w:pPr>
        <w:spacing w:after="0" w:line="16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b w:val="1"/>
          <w:bCs w:val="1"/>
          <w:color w:val="auto"/>
        </w:rPr>
        <w:t>Please sign and date this letter and return it to the Company by [***]</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b w:val="1"/>
          <w:bCs w:val="1"/>
          <w:color w:val="auto"/>
        </w:rPr>
        <w:t xml:space="preserve"> if you wish to accept employment at CytomX under the terms described above, including the arbitration agreement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welcome you to the CytomX team and look forward to your contribution to the Company’s success.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Sincerely,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/s/Sean McCarthy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Sean McCarthy, D. Phil</w:t>
      </w:r>
    </w:p>
    <w:p>
      <w:pPr>
        <w:spacing w:after="0"/>
        <w:rPr>
          <w:sz w:val="20"/>
          <w:szCs w:val="20"/>
          <w:color w:val="auto"/>
        </w:rPr>
      </w:pPr>
      <w:r>
        <w:rPr>
          <w:rFonts w:ascii="Times New Roman" w:cs="Times New Roman" w:eastAsia="Times New Roman" w:hAnsi="Times New Roman"/>
          <w:sz w:val="19"/>
          <w:szCs w:val="19"/>
          <w:color w:val="auto"/>
        </w:rPr>
        <w:t>Chief Executive Officer and Chairman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Accepted:</w:t>
            </w: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/s/ Rachael Lester</w:t>
            </w:r>
          </w:p>
        </w:tc>
        <w:tc>
          <w:tcPr>
            <w:tcW w:w="440" w:type="dxa"/>
            <w:vAlign w:val="bottom"/>
          </w:tcPr>
          <w:p>
            <w:pPr>
              <w:spacing w:after="0"/>
              <w:rPr>
                <w:sz w:val="24"/>
                <w:szCs w:val="24"/>
                <w:color w:val="auto"/>
              </w:rPr>
            </w:pPr>
          </w:p>
        </w:tc>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auto"/>
              </w:rPr>
              <w:t>October 20, 2025</w:t>
            </w:r>
          </w:p>
        </w:tc>
        <w:tc>
          <w:tcPr>
            <w:tcW w:w="0" w:type="dxa"/>
            <w:vAlign w:val="bottom"/>
          </w:tcPr>
          <w:p>
            <w:pPr>
              <w:spacing w:after="0"/>
              <w:rPr>
                <w:sz w:val="1"/>
                <w:szCs w:val="1"/>
                <w:color w:val="auto"/>
              </w:rPr>
            </w:pPr>
          </w:p>
        </w:tc>
      </w:tr>
      <w:tr>
        <w:trPr>
          <w:trHeight w:val="202"/>
        </w:trPr>
        <w:tc>
          <w:tcPr>
            <w:tcW w:w="222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_______________________</w:t>
            </w:r>
          </w:p>
        </w:tc>
        <w:tc>
          <w:tcPr>
            <w:tcW w:w="440" w:type="dxa"/>
            <w:vAlign w:val="bottom"/>
          </w:tcPr>
          <w:p>
            <w:pPr>
              <w:spacing w:after="0"/>
              <w:rPr>
                <w:sz w:val="17"/>
                <w:szCs w:val="17"/>
                <w:color w:val="auto"/>
              </w:rPr>
            </w:pPr>
          </w:p>
        </w:tc>
        <w:tc>
          <w:tcPr>
            <w:tcW w:w="8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Rachael G. Lester</w:t>
            </w:r>
          </w:p>
        </w:tc>
        <w:tc>
          <w:tcPr>
            <w:tcW w:w="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vMerge w:val="continue"/>
          </w:tcPr>
          <w:p>
            <w:pPr>
              <w:spacing w:after="0"/>
              <w:rPr>
                <w:sz w:val="20"/>
                <w:szCs w:val="20"/>
                <w:color w:val="auto"/>
              </w:rPr>
            </w:pPr>
          </w:p>
        </w:tc>
        <w:tc>
          <w:tcPr>
            <w:tcW w:w="90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Start Date (Mondays)</w:t>
            </w:r>
          </w:p>
        </w:tc>
        <w:tc>
          <w:tcPr>
            <w:tcW w:w="0" w:type="dxa"/>
            <w:vAlign w:val="bottom"/>
          </w:tcPr>
          <w:p>
            <w:pPr>
              <w:spacing w:after="0"/>
              <w:rPr>
                <w:sz w:val="1"/>
                <w:szCs w:val="1"/>
                <w:color w:val="auto"/>
              </w:rPr>
            </w:pPr>
          </w:p>
        </w:tc>
      </w:tr>
      <w:tr>
        <w:trPr>
          <w:trHeight w:val="620"/>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9/21/2025</w:t>
            </w:r>
          </w:p>
        </w:tc>
        <w:tc>
          <w:tcPr>
            <w:tcW w:w="90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/s/Lindsay Yamamoto</w:t>
            </w:r>
          </w:p>
        </w:tc>
        <w:tc>
          <w:tcPr>
            <w:tcW w:w="0" w:type="dxa"/>
            <w:vAlign w:val="bottom"/>
          </w:tcPr>
          <w:p>
            <w:pPr>
              <w:spacing w:after="0"/>
              <w:rPr>
                <w:sz w:val="1"/>
                <w:szCs w:val="1"/>
                <w:color w:val="auto"/>
              </w:rPr>
            </w:pPr>
          </w:p>
        </w:tc>
      </w:tr>
      <w:tr>
        <w:trPr>
          <w:trHeight w:val="216"/>
        </w:trPr>
        <w:tc>
          <w:tcPr>
            <w:tcW w:w="2220" w:type="dxa"/>
            <w:vAlign w:val="bottom"/>
          </w:tcPr>
          <w:p>
            <w:pPr>
              <w:spacing w:after="0" w:line="216" w:lineRule="exact"/>
              <w:rPr>
                <w:sz w:val="20"/>
                <w:szCs w:val="20"/>
                <w:color w:val="auto"/>
              </w:rPr>
            </w:pPr>
            <w:r>
              <w:rPr>
                <w:rFonts w:ascii="Times New Roman" w:cs="Times New Roman" w:eastAsia="Times New Roman" w:hAnsi="Times New Roman"/>
                <w:sz w:val="19"/>
                <w:szCs w:val="19"/>
                <w:color w:val="auto"/>
              </w:rPr>
              <w:t>_______________________</w:t>
            </w:r>
          </w:p>
        </w:tc>
        <w:tc>
          <w:tcPr>
            <w:tcW w:w="9020" w:type="dxa"/>
            <w:vAlign w:val="bottom"/>
            <w:gridSpan w:val="3"/>
          </w:tcPr>
          <w:p>
            <w:pPr>
              <w:ind w:left="440"/>
              <w:spacing w:after="0" w:line="216" w:lineRule="exact"/>
              <w:rPr>
                <w:sz w:val="20"/>
                <w:szCs w:val="20"/>
                <w:color w:val="auto"/>
              </w:rPr>
            </w:pPr>
            <w:r>
              <w:rPr>
                <w:rFonts w:ascii="Times New Roman" w:cs="Times New Roman" w:eastAsia="Times New Roman" w:hAnsi="Times New Roman"/>
                <w:sz w:val="19"/>
                <w:szCs w:val="19"/>
                <w:color w:val="auto"/>
              </w:rPr>
              <w:t>_______________________</w:t>
            </w: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0"/>
                <w:szCs w:val="20"/>
                <w:color w:val="auto"/>
              </w:rPr>
            </w:pPr>
            <w:r>
              <w:rPr>
                <w:rFonts w:ascii="Times New Roman" w:cs="Times New Roman" w:eastAsia="Times New Roman" w:hAnsi="Times New Roman"/>
                <w:sz w:val="19"/>
                <w:szCs w:val="19"/>
                <w:color w:val="auto"/>
              </w:rPr>
              <w:t>Signature Date</w:t>
            </w:r>
          </w:p>
        </w:tc>
        <w:tc>
          <w:tcPr>
            <w:tcW w:w="440" w:type="dxa"/>
            <w:vAlign w:val="bottom"/>
          </w:tcPr>
          <w:p>
            <w:pPr>
              <w:spacing w:after="0"/>
              <w:rPr>
                <w:sz w:val="21"/>
                <w:szCs w:val="21"/>
                <w:color w:val="auto"/>
              </w:rPr>
            </w:pPr>
          </w:p>
        </w:tc>
        <w:tc>
          <w:tcPr>
            <w:tcW w:w="85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HR Review</w:t>
            </w:r>
          </w:p>
        </w:tc>
        <w:tc>
          <w:tcPr>
            <w:tcW w:w="0" w:type="dxa"/>
            <w:vAlign w:val="bottom"/>
          </w:tcPr>
          <w:p>
            <w:pPr>
              <w:spacing w:after="0"/>
              <w:rPr>
                <w:sz w:val="1"/>
                <w:szCs w:val="1"/>
                <w:color w:val="auto"/>
              </w:rPr>
            </w:pPr>
          </w:p>
        </w:tc>
      </w:tr>
      <w:tr>
        <w:trPr>
          <w:trHeight w:val="1706"/>
        </w:trPr>
        <w:tc>
          <w:tcPr>
            <w:tcW w:w="2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6600825" cy="6000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6600825" cy="60007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color w:val="auto"/>
        </w:rPr>
        <w:t>Exhibit 10.17(b)</w:t>
      </w:r>
    </w:p>
    <w:p>
      <w:pPr>
        <w:spacing w:after="0" w:line="200" w:lineRule="exact"/>
        <w:rPr>
          <w:sz w:val="20"/>
          <w:szCs w:val="20"/>
          <w:color w:val="auto"/>
        </w:rPr>
      </w:pPr>
    </w:p>
    <w:p>
      <w:pPr>
        <w:spacing w:after="0" w:line="35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i w:val="1"/>
          <w:iCs w:val="1"/>
          <w:color w:val="auto"/>
        </w:rPr>
        <w:t>Certain identified information has been excluded from the exhibit because it is both (i) not material and (ii) may be competitively harmful if publicly disclosed.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20,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Eliot Green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VP, Business Development</w:t>
      </w:r>
    </w:p>
    <w:p>
      <w:pPr>
        <w:spacing w:after="0" w:line="230" w:lineRule="auto"/>
        <w:rPr>
          <w:sz w:val="20"/>
          <w:szCs w:val="20"/>
          <w:color w:val="auto"/>
        </w:rPr>
      </w:pPr>
      <w:r>
        <w:rPr>
          <w:rFonts w:ascii="Times New Roman" w:cs="Times New Roman" w:eastAsia="Times New Roman" w:hAnsi="Times New Roman"/>
          <w:sz w:val="22"/>
          <w:szCs w:val="22"/>
          <w:color w:val="auto"/>
        </w:rPr>
        <w:t>ModernaTX, Inc.</w:t>
      </w:r>
    </w:p>
    <w:p>
      <w:pPr>
        <w:spacing w:after="0" w:line="231" w:lineRule="auto"/>
        <w:rPr>
          <w:sz w:val="20"/>
          <w:szCs w:val="20"/>
          <w:color w:val="auto"/>
        </w:rPr>
      </w:pPr>
      <w:r>
        <w:rPr>
          <w:rFonts w:ascii="Times New Roman" w:cs="Times New Roman" w:eastAsia="Times New Roman" w:hAnsi="Times New Roman"/>
          <w:sz w:val="22"/>
          <w:szCs w:val="22"/>
          <w:color w:val="auto"/>
        </w:rPr>
        <w:t>325 Binney Street</w:t>
      </w:r>
    </w:p>
    <w:p>
      <w:pPr>
        <w:spacing w:after="0" w:line="230" w:lineRule="auto"/>
        <w:rPr>
          <w:sz w:val="20"/>
          <w:szCs w:val="20"/>
          <w:color w:val="auto"/>
        </w:rPr>
      </w:pPr>
      <w:r>
        <w:rPr>
          <w:rFonts w:ascii="Times New Roman" w:cs="Times New Roman" w:eastAsia="Times New Roman" w:hAnsi="Times New Roman"/>
          <w:sz w:val="22"/>
          <w:szCs w:val="22"/>
          <w:color w:val="auto"/>
        </w:rPr>
        <w:t>Cambridge, Massachusetts 02142 USA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Via email to: [***]</w:t>
      </w:r>
    </w:p>
    <w:p>
      <w:pPr>
        <w:spacing w:after="0" w:line="200" w:lineRule="exact"/>
        <w:rPr>
          <w:sz w:val="20"/>
          <w:szCs w:val="20"/>
          <w:color w:val="auto"/>
        </w:rPr>
      </w:pPr>
    </w:p>
    <w:p>
      <w:pPr>
        <w:spacing w:after="0" w:line="221" w:lineRule="exact"/>
        <w:rPr>
          <w:sz w:val="20"/>
          <w:szCs w:val="20"/>
          <w:color w:val="auto"/>
        </w:rPr>
      </w:pPr>
    </w:p>
    <w:p>
      <w:pPr>
        <w:ind w:right="5120" w:firstLine="749"/>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RE: Amendment to Collaboration and License Agreement </w:t>
      </w:r>
      <w:r>
        <w:rPr>
          <w:rFonts w:ascii="Times New Roman" w:cs="Times New Roman" w:eastAsia="Times New Roman" w:hAnsi="Times New Roman"/>
          <w:sz w:val="22"/>
          <w:szCs w:val="22"/>
          <w:color w:val="auto"/>
        </w:rPr>
        <w:t>Dear Mr. Green:</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 am writing with respect to the Collaboration and License Agreement between CytomX Therapeutics, Inc. (“CytomX”) and ModernaTX, Inc. (“Moderna”), dated as of December 30, 2022 (“Agreement”). Capitalized terms used but not defined herein shall have the meanings ascribed to them in the Agreement.</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Specifically, Moderna and CytomX have agreed to modify certain terms and conditions of the Agreement with respect to certain [***], as follows:</w:t>
      </w:r>
    </w:p>
    <w:p>
      <w:pPr>
        <w:spacing w:after="0" w:line="158" w:lineRule="exact"/>
        <w:rPr>
          <w:sz w:val="20"/>
          <w:szCs w:val="20"/>
          <w:color w:val="auto"/>
        </w:rPr>
      </w:pPr>
    </w:p>
    <w:p>
      <w:pPr>
        <w:ind w:left="1180" w:hanging="423"/>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shall be added as a new Section 8.2.3(c):</w:t>
      </w:r>
    </w:p>
    <w:p>
      <w:pPr>
        <w:spacing w:after="0" w:line="202" w:lineRule="exact"/>
        <w:rPr>
          <w:sz w:val="20"/>
          <w:szCs w:val="20"/>
          <w:color w:val="auto"/>
        </w:rPr>
      </w:pPr>
    </w:p>
    <w:p>
      <w:pPr>
        <w:jc w:val="both"/>
        <w:ind w:left="1140"/>
        <w:spacing w:after="0" w:line="236" w:lineRule="auto"/>
        <w:rPr>
          <w:sz w:val="20"/>
          <w:szCs w:val="20"/>
          <w:color w:val="auto"/>
        </w:rPr>
      </w:pPr>
      <w:r>
        <w:rPr>
          <w:rFonts w:ascii="Times New Roman" w:cs="Times New Roman" w:eastAsia="Times New Roman" w:hAnsi="Times New Roman"/>
          <w:sz w:val="22"/>
          <w:szCs w:val="22"/>
          <w:color w:val="auto"/>
        </w:rPr>
        <w:t>“(c) The “[***]” shall mean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and all divisionals, continuations (in whole or in part), or requests for continued examination of any of such patents and patent applications, all patents and patent applications that claim priority thereto, and any and all patents or certificates of invention issuing thereon, and any and all reissues, reviews, reexaminations, extensions, renewals, substitutions, confirmations, registrations, revalidations, revisions, and additions of or to any of the foregoing. Notwithstanding anything to the contrary in Section 8.2.3(a) or (b), [***];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each [***]. The Parties shall [***]. Each Party will [***] before filing. [***]. For clarity, in the event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disagreement between the Parties with respect to such activities,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specifically modified hereby, the Agreement shall continue in full force and effect, as provided therein.</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Please sign and return to me a copy of this letter to indicate your acknowledgement and agreement with respect to the matters described herein.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b w:val="1"/>
          <w:bCs w:val="1"/>
          <w:color w:val="auto"/>
        </w:rPr>
        <w:t>CytomX Therapeutics, Inc.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Sean McCarthy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Sean McCarthy, Chief Executive Officer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ModernaTX, Inc.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Eliot Green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Eliot Green, VP, Business Development</w:t>
      </w:r>
    </w:p>
    <w:p>
      <w:pPr>
        <w:spacing w:after="0" w:line="39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140" w:hanging="758"/>
        <w:spacing w:after="0"/>
        <w:tabs>
          <w:tab w:leader="none" w:pos="1140" w:val="left"/>
        </w:tabs>
        <w:numPr>
          <w:ilvl w:val="0"/>
          <w:numId w:val="58"/>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Statements (Form S-3 Nos. 333-274010, 333-281433 and 333-289365) of CytomX Therapeutics, Inc., and</w:t>
      </w:r>
    </w:p>
    <w:p>
      <w:pPr>
        <w:spacing w:after="0" w:line="116" w:lineRule="exact"/>
        <w:rPr>
          <w:rFonts w:ascii="Arial" w:cs="Arial" w:eastAsia="Arial" w:hAnsi="Arial"/>
          <w:sz w:val="18"/>
          <w:szCs w:val="18"/>
          <w:color w:val="auto"/>
        </w:rPr>
      </w:pPr>
    </w:p>
    <w:p>
      <w:pPr>
        <w:ind w:left="1140" w:right="140" w:hanging="758"/>
        <w:spacing w:after="0" w:line="265" w:lineRule="auto"/>
        <w:tabs>
          <w:tab w:leader="none" w:pos="1140" w:val="left"/>
        </w:tabs>
        <w:numPr>
          <w:ilvl w:val="0"/>
          <w:numId w:val="58"/>
        </w:numPr>
        <w:rPr>
          <w:rFonts w:ascii="Arial" w:cs="Arial" w:eastAsia="Arial" w:hAnsi="Arial"/>
          <w:sz w:val="18"/>
          <w:szCs w:val="18"/>
          <w:color w:val="auto"/>
        </w:rPr>
      </w:pPr>
      <w:r>
        <w:rPr>
          <w:rFonts w:ascii="Times New Roman" w:cs="Times New Roman" w:eastAsia="Times New Roman" w:hAnsi="Times New Roman"/>
          <w:sz w:val="18"/>
          <w:szCs w:val="18"/>
          <w:color w:val="auto"/>
        </w:rPr>
        <w:t>Registration Statements (Form S-8 Nos. 333-207694, 333-209992, 333-215795, 333-223491, 333-229916, 333-236711, 333-253452, 333-255832, 333-263321, 333-270869, 333-277819, 333-285594, and 333-289370) pertaining to the Amended and Restated 2015 Equity Incentive Plan, the Employee Stock Purchase Plan and the 2019 Employment Inducement Incentive Plan of CytomX Therapeutics, Inc.;</w:t>
      </w:r>
    </w:p>
    <w:p>
      <w:pPr>
        <w:spacing w:after="0" w:line="6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of our reports dated March 16, 2026, with respect to the financial statements of CytomX Therapeutics, Inc. and the effectiveness of internal control over financial reporting of CytomX Therapeutics, Inc. included in this Annual Report (Form 10-K) of CytomX Therapeutics Inc.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1373505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McCarthy, Chief Executive Officer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CytomX Therapeutics, Inc. for the year ended December 31, 2025;</w:t>
      </w:r>
    </w:p>
    <w:p>
      <w:pPr>
        <w:spacing w:after="0" w:line="117"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63"/>
        <w:spacing w:after="0" w:line="282"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hanging="363"/>
        <w:spacing w:after="0" w:line="266"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363"/>
        <w:spacing w:after="0" w:line="312" w:lineRule="auto"/>
        <w:tabs>
          <w:tab w:leader="none" w:pos="7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/s/ Sean A.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41744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Sean A. McCarthy, D.Phil.</w:t>
      </w:r>
    </w:p>
    <w:p>
      <w:pPr>
        <w:spacing w:after="0" w:line="2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4" w:name="page145"/>
    <w:bookmarkEnd w:id="1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 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W. Ogden, Chief Financial Officer of CytomX Therapeutics, Inc., certify that:</w:t>
      </w:r>
    </w:p>
    <w:p>
      <w:pPr>
        <w:spacing w:after="0" w:line="117" w:lineRule="exact"/>
        <w:rPr>
          <w:sz w:val="20"/>
          <w:szCs w:val="20"/>
          <w:color w:val="auto"/>
        </w:rPr>
      </w:pPr>
    </w:p>
    <w:p>
      <w:pPr>
        <w:ind w:left="760" w:hanging="363"/>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CytomX Therapeutics, Inc. for the year ended December 31, 2025;</w:t>
      </w:r>
    </w:p>
    <w:p>
      <w:pPr>
        <w:spacing w:after="0" w:line="117" w:lineRule="exact"/>
        <w:rPr>
          <w:rFonts w:ascii="Times New Roman" w:cs="Times New Roman" w:eastAsia="Times New Roman" w:hAnsi="Times New Roman"/>
          <w:sz w:val="18"/>
          <w:szCs w:val="18"/>
          <w:color w:val="auto"/>
        </w:rPr>
      </w:pPr>
    </w:p>
    <w:p>
      <w:pPr>
        <w:jc w:val="both"/>
        <w:ind w:left="760" w:right="20" w:hanging="363"/>
        <w:spacing w:after="0" w:line="266"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760" w:right="240" w:hanging="363"/>
        <w:spacing w:after="0" w:line="282"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60" w:hanging="363"/>
        <w:spacing w:after="0" w:line="266"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383"/>
        <w:spacing w:after="0" w:line="312" w:lineRule="auto"/>
        <w:tabs>
          <w:tab w:leader="none" w:pos="114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80" w:hanging="383"/>
        <w:spacing w:after="0" w:line="266" w:lineRule="auto"/>
        <w:tabs>
          <w:tab w:leader="none" w:pos="11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760" w:right="160" w:hanging="363"/>
        <w:spacing w:after="0" w:line="312" w:lineRule="auto"/>
        <w:tabs>
          <w:tab w:leader="none" w:pos="7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140" w:right="620" w:hanging="383"/>
        <w:spacing w:after="0" w:line="282" w:lineRule="auto"/>
        <w:tabs>
          <w:tab w:leader="none" w:pos="11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/s/ Christopher W. Ogden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41744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b w:val="1"/>
          <w:bCs w:val="1"/>
          <w:color w:val="auto"/>
        </w:rPr>
        <w:t>Christopher W. Ogden</w:t>
      </w:r>
    </w:p>
    <w:p>
      <w:pPr>
        <w:spacing w:after="0" w:line="2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CERTIFICATIONS*</w:t>
      </w:r>
    </w:p>
    <w:p>
      <w:pPr>
        <w:spacing w:after="0" w:line="229" w:lineRule="exact"/>
        <w:rPr>
          <w:sz w:val="20"/>
          <w:szCs w:val="20"/>
          <w:color w:val="auto"/>
        </w:rPr>
      </w:pPr>
    </w:p>
    <w:p>
      <w:pPr>
        <w:jc w:val="both"/>
        <w:ind w:right="40" w:firstLine="478"/>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 1350), Sean A. McCarthy, D.Phil., Chief Executive Officer of CytomX Therapeutics, Inc. (the “Company”) and Christopher W. Ogden, Chief Financial Officer of the Company, each hereby certify that, to the best of his knowledge:</w:t>
      </w:r>
    </w:p>
    <w:p>
      <w:pPr>
        <w:spacing w:after="0" w:line="68" w:lineRule="exact"/>
        <w:rPr>
          <w:sz w:val="20"/>
          <w:szCs w:val="20"/>
          <w:color w:val="auto"/>
        </w:rPr>
      </w:pPr>
    </w:p>
    <w:p>
      <w:pPr>
        <w:ind w:right="240" w:firstLine="486"/>
        <w:spacing w:after="0" w:line="282" w:lineRule="auto"/>
        <w:tabs>
          <w:tab w:leader="none" w:pos="6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2025 to which this Certification is attached as Exhibit 32.1 (the “Annual Report”), fully complies with the requirements of Section 13(a) or 15(d) of the Exchange Act; and</w:t>
      </w:r>
    </w:p>
    <w:p>
      <w:pPr>
        <w:spacing w:after="0" w:line="53" w:lineRule="exact"/>
        <w:rPr>
          <w:rFonts w:ascii="Times New Roman" w:cs="Times New Roman" w:eastAsia="Times New Roman" w:hAnsi="Times New Roman"/>
          <w:sz w:val="18"/>
          <w:szCs w:val="18"/>
          <w:color w:val="auto"/>
        </w:rPr>
      </w:pPr>
    </w:p>
    <w:p>
      <w:pPr>
        <w:ind w:right="340" w:firstLine="486"/>
        <w:spacing w:after="0" w:line="282" w:lineRule="auto"/>
        <w:tabs>
          <w:tab w:leader="none" w:pos="65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 for the period covered by the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16, 2026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A. McCarthy</w:t>
            </w:r>
          </w:p>
        </w:tc>
        <w:tc>
          <w:tcPr>
            <w:tcW w:w="360" w:type="dxa"/>
            <w:vAlign w:val="bottom"/>
          </w:tcPr>
          <w:p>
            <w:pPr>
              <w:spacing w:after="0"/>
              <w:rPr>
                <w:sz w:val="20"/>
                <w:szCs w:val="20"/>
                <w:color w:val="auto"/>
              </w:rPr>
            </w:pPr>
          </w:p>
        </w:tc>
        <w:tc>
          <w:tcPr>
            <w:tcW w:w="5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Christopher W. Ogden</w:t>
            </w:r>
          </w:p>
        </w:tc>
      </w:tr>
      <w:tr>
        <w:trPr>
          <w:trHeight w:val="214"/>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Sean A. McCarthy, D.Phil.</w:t>
            </w:r>
          </w:p>
        </w:tc>
        <w:tc>
          <w:tcPr>
            <w:tcW w:w="36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Christopher W. Ogden</w:t>
            </w:r>
          </w:p>
        </w:tc>
      </w:tr>
      <w:tr>
        <w:trPr>
          <w:trHeight w:val="218"/>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360" w:type="dxa"/>
            <w:vAlign w:val="bottom"/>
          </w:tcPr>
          <w:p>
            <w:pPr>
              <w:spacing w:after="0"/>
              <w:rPr>
                <w:sz w:val="18"/>
                <w:szCs w:val="18"/>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6"/>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60" w:type="dxa"/>
            <w:vAlign w:val="bottom"/>
          </w:tcPr>
          <w:p>
            <w:pPr>
              <w:spacing w:after="0"/>
              <w:rPr>
                <w:sz w:val="20"/>
                <w:szCs w:val="20"/>
                <w:color w:val="auto"/>
              </w:rPr>
            </w:pPr>
          </w:p>
        </w:tc>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(Principal Accounting and Finance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29146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right="140" w:firstLine="8"/>
        <w:spacing w:after="0" w:line="266" w:lineRule="auto"/>
        <w:tabs>
          <w:tab w:leader="none" w:pos="1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6" w:name="page147"/>
    <w:bookmarkEnd w:id="1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5"/>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8"/>
    </w:lvl>
    <w:lvl w:ilvl="1">
      <w:lvlJc w:val="left"/>
      <w:lvlText w:val="•"/>
      <w:numFmt w:val="bullet"/>
      <w:start w:val="1"/>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2"/>
    </w:lvl>
  </w:abstractNum>
  <w:abstractNum w:abstractNumId="50">
    <w:nsid w:val="39386575"/>
    <w:multiLevelType w:val="hybridMultilevel"/>
    <w:lvl w:ilvl="0">
      <w:lvlJc w:val="left"/>
      <w:lvlText w:val="(%1)"/>
      <w:numFmt w:val="decimal"/>
      <w:start w:val="3"/>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49" Type="http://schemas.openxmlformats.org/officeDocument/2006/relationships/image" Target="media/image327.png"/><Relationship Id="rId365"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8" Type="http://schemas.openxmlformats.org/officeDocument/2006/relationships/image" Target="media/image337.png"/><Relationship Id="rId379" Type="http://schemas.openxmlformats.org/officeDocument/2006/relationships/image" Target="media/image338.png"/><Relationship Id="rId381" Type="http://schemas.openxmlformats.org/officeDocument/2006/relationships/image" Target="media/image339.png"/><Relationship Id="rId382"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6" Type="http://schemas.openxmlformats.org/officeDocument/2006/relationships/image" Target="media/image349.png"/><Relationship Id="rId397"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2" Type="http://schemas.openxmlformats.org/officeDocument/2006/relationships/image" Target="media/image353.png"/><Relationship Id="rId403" Type="http://schemas.openxmlformats.org/officeDocument/2006/relationships/image" Target="media/image354.png"/><Relationship Id="rId404" Type="http://schemas.openxmlformats.org/officeDocument/2006/relationships/image" Target="media/image355.png"/><Relationship Id="rId405"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3" Type="http://schemas.openxmlformats.org/officeDocument/2006/relationships/image" Target="media/image361.png"/><Relationship Id="rId414" Type="http://schemas.openxmlformats.org/officeDocument/2006/relationships/image" Target="media/image362.png"/><Relationship Id="rId416" Type="http://schemas.openxmlformats.org/officeDocument/2006/relationships/image" Target="media/image363.png"/><Relationship Id="rId417" Type="http://schemas.openxmlformats.org/officeDocument/2006/relationships/image" Target="media/image364.png"/><Relationship Id="rId418"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jpeg"/><Relationship Id="rId430" Type="http://schemas.openxmlformats.org/officeDocument/2006/relationships/image" Target="media/image375.png"/><Relationship Id="rId431" Type="http://schemas.openxmlformats.org/officeDocument/2006/relationships/image" Target="media/image376.jpeg"/><Relationship Id="rId432" Type="http://schemas.openxmlformats.org/officeDocument/2006/relationships/image" Target="media/image377.png"/><Relationship Id="rId433" Type="http://schemas.openxmlformats.org/officeDocument/2006/relationships/image" Target="media/image378.jpe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jpe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334" Type="http://schemas.openxmlformats.org/officeDocument/2006/relationships/hyperlink" Target="https://www.sec.gov/ix?doc=/Archives/edgar/data/0001501989/000119312524141699/d816353d8k.htm" TargetMode="External"/><Relationship Id="rId335" Type="http://schemas.openxmlformats.org/officeDocument/2006/relationships/hyperlink" Target="https://www.sec.gov/ix?doc=/Archives/edgar/data/0001501989/000119312524075211/d803852d8k.htm" TargetMode="External"/><Relationship Id="rId336" Type="http://schemas.openxmlformats.org/officeDocument/2006/relationships/hyperlink" Target="https://www.sec.gov/Archives/edgar/data/0001501989/000119312515329662/d948537dex41.htm" TargetMode="External"/><Relationship Id="rId337" Type="http://schemas.openxmlformats.org/officeDocument/2006/relationships/hyperlink" Target="https://www.sec.gov/Archives/edgar/data/0001501989/000156459017022252/ctmx-ex44_91.htm" TargetMode="External"/><Relationship Id="rId338" Type="http://schemas.openxmlformats.org/officeDocument/2006/relationships/hyperlink" Target="https://www.sec.gov/Archives/edgar/data/1501989/000156459020037722/ctmx-ex44_216.htm" TargetMode="External"/><Relationship Id="rId339" Type="http://schemas.openxmlformats.org/officeDocument/2006/relationships/hyperlink" Target="https://www.sec.gov/Archives/edgar/data/1501989/000119312523180722/d500160dex41.htm" TargetMode="External"/><Relationship Id="rId340" Type="http://schemas.openxmlformats.org/officeDocument/2006/relationships/hyperlink" Target="https://www.sec.gov/Archives/edgar/data/1501989/000119312523180722/d500160dex42.htm" TargetMode="External"/><Relationship Id="rId341" Type="http://schemas.openxmlformats.org/officeDocument/2006/relationships/hyperlink" Target="https://www.sec.gov/Archives/edgar/data/0001501989/000119312515307013/d948537dex103.htm" TargetMode="External"/><Relationship Id="rId342" Type="http://schemas.openxmlformats.org/officeDocument/2006/relationships/hyperlink" Target="https://www.sec.gov/Archives/edgar/data/0001501989/000119312515307013/d948537dex104.htm" TargetMode="External"/><Relationship Id="rId343" Type="http://schemas.openxmlformats.org/officeDocument/2006/relationships/hyperlink" Target="https://www.sec.gov/Archives/edgar/data/1501989/000095017025068511/ctmx-ex10_1.htm" TargetMode="External"/><Relationship Id="rId344" Type="http://schemas.openxmlformats.org/officeDocument/2006/relationships/hyperlink" Target="https://www.sec.gov/Archives/edgar/data/0001501989/000119312515307013/d948537dex101.htm" TargetMode="External"/><Relationship Id="rId345" Type="http://schemas.openxmlformats.org/officeDocument/2006/relationships/hyperlink" Target="https://www.sec.gov/Archives/edgar/data/0001501989/000119312515307013/d948537dex102.htm" TargetMode="External"/><Relationship Id="rId346" Type="http://schemas.openxmlformats.org/officeDocument/2006/relationships/hyperlink" Target="https://www.sec.gov/Archives/edgar/data/0001501989/000156459015010977/ctmx-ex104_591.htm" TargetMode="External"/><Relationship Id="rId347" Type="http://schemas.openxmlformats.org/officeDocument/2006/relationships/hyperlink" Target="https://www.sec.gov/Archives/edgar/data/1501989/000119312525140739/d948514dex101.htm" TargetMode="External"/><Relationship Id="rId348" Type="http://schemas.openxmlformats.org/officeDocument/2006/relationships/hyperlink" Target="https://www.sec.gov/Archives/edgar/data/0001501989/000156459015010977/ctmx-ex105_592.htm" TargetMode="External"/><Relationship Id="rId350" Type="http://schemas.openxmlformats.org/officeDocument/2006/relationships/hyperlink" Target="https://www.sec.gov/Archives/edgar/data/1501989/000095017022002519/ctmx-ex10_3.htm" TargetMode="External"/><Relationship Id="rId351" Type="http://schemas.openxmlformats.org/officeDocument/2006/relationships/hyperlink" Target="https://www.sec.gov/Archives/edgar/data/1501989/000156459019041726/ctmx-ex101_559.htm" TargetMode="External"/><Relationship Id="rId352" Type="http://schemas.openxmlformats.org/officeDocument/2006/relationships/hyperlink" Target="https://www.sec.gov/Archives/edgar/data/1501989/000156459019041726/ctmx-ex102_564.htm" TargetMode="External"/><Relationship Id="rId353" Type="http://schemas.openxmlformats.org/officeDocument/2006/relationships/hyperlink" Target="https://www.sec.gov/Archives/edgar/data/1501989/000095017025104991/ctmx-ex10_2.htm" TargetMode="External"/><Relationship Id="rId354" Type="http://schemas.openxmlformats.org/officeDocument/2006/relationships/hyperlink" Target="https://www.sec.gov/Archives/edgar/data/0001501989/000119312515307013/d948537dex1016.htm" TargetMode="External"/><Relationship Id="rId355" Type="http://schemas.openxmlformats.org/officeDocument/2006/relationships/hyperlink" Target="https://www.sec.gov/Archives/edgar/data/0001501989/000119312515307013/d948537dex107.htm" TargetMode="External"/><Relationship Id="rId356" Type="http://schemas.openxmlformats.org/officeDocument/2006/relationships/hyperlink" Target="https://www.sec.gov/Archives/edgar/data/1501989/000156459019017968/ctmx-ex101_193.htm" TargetMode="External"/><Relationship Id="rId357" Type="http://schemas.openxmlformats.org/officeDocument/2006/relationships/hyperlink" Target="https://www.sec.gov/Archives/edgar/data/1501989/000095017023039761/ctmx-ex10_2.htm" TargetMode="External"/><Relationship Id="rId358" Type="http://schemas.openxmlformats.org/officeDocument/2006/relationships/hyperlink" Target="https://www.sec.gov/Archives/edgar/data/0001501989/000156459015011520/ctmx-ex101_6.htm" TargetMode="External"/><Relationship Id="rId359" Type="http://schemas.openxmlformats.org/officeDocument/2006/relationships/hyperlink" Target="https://www.sec.gov/Archives/edgar/data/1501989/000095017023019654/ctmx-ex10_1.htm" TargetMode="External"/><Relationship Id="rId360" Type="http://schemas.openxmlformats.org/officeDocument/2006/relationships/hyperlink" Target="https://www.sec.gov/Archives/edgar/data/1501989/000119312525269477/ctmx-ex10_2.htm" TargetMode="External"/><Relationship Id="rId361" Type="http://schemas.openxmlformats.org/officeDocument/2006/relationships/hyperlink" Target="https://www.sec.gov/Archives/edgar/data/0001501989/000119312515322694/d948537dex1021.htm" TargetMode="External"/><Relationship Id="rId362" Type="http://schemas.openxmlformats.org/officeDocument/2006/relationships/hyperlink" Target="https://www.sec.gov/Archives/edgar/data/1501989/000156459019017968/ctmx-ex106_447.htm" TargetMode="External"/><Relationship Id="rId363" Type="http://schemas.openxmlformats.org/officeDocument/2006/relationships/hyperlink" Target="https://www.sec.gov/Archives/edgar/data/1501989/000156459020051302/ctmx-ex102_356.htm" TargetMode="External"/><Relationship Id="rId364" Type="http://schemas.openxmlformats.org/officeDocument/2006/relationships/hyperlink" Target="https://www.sec.gov/Archives/edgar/data/0001501989/000156459017008943/ctmx-ex101_883.htm" TargetMode="External"/><Relationship Id="rId366" Type="http://schemas.openxmlformats.org/officeDocument/2006/relationships/hyperlink" Target="https://www.sec.gov/Archives/edgar/data/0001501989/000156459021024969/ctmx-ex102_137.htm" TargetMode="External"/><Relationship Id="rId370" Type="http://schemas.openxmlformats.org/officeDocument/2006/relationships/hyperlink" Target="https://www.sec.gov/Archives/edgar/data/1501989/000095017022023190/ctmx-ex10_6.htm" TargetMode="External"/><Relationship Id="rId374" Type="http://schemas.openxmlformats.org/officeDocument/2006/relationships/hyperlink" Target="https://www.sec.gov/Archives/edgar/data/0001501989/000156459017022252/ctmx-ex101_92.htm" TargetMode="External"/><Relationship Id="rId377" Type="http://schemas.openxmlformats.org/officeDocument/2006/relationships/hyperlink" Target="https://www.sec.gov/Archives/edgar/data/1501989/000156459020051302/ctmx-ex103_355.htm" TargetMode="External"/><Relationship Id="rId380" Type="http://schemas.openxmlformats.org/officeDocument/2006/relationships/hyperlink" Target="https://www.sec.gov/Archives/edgar/data/1501989/000095017022002519/ctmx-ex10_20.htm" TargetMode="External"/><Relationship Id="rId383" Type="http://schemas.openxmlformats.org/officeDocument/2006/relationships/hyperlink" Target="https://www.sec.gov/Archives/edgar/data/1501989/000095017023039761/ctmx-ex10_1.htm" TargetMode="External"/><Relationship Id="rId386" Type="http://schemas.openxmlformats.org/officeDocument/2006/relationships/hyperlink" Target="https://www.sec.gov/Archives/edgar/data/1501989/000095017024055588/ctmx-ex10_1.htm" TargetMode="External"/><Relationship Id="rId389" Type="http://schemas.openxmlformats.org/officeDocument/2006/relationships/hyperlink" Target="https://www.sec.gov/Archives/edgar/data/1501989/000156459018027387/ctmx-ex104_178.htm" TargetMode="External"/><Relationship Id="rId392" Type="http://schemas.openxmlformats.org/officeDocument/2006/relationships/hyperlink" Target="https://www.sec.gov/Archives/edgar/data/1501989/000095017023009991/ctmx-ex10_24.htm" TargetMode="External"/><Relationship Id="rId395" Type="http://schemas.openxmlformats.org/officeDocument/2006/relationships/hyperlink" Target="https://www.sec.gov/Archives/edgar/data/1501989/000095017024093865/ctmx-ex10_1.htm" TargetMode="External"/><Relationship Id="rId398" Type="http://schemas.openxmlformats.org/officeDocument/2006/relationships/hyperlink" Target="https://www.sec.gov/Archives/edgar/data/1501989/000119312525269477/ctmx-ex10_1.htm" TargetMode="External"/><Relationship Id="rId401" Type="http://schemas.openxmlformats.org/officeDocument/2006/relationships/hyperlink" Target="https://www.sec.gov/Archives/edgar/data/1501989/000095017023009991/ctmx-ex10_25.htm" TargetMode="External"/><Relationship Id="rId406" Type="http://schemas.openxmlformats.org/officeDocument/2006/relationships/hyperlink" Target="https://www.sec.gov/Archives/edgar/data/1501989/000119312523180722/d500160dex101.htm" TargetMode="External"/><Relationship Id="rId409" Type="http://schemas.openxmlformats.org/officeDocument/2006/relationships/hyperlink" Target="https://www.sec.gov/Archives/edgar/data/1501989/000156459020007395/ctmx-ex11_1755.htm" TargetMode="External"/><Relationship Id="rId412" Type="http://schemas.openxmlformats.org/officeDocument/2006/relationships/hyperlink" Target="https://www.sec.gov/Archives/edgar/data/1501989/000119312524197826/d864122dex13.htm" TargetMode="External"/><Relationship Id="rId415" Type="http://schemas.openxmlformats.org/officeDocument/2006/relationships/hyperlink" Target="https://www.sec.gov/Archives/edgar/data/1501989/000119312524197826/d864122dex14.htm" TargetMode="External"/><Relationship Id="rId419" Type="http://schemas.openxmlformats.org/officeDocument/2006/relationships/hyperlink" Target="https://www.sec.gov/Archives/edgar/data/1501989/000095017024029191/ctmx-ex19_1.htm" TargetMode="External"/><Relationship Id="rId420" Type="http://schemas.openxmlformats.org/officeDocument/2006/relationships/hyperlink" Target="https://www.sec.gov/Archives/edgar/data/1501989/000095017024029191/ctm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2026-03-16T06:08:42Z</dcterms:created>
  <dcterms:modified xsi:type="dcterms:W3CDTF">2026-03-16T06:08:42Z</dcterms:modified>
</cp:coreProperties>
</file>