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202565</wp:posOffset>
            </wp:positionH>
            <wp:positionV relativeFrom="page">
              <wp:posOffset>167640</wp:posOffset>
            </wp:positionV>
            <wp:extent cx="714311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page">
              <wp:posOffset>202565</wp:posOffset>
            </wp:positionH>
            <wp:positionV relativeFrom="page">
              <wp:posOffset>183515</wp:posOffset>
            </wp:positionV>
            <wp:extent cx="71431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115" cy="7620"/>
                    </a:xfrm>
                    <a:prstGeom prst="rect">
                      <a:avLst/>
                    </a:prstGeom>
                    <a:noFill/>
                  </pic:spPr>
                </pic:pic>
              </a:graphicData>
            </a:graphic>
          </wp:anchor>
        </w:drawing>
        <w:t>UNITED STATES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76835</wp:posOffset>
            </wp:positionV>
            <wp:extent cx="14351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5100" cy="7620"/>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105410</wp:posOffset>
            </wp:positionV>
            <wp:extent cx="14351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5100" cy="7620"/>
                    </a:xfrm>
                    <a:prstGeom prst="rect">
                      <a:avLst/>
                    </a:prstGeom>
                    <a:noFill/>
                  </pic:spPr>
                </pic:pic>
              </a:graphicData>
            </a:graphic>
          </wp:anchor>
        </w:drawing>
      </w:r>
    </w:p>
    <w:p>
      <w:pPr>
        <w:spacing w:after="0" w:line="241" w:lineRule="exact"/>
        <w:rPr>
          <w:sz w:val="24"/>
          <w:szCs w:val="24"/>
          <w:color w:val="auto"/>
        </w:rPr>
      </w:pPr>
    </w:p>
    <w:p>
      <w:pPr>
        <w:ind w:left="1"/>
        <w:spacing w:after="0"/>
        <w:rPr>
          <w:sz w:val="20"/>
          <w:szCs w:val="20"/>
          <w:color w:val="auto"/>
        </w:rPr>
      </w:pPr>
      <w:r>
        <w:rPr>
          <w:rFonts w:ascii="Arial" w:cs="Arial" w:eastAsia="Arial" w:hAnsi="Arial"/>
          <w:sz w:val="17"/>
          <w:szCs w:val="17"/>
          <w:b w:val="1"/>
          <w:bCs w:val="1"/>
          <w:color w:val="auto"/>
        </w:rPr>
        <w:t>(Mark One)</w:t>
      </w:r>
    </w:p>
    <w:p>
      <w:pPr>
        <w:spacing w:after="0" w:line="16" w:lineRule="exact"/>
        <w:rPr>
          <w:sz w:val="24"/>
          <w:szCs w:val="24"/>
          <w:color w:val="auto"/>
        </w:rPr>
      </w:pPr>
    </w:p>
    <w:p>
      <w:pPr>
        <w:ind w:left="501" w:hanging="501"/>
        <w:spacing w:after="0"/>
        <w:tabs>
          <w:tab w:leader="none" w:pos="501"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March 31, 2021</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94" w:lineRule="exact"/>
        <w:rPr>
          <w:sz w:val="24"/>
          <w:szCs w:val="24"/>
          <w:color w:val="auto"/>
        </w:rPr>
      </w:pPr>
    </w:p>
    <w:p>
      <w:pPr>
        <w:ind w:left="501" w:hanging="501"/>
        <w:spacing w:after="0"/>
        <w:tabs>
          <w:tab w:leader="none" w:pos="501"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001-37587</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CytomX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-273685</wp:posOffset>
            </wp:positionV>
            <wp:extent cx="14351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5100" cy="762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80010</wp:posOffset>
            </wp:positionV>
            <wp:extent cx="14351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5100" cy="7620"/>
                    </a:xfrm>
                    <a:prstGeom prst="rect">
                      <a:avLst/>
                    </a:prstGeom>
                    <a:noFill/>
                  </pic:spPr>
                </pic:pic>
              </a:graphicData>
            </a:graphic>
          </wp:anchor>
        </w:drawing>
      </w:r>
    </w:p>
    <w:p>
      <w:pPr>
        <w:spacing w:after="0" w:line="213" w:lineRule="exact"/>
        <w:rPr>
          <w:sz w:val="24"/>
          <w:szCs w:val="24"/>
          <w:color w:val="auto"/>
        </w:rPr>
      </w:pPr>
    </w:p>
    <w:tbl>
      <w:tblPr>
        <w:tblLayout w:type="fixed"/>
        <w:tblInd w:w="1" w:type="dxa"/>
        <w:tblCellMar>
          <w:top w:w="0" w:type="dxa"/>
          <w:left w:w="0" w:type="dxa"/>
          <w:bottom w:w="0" w:type="dxa"/>
          <w:right w:w="0" w:type="dxa"/>
        </w:tblCellMar>
      </w:tblPr>
      <w:tr>
        <w:trPr>
          <w:trHeight w:val="195"/>
        </w:trPr>
        <w:tc>
          <w:tcPr>
            <w:tcW w:w="3880" w:type="dxa"/>
            <w:vAlign w:val="bottom"/>
            <w:gridSpan w:val="2"/>
          </w:tcPr>
          <w:p>
            <w:pPr>
              <w:jc w:val="center"/>
              <w:ind w:left="1686"/>
              <w:spacing w:after="0"/>
              <w:rPr>
                <w:sz w:val="20"/>
                <w:szCs w:val="20"/>
                <w:color w:val="auto"/>
              </w:rPr>
            </w:pPr>
            <w:r>
              <w:rPr>
                <w:rFonts w:ascii="Arial" w:cs="Arial" w:eastAsia="Arial" w:hAnsi="Arial"/>
                <w:sz w:val="17"/>
                <w:szCs w:val="17"/>
                <w:b w:val="1"/>
                <w:bCs w:val="1"/>
                <w:color w:val="auto"/>
                <w:w w:val="91"/>
              </w:rPr>
              <w:t>Delaware</w:t>
            </w:r>
          </w:p>
        </w:tc>
        <w:tc>
          <w:tcPr>
            <w:tcW w:w="6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20" w:type="dxa"/>
            <w:vAlign w:val="bottom"/>
          </w:tcPr>
          <w:p>
            <w:pPr>
              <w:jc w:val="center"/>
              <w:ind w:right="1887"/>
              <w:spacing w:after="0"/>
              <w:rPr>
                <w:sz w:val="20"/>
                <w:szCs w:val="20"/>
                <w:color w:val="auto"/>
              </w:rPr>
            </w:pPr>
            <w:r>
              <w:rPr>
                <w:rFonts w:ascii="Arial" w:cs="Arial" w:eastAsia="Arial" w:hAnsi="Arial"/>
                <w:sz w:val="17"/>
                <w:szCs w:val="17"/>
                <w:b w:val="1"/>
                <w:bCs w:val="1"/>
                <w:color w:val="auto"/>
                <w:w w:val="88"/>
              </w:rPr>
              <w:t>27-3521219</w:t>
            </w:r>
          </w:p>
        </w:tc>
        <w:tc>
          <w:tcPr>
            <w:tcW w:w="0" w:type="dxa"/>
            <w:vAlign w:val="bottom"/>
          </w:tcPr>
          <w:p>
            <w:pPr>
              <w:spacing w:after="0"/>
              <w:rPr>
                <w:sz w:val="1"/>
                <w:szCs w:val="1"/>
                <w:color w:val="auto"/>
              </w:rPr>
            </w:pPr>
          </w:p>
        </w:tc>
      </w:tr>
      <w:tr>
        <w:trPr>
          <w:trHeight w:val="137"/>
        </w:trPr>
        <w:tc>
          <w:tcPr>
            <w:tcW w:w="3880" w:type="dxa"/>
            <w:vAlign w:val="bottom"/>
            <w:gridSpan w:val="2"/>
          </w:tcPr>
          <w:p>
            <w:pPr>
              <w:jc w:val="center"/>
              <w:ind w:left="1686"/>
              <w:spacing w:after="0" w:line="137" w:lineRule="exact"/>
              <w:rPr>
                <w:sz w:val="20"/>
                <w:szCs w:val="20"/>
                <w:color w:val="auto"/>
              </w:rPr>
            </w:pPr>
            <w:r>
              <w:rPr>
                <w:rFonts w:ascii="Arial" w:cs="Arial" w:eastAsia="Arial" w:hAnsi="Arial"/>
                <w:sz w:val="13"/>
                <w:szCs w:val="13"/>
                <w:b w:val="1"/>
                <w:bCs w:val="1"/>
                <w:color w:val="auto"/>
                <w:w w:val="91"/>
              </w:rPr>
              <w:t>(State or other jurisdiction of</w:t>
            </w:r>
          </w:p>
        </w:tc>
        <w:tc>
          <w:tcPr>
            <w:tcW w:w="6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20" w:type="dxa"/>
            <w:vAlign w:val="bottom"/>
          </w:tcPr>
          <w:p>
            <w:pPr>
              <w:jc w:val="center"/>
              <w:ind w:right="1887"/>
              <w:spacing w:after="0" w:line="137" w:lineRule="exact"/>
              <w:rPr>
                <w:sz w:val="20"/>
                <w:szCs w:val="20"/>
                <w:color w:val="auto"/>
              </w:rPr>
            </w:pPr>
            <w:r>
              <w:rPr>
                <w:rFonts w:ascii="Arial" w:cs="Arial" w:eastAsia="Arial" w:hAnsi="Arial"/>
                <w:sz w:val="13"/>
                <w:szCs w:val="13"/>
                <w:b w:val="1"/>
                <w:bCs w:val="1"/>
                <w:color w:val="auto"/>
                <w:w w:val="96"/>
              </w:rPr>
              <w:t>(I.R.S. Employer</w:t>
            </w:r>
          </w:p>
        </w:tc>
        <w:tc>
          <w:tcPr>
            <w:tcW w:w="0" w:type="dxa"/>
            <w:vAlign w:val="bottom"/>
          </w:tcPr>
          <w:p>
            <w:pPr>
              <w:spacing w:after="0"/>
              <w:rPr>
                <w:sz w:val="1"/>
                <w:szCs w:val="1"/>
                <w:color w:val="auto"/>
              </w:rPr>
            </w:pPr>
          </w:p>
        </w:tc>
      </w:tr>
      <w:tr>
        <w:trPr>
          <w:trHeight w:val="170"/>
        </w:trPr>
        <w:tc>
          <w:tcPr>
            <w:tcW w:w="3880" w:type="dxa"/>
            <w:vAlign w:val="bottom"/>
            <w:gridSpan w:val="2"/>
          </w:tcPr>
          <w:p>
            <w:pPr>
              <w:jc w:val="center"/>
              <w:ind w:left="1686"/>
              <w:spacing w:after="0"/>
              <w:rPr>
                <w:sz w:val="20"/>
                <w:szCs w:val="20"/>
                <w:color w:val="auto"/>
              </w:rPr>
            </w:pPr>
            <w:r>
              <w:rPr>
                <w:rFonts w:ascii="Arial" w:cs="Arial" w:eastAsia="Arial" w:hAnsi="Arial"/>
                <w:sz w:val="13"/>
                <w:szCs w:val="13"/>
                <w:b w:val="1"/>
                <w:bCs w:val="1"/>
                <w:color w:val="auto"/>
                <w:w w:val="92"/>
              </w:rPr>
              <w:t>incorporation or organization)</w:t>
            </w:r>
          </w:p>
        </w:tc>
        <w:tc>
          <w:tcPr>
            <w:tcW w:w="6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20" w:type="dxa"/>
            <w:vAlign w:val="bottom"/>
          </w:tcPr>
          <w:p>
            <w:pPr>
              <w:jc w:val="center"/>
              <w:ind w:right="1887"/>
              <w:spacing w:after="0"/>
              <w:rPr>
                <w:sz w:val="20"/>
                <w:szCs w:val="20"/>
                <w:color w:val="auto"/>
              </w:rPr>
            </w:pPr>
            <w:r>
              <w:rPr>
                <w:rFonts w:ascii="Arial" w:cs="Arial" w:eastAsia="Arial" w:hAnsi="Arial"/>
                <w:sz w:val="13"/>
                <w:szCs w:val="13"/>
                <w:b w:val="1"/>
                <w:bCs w:val="1"/>
                <w:color w:val="auto"/>
                <w:w w:val="94"/>
              </w:rPr>
              <w:t>Identification No.)</w:t>
            </w:r>
          </w:p>
        </w:tc>
        <w:tc>
          <w:tcPr>
            <w:tcW w:w="0" w:type="dxa"/>
            <w:vAlign w:val="bottom"/>
          </w:tcPr>
          <w:p>
            <w:pPr>
              <w:spacing w:after="0"/>
              <w:rPr>
                <w:sz w:val="1"/>
                <w:szCs w:val="1"/>
                <w:color w:val="auto"/>
              </w:rPr>
            </w:pPr>
          </w:p>
        </w:tc>
      </w:tr>
      <w:tr>
        <w:trPr>
          <w:trHeight w:val="281"/>
        </w:trPr>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40" w:type="dxa"/>
            <w:vAlign w:val="bottom"/>
            <w:gridSpan w:val="4"/>
          </w:tcPr>
          <w:p>
            <w:pPr>
              <w:jc w:val="center"/>
              <w:ind w:right="360"/>
              <w:spacing w:after="0"/>
              <w:rPr>
                <w:sz w:val="20"/>
                <w:szCs w:val="20"/>
                <w:color w:val="auto"/>
              </w:rPr>
            </w:pPr>
            <w:r>
              <w:rPr>
                <w:rFonts w:ascii="Arial" w:cs="Arial" w:eastAsia="Arial" w:hAnsi="Arial"/>
                <w:sz w:val="17"/>
                <w:szCs w:val="17"/>
                <w:b w:val="1"/>
                <w:bCs w:val="1"/>
                <w:color w:val="auto"/>
                <w:w w:val="87"/>
              </w:rPr>
              <w:t>151 Oyster Point Blvd., Suite 400</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20" w:type="dxa"/>
            <w:vAlign w:val="bottom"/>
            <w:gridSpan w:val="3"/>
          </w:tcPr>
          <w:p>
            <w:pPr>
              <w:jc w:val="center"/>
              <w:ind w:right="980"/>
              <w:spacing w:after="0"/>
              <w:rPr>
                <w:sz w:val="20"/>
                <w:szCs w:val="20"/>
                <w:color w:val="auto"/>
              </w:rPr>
            </w:pPr>
            <w:r>
              <w:rPr>
                <w:rFonts w:ascii="Arial" w:cs="Arial" w:eastAsia="Arial" w:hAnsi="Arial"/>
                <w:sz w:val="17"/>
                <w:szCs w:val="17"/>
                <w:b w:val="1"/>
                <w:bCs w:val="1"/>
                <w:color w:val="auto"/>
                <w:w w:val="87"/>
              </w:rPr>
              <w:t>South San Francisco, CA 94080</w:t>
            </w:r>
          </w:p>
        </w:tc>
        <w:tc>
          <w:tcPr>
            <w:tcW w:w="3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40" w:type="dxa"/>
            <w:vAlign w:val="bottom"/>
            <w:gridSpan w:val="4"/>
          </w:tcPr>
          <w:p>
            <w:pPr>
              <w:jc w:val="center"/>
              <w:ind w:right="360"/>
              <w:spacing w:after="0" w:line="141" w:lineRule="exact"/>
              <w:rPr>
                <w:sz w:val="20"/>
                <w:szCs w:val="20"/>
                <w:color w:val="auto"/>
              </w:rPr>
            </w:pPr>
            <w:r>
              <w:rPr>
                <w:rFonts w:ascii="Arial" w:cs="Arial" w:eastAsia="Arial" w:hAnsi="Arial"/>
                <w:sz w:val="13"/>
                <w:szCs w:val="13"/>
                <w:b w:val="1"/>
                <w:bCs w:val="1"/>
                <w:color w:val="auto"/>
                <w:w w:val="90"/>
              </w:rPr>
              <w:t>(Address of principal executive offices, including zip code)</w:t>
            </w: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80" w:type="dxa"/>
            <w:vAlign w:val="bottom"/>
            <w:gridSpan w:val="2"/>
          </w:tcPr>
          <w:p>
            <w:pPr>
              <w:jc w:val="center"/>
              <w:ind w:left="486"/>
              <w:spacing w:after="0"/>
              <w:rPr>
                <w:sz w:val="20"/>
                <w:szCs w:val="20"/>
                <w:color w:val="auto"/>
              </w:rPr>
            </w:pPr>
            <w:r>
              <w:rPr>
                <w:rFonts w:ascii="Arial" w:cs="Arial" w:eastAsia="Arial" w:hAnsi="Arial"/>
                <w:sz w:val="17"/>
                <w:szCs w:val="17"/>
                <w:b w:val="1"/>
                <w:bCs w:val="1"/>
                <w:color w:val="auto"/>
                <w:w w:val="89"/>
              </w:rPr>
              <w:t>(650) 515-3185</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4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90"/>
              </w:rPr>
              <w:t>(Registrant’s telephone number, including area code)</w:t>
            </w: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880" w:type="dxa"/>
            <w:vAlign w:val="bottom"/>
            <w:gridSpan w:val="2"/>
            <w:vMerge w:val="restart"/>
          </w:tcPr>
          <w:p>
            <w:pPr>
              <w:spacing w:after="0"/>
              <w:rPr>
                <w:sz w:val="20"/>
                <w:szCs w:val="20"/>
                <w:color w:val="auto"/>
              </w:rPr>
            </w:pPr>
            <w:r>
              <w:rPr>
                <w:rFonts w:ascii="Arial" w:cs="Arial" w:eastAsia="Arial" w:hAnsi="Arial"/>
                <w:sz w:val="17"/>
                <w:szCs w:val="17"/>
                <w:color w:val="auto"/>
                <w:w w:val="89"/>
              </w:rPr>
              <w:t>Securities registered pursuant to Section 12(b) of the Act:</w:t>
            </w:r>
          </w:p>
        </w:tc>
        <w:tc>
          <w:tcPr>
            <w:tcW w:w="620" w:type="dxa"/>
            <w:vAlign w:val="bottom"/>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9"/>
        </w:trPr>
        <w:tc>
          <w:tcPr>
            <w:tcW w:w="388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20" w:type="dxa"/>
            <w:vAlign w:val="bottom"/>
            <w:gridSpan w:val="3"/>
          </w:tcPr>
          <w:p>
            <w:pPr>
              <w:jc w:val="center"/>
              <w:ind w:right="740"/>
              <w:spacing w:after="0"/>
              <w:rPr>
                <w:sz w:val="20"/>
                <w:szCs w:val="20"/>
                <w:color w:val="auto"/>
              </w:rPr>
            </w:pPr>
            <w:r>
              <w:rPr>
                <w:rFonts w:ascii="Arial" w:cs="Arial" w:eastAsia="Arial" w:hAnsi="Arial"/>
                <w:sz w:val="15"/>
                <w:szCs w:val="15"/>
                <w:b w:val="1"/>
                <w:bCs w:val="1"/>
                <w:color w:val="auto"/>
                <w:w w:val="94"/>
              </w:rPr>
              <w:t>Trading</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6"/>
              </w:rPr>
              <w:t>Title of each class</w:t>
            </w:r>
          </w:p>
        </w:tc>
        <w:tc>
          <w:tcPr>
            <w:tcW w:w="620" w:type="dxa"/>
            <w:vAlign w:val="bottom"/>
          </w:tcPr>
          <w:p>
            <w:pPr>
              <w:spacing w:after="0"/>
              <w:rPr>
                <w:sz w:val="17"/>
                <w:szCs w:val="17"/>
                <w:color w:val="auto"/>
              </w:rPr>
            </w:pPr>
          </w:p>
        </w:tc>
        <w:tc>
          <w:tcPr>
            <w:tcW w:w="3220" w:type="dxa"/>
            <w:vAlign w:val="bottom"/>
            <w:gridSpan w:val="3"/>
          </w:tcPr>
          <w:p>
            <w:pPr>
              <w:jc w:val="center"/>
              <w:ind w:right="740"/>
              <w:spacing w:after="0"/>
              <w:rPr>
                <w:sz w:val="20"/>
                <w:szCs w:val="20"/>
                <w:color w:val="auto"/>
              </w:rPr>
            </w:pPr>
            <w:r>
              <w:rPr>
                <w:rFonts w:ascii="Arial" w:cs="Arial" w:eastAsia="Arial" w:hAnsi="Arial"/>
                <w:sz w:val="15"/>
                <w:szCs w:val="15"/>
                <w:b w:val="1"/>
                <w:bCs w:val="1"/>
                <w:color w:val="auto"/>
                <w:w w:val="88"/>
              </w:rPr>
              <w:t>Symbol(s)</w:t>
            </w:r>
          </w:p>
        </w:tc>
        <w:tc>
          <w:tcPr>
            <w:tcW w:w="3520" w:type="dxa"/>
            <w:vAlign w:val="bottom"/>
          </w:tcPr>
          <w:p>
            <w:pPr>
              <w:jc w:val="center"/>
              <w:spacing w:after="0"/>
              <w:rPr>
                <w:sz w:val="20"/>
                <w:szCs w:val="20"/>
                <w:color w:val="auto"/>
              </w:rPr>
            </w:pPr>
            <w:r>
              <w:rPr>
                <w:rFonts w:ascii="Arial" w:cs="Arial" w:eastAsia="Arial" w:hAnsi="Arial"/>
                <w:sz w:val="15"/>
                <w:szCs w:val="15"/>
                <w:b w:val="1"/>
                <w:bCs w:val="1"/>
                <w:color w:val="auto"/>
                <w:w w:val="87"/>
              </w:rPr>
              <w:t>Name of each exchange on which registered</w:t>
            </w:r>
          </w:p>
        </w:tc>
        <w:tc>
          <w:tcPr>
            <w:tcW w:w="0" w:type="dxa"/>
            <w:vAlign w:val="bottom"/>
          </w:tcPr>
          <w:p>
            <w:pPr>
              <w:spacing w:after="0"/>
              <w:rPr>
                <w:sz w:val="1"/>
                <w:szCs w:val="1"/>
                <w:color w:val="auto"/>
              </w:rPr>
            </w:pPr>
          </w:p>
        </w:tc>
      </w:tr>
      <w:tr>
        <w:trPr>
          <w:trHeight w:val="18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89"/>
              </w:rPr>
              <w:t>Common Stock, $0.00001 par value per share</w:t>
            </w:r>
          </w:p>
        </w:tc>
        <w:tc>
          <w:tcPr>
            <w:tcW w:w="14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120" w:type="dxa"/>
            <w:vAlign w:val="bottom"/>
            <w:tcBorders>
              <w:top w:val="single" w:sz="8" w:color="auto"/>
            </w:tcBorders>
            <w:gridSpan w:val="2"/>
          </w:tcPr>
          <w:p>
            <w:pPr>
              <w:jc w:val="center"/>
              <w:ind w:right="640"/>
              <w:spacing w:after="0"/>
              <w:rPr>
                <w:sz w:val="20"/>
                <w:szCs w:val="20"/>
                <w:color w:val="auto"/>
              </w:rPr>
            </w:pPr>
            <w:r>
              <w:rPr>
                <w:rFonts w:ascii="Arial" w:cs="Arial" w:eastAsia="Arial" w:hAnsi="Arial"/>
                <w:sz w:val="15"/>
                <w:szCs w:val="15"/>
                <w:color w:val="auto"/>
              </w:rPr>
              <w:t>CTMX</w:t>
            </w:r>
          </w:p>
        </w:tc>
        <w:tc>
          <w:tcPr>
            <w:tcW w:w="100" w:type="dxa"/>
            <w:vAlign w:val="bottom"/>
          </w:tcPr>
          <w:p>
            <w:pPr>
              <w:spacing w:after="0"/>
              <w:rPr>
                <w:sz w:val="16"/>
                <w:szCs w:val="16"/>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0"/>
              </w:rPr>
              <w:t>Nasdaq Global Select Market</w:t>
            </w:r>
          </w:p>
        </w:tc>
        <w:tc>
          <w:tcPr>
            <w:tcW w:w="0" w:type="dxa"/>
            <w:vAlign w:val="bottom"/>
          </w:tcPr>
          <w:p>
            <w:pPr>
              <w:spacing w:after="0"/>
              <w:rPr>
                <w:sz w:val="1"/>
                <w:szCs w:val="1"/>
                <w:color w:val="auto"/>
              </w:rPr>
            </w:pPr>
          </w:p>
        </w:tc>
      </w:tr>
    </w:tbl>
    <w:p>
      <w:pPr>
        <w:spacing w:after="0" w:line="97" w:lineRule="exact"/>
        <w:rPr>
          <w:sz w:val="24"/>
          <w:szCs w:val="24"/>
          <w:color w:val="auto"/>
        </w:rPr>
      </w:pPr>
    </w:p>
    <w:p>
      <w:pPr>
        <w:jc w:val="both"/>
        <w:ind w:left="1"/>
        <w:spacing w:after="0" w:line="302" w:lineRule="auto"/>
        <w:rPr>
          <w:sz w:val="20"/>
          <w:szCs w:val="20"/>
          <w:color w:val="auto"/>
        </w:rPr>
      </w:pPr>
      <w:r>
        <w:rPr>
          <w:rFonts w:ascii="Arial" w:cs="Arial" w:eastAsia="Arial" w:hAnsi="Arial"/>
          <w:sz w:val="14"/>
          <w:szCs w:val="14"/>
          <w:color w:val="auto"/>
        </w:rPr>
        <w:t>Indicate by check mark whether the issuer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ind w:left="1"/>
        <w:spacing w:after="0" w:line="196" w:lineRule="exact"/>
        <w:tabs>
          <w:tab w:leader="none" w:pos="700" w:val="left"/>
          <w:tab w:leader="none" w:pos="1420" w:val="left"/>
        </w:tabs>
        <w:rPr>
          <w:sz w:val="20"/>
          <w:szCs w:val="20"/>
          <w:color w:val="auto"/>
        </w:rPr>
      </w:pPr>
      <w:r>
        <w:rPr>
          <w:rFonts w:ascii="Arial" w:cs="Arial" w:eastAsia="Arial" w:hAnsi="Arial"/>
          <w:sz w:val="17"/>
          <w:szCs w:val="17"/>
          <w:color w:val="auto"/>
        </w:rPr>
        <w:t>90 days.</w:t>
        <w:tab/>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5" w:lineRule="exact"/>
        <w:rPr>
          <w:sz w:val="24"/>
          <w:szCs w:val="24"/>
          <w:color w:val="auto"/>
        </w:rPr>
      </w:pPr>
    </w:p>
    <w:p>
      <w:pPr>
        <w:ind w:left="1" w:right="18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ind w:left="1" w:right="20"/>
        <w:spacing w:after="0" w:line="25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2" w:lineRule="exact"/>
        <w:rPr>
          <w:sz w:val="24"/>
          <w:szCs w:val="24"/>
          <w:color w:val="auto"/>
        </w:rPr>
      </w:pPr>
    </w:p>
    <w:tbl>
      <w:tblPr>
        <w:tblLayout w:type="fixed"/>
        <w:tblInd w:w="1" w:type="dxa"/>
        <w:tblCellMar>
          <w:top w:w="0" w:type="dxa"/>
          <w:left w:w="0" w:type="dxa"/>
          <w:bottom w:w="0" w:type="dxa"/>
          <w:right w:w="0" w:type="dxa"/>
        </w:tblCellMar>
      </w:tblPr>
      <w:tr>
        <w:trPr>
          <w:trHeight w:val="260"/>
        </w:trPr>
        <w:tc>
          <w:tcPr>
            <w:tcW w:w="34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180" w:type="dxa"/>
            <w:vAlign w:val="bottom"/>
          </w:tcPr>
          <w:p>
            <w:pPr>
              <w:ind w:left="1940"/>
              <w:spacing w:after="0" w:line="171" w:lineRule="exact"/>
              <w:rPr>
                <w:sz w:val="20"/>
                <w:szCs w:val="20"/>
                <w:color w:val="auto"/>
              </w:rPr>
            </w:pPr>
            <w:r>
              <w:rPr>
                <w:rFonts w:ascii="MS PGothic" w:cs="MS PGothic" w:eastAsia="MS PGothic" w:hAnsi="MS PGothic"/>
                <w:sz w:val="17"/>
                <w:szCs w:val="17"/>
                <w:color w:val="auto"/>
              </w:rPr>
              <w:t>☐</w:t>
            </w:r>
          </w:p>
        </w:tc>
        <w:tc>
          <w:tcPr>
            <w:tcW w:w="3700" w:type="dxa"/>
            <w:vAlign w:val="bottom"/>
          </w:tcPr>
          <w:p>
            <w:pPr>
              <w:ind w:left="100"/>
              <w:spacing w:after="0"/>
              <w:rPr>
                <w:sz w:val="20"/>
                <w:szCs w:val="20"/>
                <w:color w:val="auto"/>
              </w:rPr>
            </w:pPr>
            <w:r>
              <w:rPr>
                <w:rFonts w:ascii="Arial" w:cs="Arial" w:eastAsia="Arial" w:hAnsi="Arial"/>
                <w:sz w:val="17"/>
                <w:szCs w:val="17"/>
                <w:color w:val="auto"/>
              </w:rPr>
              <w:t>Accelerated filer</w:t>
            </w:r>
          </w:p>
        </w:tc>
        <w:tc>
          <w:tcPr>
            <w:tcW w:w="1920" w:type="dxa"/>
            <w:vAlign w:val="bottom"/>
          </w:tcPr>
          <w:p>
            <w:pPr>
              <w:ind w:left="17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310"/>
        </w:trPr>
        <w:tc>
          <w:tcPr>
            <w:tcW w:w="3440" w:type="dxa"/>
            <w:vAlign w:val="bottom"/>
          </w:tcPr>
          <w:p>
            <w:pPr>
              <w:spacing w:after="0"/>
              <w:rPr>
                <w:sz w:val="20"/>
                <w:szCs w:val="20"/>
                <w:color w:val="auto"/>
              </w:rPr>
            </w:pPr>
            <w:r>
              <w:rPr>
                <w:rFonts w:ascii="Arial" w:cs="Arial" w:eastAsia="Arial" w:hAnsi="Arial"/>
                <w:sz w:val="17"/>
                <w:szCs w:val="17"/>
                <w:color w:val="auto"/>
              </w:rPr>
              <w:t>Non-accelerated filer</w:t>
            </w:r>
          </w:p>
        </w:tc>
        <w:tc>
          <w:tcPr>
            <w:tcW w:w="2180" w:type="dxa"/>
            <w:vAlign w:val="bottom"/>
          </w:tcPr>
          <w:p>
            <w:pPr>
              <w:ind w:left="1940"/>
              <w:spacing w:after="0" w:line="171" w:lineRule="exact"/>
              <w:rPr>
                <w:sz w:val="20"/>
                <w:szCs w:val="20"/>
                <w:color w:val="auto"/>
              </w:rPr>
            </w:pPr>
            <w:r>
              <w:rPr>
                <w:rFonts w:ascii="MS PGothic" w:cs="MS PGothic" w:eastAsia="MS PGothic" w:hAnsi="MS PGothic"/>
                <w:sz w:val="17"/>
                <w:szCs w:val="17"/>
                <w:color w:val="auto"/>
              </w:rPr>
              <w:t>☐</w:t>
            </w:r>
          </w:p>
        </w:tc>
        <w:tc>
          <w:tcPr>
            <w:tcW w:w="3700" w:type="dxa"/>
            <w:vAlign w:val="bottom"/>
          </w:tcPr>
          <w:p>
            <w:pPr>
              <w:ind w:left="100"/>
              <w:spacing w:after="0"/>
              <w:rPr>
                <w:sz w:val="20"/>
                <w:szCs w:val="20"/>
                <w:color w:val="auto"/>
              </w:rPr>
            </w:pPr>
            <w:r>
              <w:rPr>
                <w:rFonts w:ascii="Arial" w:cs="Arial" w:eastAsia="Arial" w:hAnsi="Arial"/>
                <w:sz w:val="17"/>
                <w:szCs w:val="17"/>
                <w:color w:val="auto"/>
              </w:rPr>
              <w:t>Smaller reporting company</w:t>
            </w:r>
          </w:p>
        </w:tc>
        <w:tc>
          <w:tcPr>
            <w:tcW w:w="1920" w:type="dxa"/>
            <w:vAlign w:val="bottom"/>
          </w:tcPr>
          <w:p>
            <w:pPr>
              <w:ind w:left="17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310"/>
        </w:trPr>
        <w:tc>
          <w:tcPr>
            <w:tcW w:w="34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700" w:type="dxa"/>
            <w:vAlign w:val="bottom"/>
          </w:tcPr>
          <w:p>
            <w:pPr>
              <w:ind w:left="100"/>
              <w:spacing w:after="0"/>
              <w:rPr>
                <w:sz w:val="20"/>
                <w:szCs w:val="20"/>
                <w:color w:val="auto"/>
              </w:rPr>
            </w:pPr>
            <w:r>
              <w:rPr>
                <w:rFonts w:ascii="Arial" w:cs="Arial" w:eastAsia="Arial" w:hAnsi="Arial"/>
                <w:sz w:val="17"/>
                <w:szCs w:val="17"/>
                <w:color w:val="auto"/>
              </w:rPr>
              <w:t>Emerging growth company</w:t>
            </w:r>
          </w:p>
        </w:tc>
        <w:tc>
          <w:tcPr>
            <w:tcW w:w="1920" w:type="dxa"/>
            <w:vAlign w:val="bottom"/>
          </w:tcPr>
          <w:p>
            <w:pPr>
              <w:ind w:left="178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81" w:lineRule="exact"/>
        <w:rPr>
          <w:sz w:val="24"/>
          <w:szCs w:val="24"/>
          <w:color w:val="auto"/>
        </w:rPr>
      </w:pPr>
    </w:p>
    <w:p>
      <w:pPr>
        <w:ind w:left="1" w:right="360"/>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0" w:lineRule="exact"/>
        <w:rPr>
          <w:sz w:val="24"/>
          <w:szCs w:val="24"/>
          <w:color w:val="auto"/>
        </w:rPr>
      </w:pPr>
    </w:p>
    <w:p>
      <w:pPr>
        <w:ind w:left="1" w:right="2500"/>
        <w:spacing w:after="0" w:line="269"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April 30, 2021, the registrant had 65,011,130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4311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96520</wp:posOffset>
            </wp:positionV>
            <wp:extent cx="714311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477520</wp:posOffset>
            </wp:positionV>
            <wp:extent cx="716851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337"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CYTOMX THERAPEUTICS,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10-Q FOR THE QUARTER ENDED MARCH 31, 2021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20" w:type="dxa"/>
            <w:vAlign w:val="bottom"/>
            <w:gridSpan w:val="5"/>
          </w:tcPr>
          <w:p>
            <w:pPr>
              <w:ind w:left="20"/>
              <w:spacing w:after="0"/>
              <w:rPr>
                <w:sz w:val="20"/>
                <w:szCs w:val="20"/>
                <w:color w:val="auto"/>
              </w:rPr>
            </w:pPr>
            <w:r>
              <w:rPr>
                <w:rFonts w:ascii="Arial" w:cs="Arial" w:eastAsia="Arial" w:hAnsi="Arial"/>
                <w:sz w:val="17"/>
                <w:szCs w:val="17"/>
                <w:b w:val="1"/>
                <w:bCs w:val="1"/>
                <w:color w:val="auto"/>
              </w:rPr>
              <w:t>PART I – FINANCIAL INFORMATION</w:t>
            </w:r>
          </w:p>
        </w:tc>
        <w:tc>
          <w:tcPr>
            <w:tcW w:w="2160" w:type="dxa"/>
            <w:vAlign w:val="bottom"/>
          </w:tcPr>
          <w:p>
            <w:pPr>
              <w:spacing w:after="0"/>
              <w:rPr>
                <w:sz w:val="18"/>
                <w:szCs w:val="18"/>
                <w:color w:val="auto"/>
              </w:rPr>
            </w:pPr>
          </w:p>
        </w:tc>
      </w:tr>
      <w:tr>
        <w:trPr>
          <w:trHeight w:val="275"/>
        </w:trPr>
        <w:tc>
          <w:tcPr>
            <w:tcW w:w="1020" w:type="dxa"/>
            <w:vAlign w:val="bottom"/>
          </w:tcPr>
          <w:p>
            <w:pPr>
              <w:spacing w:after="0"/>
              <w:rPr>
                <w:sz w:val="20"/>
                <w:szCs w:val="20"/>
                <w:color w:val="auto"/>
              </w:rPr>
            </w:pPr>
            <w:r>
              <w:rPr>
                <w:rFonts w:ascii="Arial" w:cs="Arial" w:eastAsia="Arial" w:hAnsi="Arial"/>
                <w:sz w:val="17"/>
                <w:szCs w:val="17"/>
                <w:color w:val="auto"/>
              </w:rPr>
              <w:t>Item 1.</w:t>
            </w:r>
          </w:p>
        </w:tc>
        <w:tc>
          <w:tcPr>
            <w:tcW w:w="3020" w:type="dxa"/>
            <w:vAlign w:val="bottom"/>
            <w:tcBorders>
              <w:bottom w:val="single" w:sz="8" w:color="0000EE"/>
            </w:tcBorders>
            <w:gridSpan w:val="4"/>
          </w:tcPr>
          <w:p>
            <w:pPr>
              <w:ind w:left="20"/>
              <w:spacing w:after="0"/>
              <w:rPr>
                <w:rFonts w:ascii="Arial" w:cs="Arial" w:eastAsia="Arial" w:hAnsi="Arial"/>
                <w:sz w:val="17"/>
                <w:szCs w:val="17"/>
                <w:color w:val="0000EE"/>
                <w:w w:val="86"/>
              </w:rPr>
            </w:pPr>
            <w:hyperlink w:anchor="page5">
              <w:r>
                <w:rPr>
                  <w:rFonts w:ascii="Arial" w:cs="Arial" w:eastAsia="Arial" w:hAnsi="Arial"/>
                  <w:sz w:val="17"/>
                  <w:szCs w:val="17"/>
                  <w:color w:val="0000EE"/>
                  <w:w w:val="86"/>
                </w:rPr>
                <w:t>Condensed Financial Statements (Unaudited)</w:t>
              </w:r>
            </w:hyperlink>
          </w:p>
        </w:tc>
        <w:tc>
          <w:tcPr>
            <w:tcW w:w="5040" w:type="dxa"/>
            <w:vAlign w:val="bottom"/>
            <w:gridSpan w:val="6"/>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179"/>
        </w:trPr>
        <w:tc>
          <w:tcPr>
            <w:tcW w:w="1020" w:type="dxa"/>
            <w:vAlign w:val="bottom"/>
          </w:tcPr>
          <w:p>
            <w:pPr>
              <w:spacing w:after="0"/>
              <w:rPr>
                <w:sz w:val="15"/>
                <w:szCs w:val="15"/>
                <w:color w:val="auto"/>
              </w:rPr>
            </w:pPr>
          </w:p>
        </w:tc>
        <w:tc>
          <w:tcPr>
            <w:tcW w:w="1800" w:type="dxa"/>
            <w:vAlign w:val="bottom"/>
            <w:tcBorders>
              <w:bottom w:val="single" w:sz="8" w:color="0000EE"/>
            </w:tcBorders>
            <w:gridSpan w:val="2"/>
          </w:tcPr>
          <w:p>
            <w:pPr>
              <w:ind w:left="20"/>
              <w:spacing w:after="0" w:line="179" w:lineRule="exact"/>
              <w:rPr>
                <w:rFonts w:ascii="Arial" w:cs="Arial" w:eastAsia="Arial" w:hAnsi="Arial"/>
                <w:sz w:val="17"/>
                <w:szCs w:val="17"/>
                <w:color w:val="0000EE"/>
                <w:w w:val="83"/>
              </w:rPr>
            </w:pPr>
            <w:hyperlink w:anchor="page5">
              <w:r>
                <w:rPr>
                  <w:rFonts w:ascii="Arial" w:cs="Arial" w:eastAsia="Arial" w:hAnsi="Arial"/>
                  <w:sz w:val="17"/>
                  <w:szCs w:val="17"/>
                  <w:color w:val="0000EE"/>
                  <w:w w:val="83"/>
                </w:rPr>
                <w:t>Condensed Balance Sheets</w:t>
              </w:r>
            </w:hyperlink>
          </w:p>
        </w:tc>
        <w:tc>
          <w:tcPr>
            <w:tcW w:w="6260" w:type="dxa"/>
            <w:vAlign w:val="bottom"/>
            <w:gridSpan w:val="8"/>
          </w:tcPr>
          <w:p>
            <w:pPr>
              <w:spacing w:after="0"/>
              <w:rPr>
                <w:sz w:val="15"/>
                <w:szCs w:val="15"/>
                <w:color w:val="auto"/>
              </w:rPr>
            </w:pPr>
          </w:p>
        </w:tc>
        <w:tc>
          <w:tcPr>
            <w:tcW w:w="2160" w:type="dxa"/>
            <w:vAlign w:val="bottom"/>
          </w:tcPr>
          <w:p>
            <w:pPr>
              <w:jc w:val="right"/>
              <w:spacing w:after="0" w:line="179" w:lineRule="exact"/>
              <w:rPr>
                <w:sz w:val="20"/>
                <w:szCs w:val="20"/>
                <w:color w:val="auto"/>
              </w:rPr>
            </w:pPr>
            <w:r>
              <w:rPr>
                <w:rFonts w:ascii="Arial" w:cs="Arial" w:eastAsia="Arial" w:hAnsi="Arial"/>
                <w:sz w:val="17"/>
                <w:szCs w:val="17"/>
                <w:color w:val="auto"/>
              </w:rPr>
              <w:t>5</w:t>
            </w:r>
          </w:p>
        </w:tc>
      </w:tr>
      <w:tr>
        <w:trPr>
          <w:trHeight w:val="179"/>
        </w:trPr>
        <w:tc>
          <w:tcPr>
            <w:tcW w:w="1020" w:type="dxa"/>
            <w:vAlign w:val="bottom"/>
          </w:tcPr>
          <w:p>
            <w:pPr>
              <w:spacing w:after="0"/>
              <w:rPr>
                <w:sz w:val="15"/>
                <w:szCs w:val="15"/>
                <w:color w:val="auto"/>
              </w:rPr>
            </w:pPr>
          </w:p>
        </w:tc>
        <w:tc>
          <w:tcPr>
            <w:tcW w:w="8060" w:type="dxa"/>
            <w:vAlign w:val="bottom"/>
            <w:gridSpan w:val="10"/>
          </w:tcPr>
          <w:p>
            <w:pPr>
              <w:ind w:left="20"/>
              <w:spacing w:after="0" w:line="179" w:lineRule="exact"/>
              <w:rPr>
                <w:rFonts w:ascii="Arial" w:cs="Arial" w:eastAsia="Arial" w:hAnsi="Arial"/>
                <w:sz w:val="17"/>
                <w:szCs w:val="17"/>
                <w:color w:val="0000EE"/>
              </w:rPr>
            </w:pPr>
            <w:hyperlink w:anchor="page6">
              <w:r>
                <w:rPr>
                  <w:rFonts w:ascii="Arial" w:cs="Arial" w:eastAsia="Arial" w:hAnsi="Arial"/>
                  <w:sz w:val="17"/>
                  <w:szCs w:val="17"/>
                  <w:color w:val="0000EE"/>
                </w:rPr>
                <w:t>Condensed Statements of Operations and Comprehensive Income (Loss)</w:t>
              </w:r>
            </w:hyperlink>
          </w:p>
        </w:tc>
        <w:tc>
          <w:tcPr>
            <w:tcW w:w="2160" w:type="dxa"/>
            <w:vAlign w:val="bottom"/>
          </w:tcPr>
          <w:p>
            <w:pPr>
              <w:jc w:val="right"/>
              <w:spacing w:after="0" w:line="179" w:lineRule="exact"/>
              <w:rPr>
                <w:sz w:val="20"/>
                <w:szCs w:val="20"/>
                <w:color w:val="auto"/>
              </w:rPr>
            </w:pPr>
            <w:r>
              <w:rPr>
                <w:rFonts w:ascii="Arial" w:cs="Arial" w:eastAsia="Arial" w:hAnsi="Arial"/>
                <w:sz w:val="17"/>
                <w:szCs w:val="17"/>
                <w:color w:val="auto"/>
              </w:rPr>
              <w:t>6</w:t>
            </w:r>
          </w:p>
        </w:tc>
      </w:tr>
      <w:tr>
        <w:trPr>
          <w:trHeight w:val="179"/>
        </w:trPr>
        <w:tc>
          <w:tcPr>
            <w:tcW w:w="1020" w:type="dxa"/>
            <w:vAlign w:val="bottom"/>
          </w:tcPr>
          <w:p>
            <w:pPr>
              <w:spacing w:after="0"/>
              <w:rPr>
                <w:sz w:val="15"/>
                <w:szCs w:val="15"/>
                <w:color w:val="auto"/>
              </w:rPr>
            </w:pPr>
          </w:p>
        </w:tc>
        <w:tc>
          <w:tcPr>
            <w:tcW w:w="3140" w:type="dxa"/>
            <w:vAlign w:val="bottom"/>
            <w:tcBorders>
              <w:top w:val="single" w:sz="8" w:color="0000EE"/>
              <w:bottom w:val="single" w:sz="8" w:color="0000EE"/>
            </w:tcBorders>
            <w:gridSpan w:val="5"/>
          </w:tcPr>
          <w:p>
            <w:pPr>
              <w:ind w:left="20"/>
              <w:spacing w:after="0" w:line="179" w:lineRule="exact"/>
              <w:rPr>
                <w:rFonts w:ascii="Arial" w:cs="Arial" w:eastAsia="Arial" w:hAnsi="Arial"/>
                <w:sz w:val="17"/>
                <w:szCs w:val="17"/>
                <w:color w:val="0000EE"/>
                <w:w w:val="87"/>
              </w:rPr>
            </w:pPr>
            <w:hyperlink w:anchor="page7">
              <w:r>
                <w:rPr>
                  <w:rFonts w:ascii="Arial" w:cs="Arial" w:eastAsia="Arial" w:hAnsi="Arial"/>
                  <w:sz w:val="17"/>
                  <w:szCs w:val="17"/>
                  <w:color w:val="0000EE"/>
                  <w:w w:val="87"/>
                </w:rPr>
                <w:t>Condensed Statements of Stockholders’ Equity</w:t>
              </w:r>
            </w:hyperlink>
          </w:p>
        </w:tc>
        <w:tc>
          <w:tcPr>
            <w:tcW w:w="1680" w:type="dxa"/>
            <w:vAlign w:val="bottom"/>
            <w:tcBorders>
              <w:top w:val="single" w:sz="8" w:color="0000EE"/>
            </w:tcBorders>
            <w:gridSpan w:val="3"/>
          </w:tcPr>
          <w:p>
            <w:pPr>
              <w:spacing w:after="0"/>
              <w:rPr>
                <w:sz w:val="15"/>
                <w:szCs w:val="15"/>
                <w:color w:val="auto"/>
              </w:rPr>
            </w:pPr>
          </w:p>
        </w:tc>
        <w:tc>
          <w:tcPr>
            <w:tcW w:w="3240" w:type="dxa"/>
            <w:vAlign w:val="bottom"/>
            <w:gridSpan w:val="2"/>
          </w:tcPr>
          <w:p>
            <w:pPr>
              <w:spacing w:after="0"/>
              <w:rPr>
                <w:sz w:val="15"/>
                <w:szCs w:val="15"/>
                <w:color w:val="auto"/>
              </w:rPr>
            </w:pPr>
          </w:p>
        </w:tc>
        <w:tc>
          <w:tcPr>
            <w:tcW w:w="2160" w:type="dxa"/>
            <w:vAlign w:val="bottom"/>
          </w:tcPr>
          <w:p>
            <w:pPr>
              <w:jc w:val="right"/>
              <w:spacing w:after="0" w:line="179" w:lineRule="exact"/>
              <w:rPr>
                <w:sz w:val="20"/>
                <w:szCs w:val="20"/>
                <w:color w:val="auto"/>
              </w:rPr>
            </w:pPr>
            <w:r>
              <w:rPr>
                <w:rFonts w:ascii="Arial" w:cs="Arial" w:eastAsia="Arial" w:hAnsi="Arial"/>
                <w:sz w:val="17"/>
                <w:szCs w:val="17"/>
                <w:color w:val="auto"/>
              </w:rPr>
              <w:t>7</w:t>
            </w:r>
          </w:p>
        </w:tc>
      </w:tr>
      <w:tr>
        <w:trPr>
          <w:trHeight w:val="179"/>
        </w:trPr>
        <w:tc>
          <w:tcPr>
            <w:tcW w:w="1020" w:type="dxa"/>
            <w:vAlign w:val="bottom"/>
          </w:tcPr>
          <w:p>
            <w:pPr>
              <w:spacing w:after="0"/>
              <w:rPr>
                <w:sz w:val="15"/>
                <w:szCs w:val="15"/>
                <w:color w:val="auto"/>
              </w:rPr>
            </w:pPr>
          </w:p>
        </w:tc>
        <w:tc>
          <w:tcPr>
            <w:tcW w:w="2520" w:type="dxa"/>
            <w:vAlign w:val="bottom"/>
            <w:tcBorders>
              <w:bottom w:val="single" w:sz="8" w:color="0000EE"/>
            </w:tcBorders>
            <w:gridSpan w:val="3"/>
          </w:tcPr>
          <w:p>
            <w:pPr>
              <w:ind w:left="20"/>
              <w:spacing w:after="0" w:line="179" w:lineRule="exact"/>
              <w:rPr>
                <w:rFonts w:ascii="Arial" w:cs="Arial" w:eastAsia="Arial" w:hAnsi="Arial"/>
                <w:sz w:val="17"/>
                <w:szCs w:val="17"/>
                <w:color w:val="0000EE"/>
                <w:w w:val="85"/>
              </w:rPr>
            </w:pPr>
            <w:hyperlink w:anchor="page8">
              <w:r>
                <w:rPr>
                  <w:rFonts w:ascii="Arial" w:cs="Arial" w:eastAsia="Arial" w:hAnsi="Arial"/>
                  <w:sz w:val="17"/>
                  <w:szCs w:val="17"/>
                  <w:color w:val="0000EE"/>
                  <w:w w:val="85"/>
                </w:rPr>
                <w:t>Condensed Statements of Cash Flows</w:t>
              </w:r>
            </w:hyperlink>
          </w:p>
        </w:tc>
        <w:tc>
          <w:tcPr>
            <w:tcW w:w="5540" w:type="dxa"/>
            <w:vAlign w:val="bottom"/>
            <w:gridSpan w:val="7"/>
          </w:tcPr>
          <w:p>
            <w:pPr>
              <w:spacing w:after="0"/>
              <w:rPr>
                <w:sz w:val="15"/>
                <w:szCs w:val="15"/>
                <w:color w:val="auto"/>
              </w:rPr>
            </w:pPr>
          </w:p>
        </w:tc>
        <w:tc>
          <w:tcPr>
            <w:tcW w:w="2160" w:type="dxa"/>
            <w:vAlign w:val="bottom"/>
          </w:tcPr>
          <w:p>
            <w:pPr>
              <w:jc w:val="right"/>
              <w:spacing w:after="0" w:line="179" w:lineRule="exact"/>
              <w:rPr>
                <w:sz w:val="20"/>
                <w:szCs w:val="20"/>
                <w:color w:val="auto"/>
              </w:rPr>
            </w:pPr>
            <w:r>
              <w:rPr>
                <w:rFonts w:ascii="Arial" w:cs="Arial" w:eastAsia="Arial" w:hAnsi="Arial"/>
                <w:sz w:val="17"/>
                <w:szCs w:val="17"/>
                <w:color w:val="auto"/>
              </w:rPr>
              <w:t>8</w:t>
            </w:r>
          </w:p>
        </w:tc>
      </w:tr>
      <w:tr>
        <w:trPr>
          <w:trHeight w:val="179"/>
        </w:trPr>
        <w:tc>
          <w:tcPr>
            <w:tcW w:w="1020" w:type="dxa"/>
            <w:vAlign w:val="bottom"/>
          </w:tcPr>
          <w:p>
            <w:pPr>
              <w:spacing w:after="0"/>
              <w:rPr>
                <w:sz w:val="15"/>
                <w:szCs w:val="15"/>
                <w:color w:val="auto"/>
              </w:rPr>
            </w:pPr>
          </w:p>
        </w:tc>
        <w:tc>
          <w:tcPr>
            <w:tcW w:w="8060" w:type="dxa"/>
            <w:vAlign w:val="bottom"/>
            <w:gridSpan w:val="10"/>
          </w:tcPr>
          <w:p>
            <w:pPr>
              <w:ind w:left="20"/>
              <w:spacing w:after="0" w:line="179" w:lineRule="exact"/>
              <w:rPr>
                <w:rFonts w:ascii="Arial" w:cs="Arial" w:eastAsia="Arial" w:hAnsi="Arial"/>
                <w:sz w:val="17"/>
                <w:szCs w:val="17"/>
                <w:color w:val="0000EE"/>
              </w:rPr>
            </w:pPr>
            <w:hyperlink w:anchor="page9">
              <w:r>
                <w:rPr>
                  <w:rFonts w:ascii="Arial" w:cs="Arial" w:eastAsia="Arial" w:hAnsi="Arial"/>
                  <w:sz w:val="17"/>
                  <w:szCs w:val="17"/>
                  <w:color w:val="0000EE"/>
                </w:rPr>
                <w:t>Notes to Condensed Financial Statements (Unaudited)</w:t>
              </w:r>
            </w:hyperlink>
          </w:p>
        </w:tc>
        <w:tc>
          <w:tcPr>
            <w:tcW w:w="2160" w:type="dxa"/>
            <w:vAlign w:val="bottom"/>
          </w:tcPr>
          <w:p>
            <w:pPr>
              <w:jc w:val="right"/>
              <w:spacing w:after="0" w:line="179" w:lineRule="exact"/>
              <w:rPr>
                <w:sz w:val="20"/>
                <w:szCs w:val="20"/>
                <w:color w:val="auto"/>
              </w:rPr>
            </w:pPr>
            <w:r>
              <w:rPr>
                <w:rFonts w:ascii="Arial" w:cs="Arial" w:eastAsia="Arial" w:hAnsi="Arial"/>
                <w:sz w:val="17"/>
                <w:szCs w:val="17"/>
                <w:color w:val="auto"/>
              </w:rPr>
              <w:t>9</w:t>
            </w:r>
          </w:p>
        </w:tc>
      </w:tr>
      <w:tr>
        <w:trPr>
          <w:trHeight w:val="20"/>
        </w:trPr>
        <w:tc>
          <w:tcPr>
            <w:tcW w:w="102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960" w:type="dxa"/>
            <w:vAlign w:val="bottom"/>
            <w:gridSpan w:val="5"/>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79"/>
        </w:trPr>
        <w:tc>
          <w:tcPr>
            <w:tcW w:w="1020" w:type="dxa"/>
            <w:vAlign w:val="bottom"/>
          </w:tcPr>
          <w:p>
            <w:pPr>
              <w:spacing w:after="0" w:line="179" w:lineRule="exact"/>
              <w:rPr>
                <w:sz w:val="20"/>
                <w:szCs w:val="20"/>
                <w:color w:val="auto"/>
              </w:rPr>
            </w:pPr>
            <w:r>
              <w:rPr>
                <w:rFonts w:ascii="Arial" w:cs="Arial" w:eastAsia="Arial" w:hAnsi="Arial"/>
                <w:sz w:val="17"/>
                <w:szCs w:val="17"/>
                <w:color w:val="auto"/>
              </w:rPr>
              <w:t>Item 2.</w:t>
            </w:r>
          </w:p>
        </w:tc>
        <w:tc>
          <w:tcPr>
            <w:tcW w:w="8060" w:type="dxa"/>
            <w:vAlign w:val="bottom"/>
            <w:gridSpan w:val="10"/>
          </w:tcPr>
          <w:p>
            <w:pPr>
              <w:ind w:left="20"/>
              <w:spacing w:after="0" w:line="179" w:lineRule="exact"/>
              <w:rPr>
                <w:rFonts w:ascii="Arial" w:cs="Arial" w:eastAsia="Arial" w:hAnsi="Arial"/>
                <w:sz w:val="17"/>
                <w:szCs w:val="17"/>
                <w:color w:val="0000EE"/>
              </w:rPr>
            </w:pPr>
            <w:hyperlink w:anchor="page23">
              <w:r>
                <w:rPr>
                  <w:rFonts w:ascii="Arial" w:cs="Arial" w:eastAsia="Arial" w:hAnsi="Arial"/>
                  <w:sz w:val="17"/>
                  <w:szCs w:val="17"/>
                  <w:color w:val="0000EE"/>
                </w:rPr>
                <w:t>Management’s Discussion and Analysis of Financial Condition and Results of Operations</w:t>
              </w:r>
            </w:hyperlink>
          </w:p>
        </w:tc>
        <w:tc>
          <w:tcPr>
            <w:tcW w:w="2160" w:type="dxa"/>
            <w:vAlign w:val="bottom"/>
          </w:tcPr>
          <w:p>
            <w:pPr>
              <w:jc w:val="right"/>
              <w:spacing w:after="0" w:line="179" w:lineRule="exact"/>
              <w:rPr>
                <w:sz w:val="20"/>
                <w:szCs w:val="20"/>
                <w:color w:val="auto"/>
              </w:rPr>
            </w:pPr>
            <w:r>
              <w:rPr>
                <w:rFonts w:ascii="Arial" w:cs="Arial" w:eastAsia="Arial" w:hAnsi="Arial"/>
                <w:sz w:val="17"/>
                <w:szCs w:val="17"/>
                <w:color w:val="auto"/>
              </w:rPr>
              <w:t>23</w:t>
            </w:r>
          </w:p>
        </w:tc>
      </w:tr>
      <w:tr>
        <w:trPr>
          <w:trHeight w:val="179"/>
        </w:trPr>
        <w:tc>
          <w:tcPr>
            <w:tcW w:w="1020" w:type="dxa"/>
            <w:vAlign w:val="bottom"/>
          </w:tcPr>
          <w:p>
            <w:pPr>
              <w:spacing w:after="0" w:line="179" w:lineRule="exact"/>
              <w:rPr>
                <w:sz w:val="20"/>
                <w:szCs w:val="20"/>
                <w:color w:val="auto"/>
              </w:rPr>
            </w:pPr>
            <w:r>
              <w:rPr>
                <w:rFonts w:ascii="Arial" w:cs="Arial" w:eastAsia="Arial" w:hAnsi="Arial"/>
                <w:sz w:val="17"/>
                <w:szCs w:val="17"/>
                <w:color w:val="auto"/>
              </w:rPr>
              <w:t>Item 3.</w:t>
            </w:r>
          </w:p>
        </w:tc>
        <w:tc>
          <w:tcPr>
            <w:tcW w:w="4020" w:type="dxa"/>
            <w:vAlign w:val="bottom"/>
            <w:tcBorders>
              <w:top w:val="single" w:sz="8" w:color="0000EE"/>
              <w:bottom w:val="single" w:sz="8" w:color="0000EE"/>
            </w:tcBorders>
            <w:gridSpan w:val="7"/>
          </w:tcPr>
          <w:p>
            <w:pPr>
              <w:ind w:left="20"/>
              <w:spacing w:after="0" w:line="179" w:lineRule="exact"/>
              <w:rPr>
                <w:rFonts w:ascii="Arial" w:cs="Arial" w:eastAsia="Arial" w:hAnsi="Arial"/>
                <w:sz w:val="17"/>
                <w:szCs w:val="17"/>
                <w:color w:val="0000EE"/>
                <w:w w:val="89"/>
              </w:rPr>
            </w:pPr>
            <w:hyperlink w:anchor="page31">
              <w:r>
                <w:rPr>
                  <w:rFonts w:ascii="Arial" w:cs="Arial" w:eastAsia="Arial" w:hAnsi="Arial"/>
                  <w:sz w:val="17"/>
                  <w:szCs w:val="17"/>
                  <w:color w:val="0000EE"/>
                  <w:w w:val="89"/>
                </w:rPr>
                <w:t>Quantitative and Qualitative Disclosures About Market Risk</w:t>
              </w:r>
            </w:hyperlink>
          </w:p>
        </w:tc>
        <w:tc>
          <w:tcPr>
            <w:tcW w:w="1920" w:type="dxa"/>
            <w:vAlign w:val="bottom"/>
            <w:tcBorders>
              <w:top w:val="single" w:sz="8" w:color="0000EE"/>
            </w:tcBorders>
            <w:gridSpan w:val="2"/>
          </w:tcPr>
          <w:p>
            <w:pPr>
              <w:spacing w:after="0"/>
              <w:rPr>
                <w:sz w:val="15"/>
                <w:szCs w:val="15"/>
                <w:color w:val="auto"/>
              </w:rPr>
            </w:pPr>
          </w:p>
        </w:tc>
        <w:tc>
          <w:tcPr>
            <w:tcW w:w="2120" w:type="dxa"/>
            <w:vAlign w:val="bottom"/>
          </w:tcPr>
          <w:p>
            <w:pPr>
              <w:spacing w:after="0"/>
              <w:rPr>
                <w:sz w:val="15"/>
                <w:szCs w:val="15"/>
                <w:color w:val="auto"/>
              </w:rPr>
            </w:pPr>
          </w:p>
        </w:tc>
        <w:tc>
          <w:tcPr>
            <w:tcW w:w="2160" w:type="dxa"/>
            <w:vAlign w:val="bottom"/>
          </w:tcPr>
          <w:p>
            <w:pPr>
              <w:jc w:val="right"/>
              <w:spacing w:after="0" w:line="179" w:lineRule="exact"/>
              <w:rPr>
                <w:sz w:val="20"/>
                <w:szCs w:val="20"/>
                <w:color w:val="auto"/>
              </w:rPr>
            </w:pPr>
            <w:r>
              <w:rPr>
                <w:rFonts w:ascii="Arial" w:cs="Arial" w:eastAsia="Arial" w:hAnsi="Arial"/>
                <w:sz w:val="17"/>
                <w:szCs w:val="17"/>
                <w:color w:val="auto"/>
              </w:rPr>
              <w:t>31</w:t>
            </w:r>
          </w:p>
        </w:tc>
      </w:tr>
      <w:tr>
        <w:trPr>
          <w:trHeight w:val="179"/>
        </w:trPr>
        <w:tc>
          <w:tcPr>
            <w:tcW w:w="1020" w:type="dxa"/>
            <w:vAlign w:val="bottom"/>
          </w:tcPr>
          <w:p>
            <w:pPr>
              <w:spacing w:after="0" w:line="179" w:lineRule="exact"/>
              <w:rPr>
                <w:sz w:val="20"/>
                <w:szCs w:val="20"/>
                <w:color w:val="auto"/>
              </w:rPr>
            </w:pPr>
            <w:r>
              <w:rPr>
                <w:rFonts w:ascii="Arial" w:cs="Arial" w:eastAsia="Arial" w:hAnsi="Arial"/>
                <w:sz w:val="17"/>
                <w:szCs w:val="17"/>
                <w:color w:val="auto"/>
              </w:rPr>
              <w:t>Item 4</w:t>
            </w:r>
          </w:p>
        </w:tc>
        <w:tc>
          <w:tcPr>
            <w:tcW w:w="1640" w:type="dxa"/>
            <w:vAlign w:val="bottom"/>
            <w:tcBorders>
              <w:bottom w:val="single" w:sz="8" w:color="0000EE"/>
            </w:tcBorders>
          </w:tcPr>
          <w:p>
            <w:pPr>
              <w:ind w:left="20"/>
              <w:spacing w:after="0" w:line="179" w:lineRule="exact"/>
              <w:rPr>
                <w:rFonts w:ascii="Arial" w:cs="Arial" w:eastAsia="Arial" w:hAnsi="Arial"/>
                <w:sz w:val="17"/>
                <w:szCs w:val="17"/>
                <w:color w:val="0000EE"/>
                <w:w w:val="85"/>
              </w:rPr>
            </w:pPr>
            <w:hyperlink w:anchor="page32">
              <w:r>
                <w:rPr>
                  <w:rFonts w:ascii="Arial" w:cs="Arial" w:eastAsia="Arial" w:hAnsi="Arial"/>
                  <w:sz w:val="17"/>
                  <w:szCs w:val="17"/>
                  <w:color w:val="0000EE"/>
                  <w:w w:val="85"/>
                </w:rPr>
                <w:t>Controls and Procedures</w:t>
              </w:r>
            </w:hyperlink>
          </w:p>
        </w:tc>
        <w:tc>
          <w:tcPr>
            <w:tcW w:w="6420" w:type="dxa"/>
            <w:vAlign w:val="bottom"/>
            <w:gridSpan w:val="9"/>
          </w:tcPr>
          <w:p>
            <w:pPr>
              <w:spacing w:after="0"/>
              <w:rPr>
                <w:sz w:val="15"/>
                <w:szCs w:val="15"/>
                <w:color w:val="auto"/>
              </w:rPr>
            </w:pPr>
          </w:p>
        </w:tc>
        <w:tc>
          <w:tcPr>
            <w:tcW w:w="2160" w:type="dxa"/>
            <w:vAlign w:val="bottom"/>
          </w:tcPr>
          <w:p>
            <w:pPr>
              <w:jc w:val="right"/>
              <w:spacing w:after="0" w:line="179" w:lineRule="exact"/>
              <w:rPr>
                <w:sz w:val="20"/>
                <w:szCs w:val="20"/>
                <w:color w:val="auto"/>
              </w:rPr>
            </w:pPr>
            <w:r>
              <w:rPr>
                <w:rFonts w:ascii="Arial" w:cs="Arial" w:eastAsia="Arial" w:hAnsi="Arial"/>
                <w:sz w:val="17"/>
                <w:szCs w:val="17"/>
                <w:color w:val="auto"/>
              </w:rPr>
              <w:t>32</w:t>
            </w:r>
          </w:p>
        </w:tc>
      </w:tr>
    </w:tbl>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60" w:type="dxa"/>
            <w:vAlign w:val="bottom"/>
            <w:gridSpan w:val="2"/>
          </w:tcPr>
          <w:p>
            <w:pPr>
              <w:ind w:left="1160"/>
              <w:spacing w:after="0"/>
              <w:rPr>
                <w:sz w:val="20"/>
                <w:szCs w:val="20"/>
                <w:color w:val="auto"/>
              </w:rPr>
            </w:pPr>
            <w:r>
              <w:rPr>
                <w:rFonts w:ascii="Arial" w:cs="Arial" w:eastAsia="Arial" w:hAnsi="Arial"/>
                <w:sz w:val="17"/>
                <w:szCs w:val="17"/>
                <w:b w:val="1"/>
                <w:bCs w:val="1"/>
                <w:color w:val="auto"/>
              </w:rPr>
              <w:t>PART II – OTHER INFORMATION</w:t>
            </w:r>
          </w:p>
        </w:tc>
        <w:tc>
          <w:tcPr>
            <w:tcW w:w="2220" w:type="dxa"/>
            <w:vAlign w:val="bottom"/>
          </w:tcPr>
          <w:p>
            <w:pPr>
              <w:spacing w:after="0"/>
              <w:rPr>
                <w:sz w:val="18"/>
                <w:szCs w:val="18"/>
                <w:color w:val="auto"/>
              </w:rPr>
            </w:pPr>
          </w:p>
        </w:tc>
      </w:tr>
      <w:tr>
        <w:trPr>
          <w:trHeight w:val="275"/>
        </w:trPr>
        <w:tc>
          <w:tcPr>
            <w:tcW w:w="1020" w:type="dxa"/>
            <w:vAlign w:val="bottom"/>
            <w:gridSpan w:val="2"/>
          </w:tcPr>
          <w:p>
            <w:pPr>
              <w:spacing w:after="0"/>
              <w:rPr>
                <w:sz w:val="20"/>
                <w:szCs w:val="20"/>
                <w:color w:val="auto"/>
              </w:rPr>
            </w:pPr>
            <w:r>
              <w:rPr>
                <w:rFonts w:ascii="Arial" w:cs="Arial" w:eastAsia="Arial" w:hAnsi="Arial"/>
                <w:sz w:val="17"/>
                <w:szCs w:val="17"/>
                <w:color w:val="auto"/>
              </w:rPr>
              <w:t>Item 1.</w:t>
            </w:r>
          </w:p>
        </w:tc>
        <w:tc>
          <w:tcPr>
            <w:tcW w:w="1240" w:type="dxa"/>
            <w:vAlign w:val="bottom"/>
            <w:tcBorders>
              <w:bottom w:val="single" w:sz="8" w:color="0000EE"/>
            </w:tcBorders>
            <w:gridSpan w:val="4"/>
          </w:tcPr>
          <w:p>
            <w:pPr>
              <w:ind w:left="20"/>
              <w:spacing w:after="0"/>
              <w:rPr>
                <w:rFonts w:ascii="Arial" w:cs="Arial" w:eastAsia="Arial" w:hAnsi="Arial"/>
                <w:sz w:val="17"/>
                <w:szCs w:val="17"/>
                <w:color w:val="0000EE"/>
                <w:w w:val="85"/>
              </w:rPr>
            </w:pPr>
            <w:hyperlink w:anchor="page33">
              <w:r>
                <w:rPr>
                  <w:rFonts w:ascii="Arial" w:cs="Arial" w:eastAsia="Arial" w:hAnsi="Arial"/>
                  <w:sz w:val="17"/>
                  <w:szCs w:val="17"/>
                  <w:color w:val="0000EE"/>
                  <w:w w:val="85"/>
                </w:rPr>
                <w:t>Legal Proceedings</w:t>
              </w:r>
            </w:hyperlink>
          </w:p>
        </w:tc>
        <w:tc>
          <w:tcPr>
            <w:tcW w:w="6760" w:type="dxa"/>
            <w:vAlign w:val="bottom"/>
            <w:gridSpan w:val="4"/>
          </w:tcPr>
          <w:p>
            <w:pPr>
              <w:spacing w:after="0"/>
              <w:rPr>
                <w:sz w:val="23"/>
                <w:szCs w:val="23"/>
                <w:color w:val="auto"/>
              </w:rPr>
            </w:pPr>
          </w:p>
        </w:tc>
        <w:tc>
          <w:tcPr>
            <w:tcW w:w="222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179"/>
        </w:trPr>
        <w:tc>
          <w:tcPr>
            <w:tcW w:w="1020" w:type="dxa"/>
            <w:vAlign w:val="bottom"/>
            <w:gridSpan w:val="2"/>
          </w:tcPr>
          <w:p>
            <w:pPr>
              <w:spacing w:after="0" w:line="179" w:lineRule="exact"/>
              <w:rPr>
                <w:sz w:val="20"/>
                <w:szCs w:val="20"/>
                <w:color w:val="auto"/>
              </w:rPr>
            </w:pPr>
            <w:r>
              <w:rPr>
                <w:rFonts w:ascii="Arial" w:cs="Arial" w:eastAsia="Arial" w:hAnsi="Arial"/>
                <w:sz w:val="17"/>
                <w:szCs w:val="17"/>
                <w:color w:val="auto"/>
              </w:rPr>
              <w:t>Item 1A.</w:t>
            </w:r>
          </w:p>
        </w:tc>
        <w:tc>
          <w:tcPr>
            <w:tcW w:w="8000" w:type="dxa"/>
            <w:vAlign w:val="bottom"/>
            <w:gridSpan w:val="8"/>
          </w:tcPr>
          <w:p>
            <w:pPr>
              <w:ind w:left="20"/>
              <w:spacing w:after="0" w:line="179" w:lineRule="exact"/>
              <w:rPr>
                <w:rFonts w:ascii="Arial" w:cs="Arial" w:eastAsia="Arial" w:hAnsi="Arial"/>
                <w:sz w:val="17"/>
                <w:szCs w:val="17"/>
                <w:color w:val="0000EE"/>
              </w:rPr>
            </w:pPr>
            <w:hyperlink w:anchor="page33">
              <w:r>
                <w:rPr>
                  <w:rFonts w:ascii="Arial" w:cs="Arial" w:eastAsia="Arial" w:hAnsi="Arial"/>
                  <w:sz w:val="17"/>
                  <w:szCs w:val="17"/>
                  <w:color w:val="0000EE"/>
                </w:rPr>
                <w:t>Risk Factors</w:t>
              </w:r>
            </w:hyperlink>
          </w:p>
        </w:tc>
        <w:tc>
          <w:tcPr>
            <w:tcW w:w="2220" w:type="dxa"/>
            <w:vAlign w:val="bottom"/>
          </w:tcPr>
          <w:p>
            <w:pPr>
              <w:jc w:val="right"/>
              <w:spacing w:after="0" w:line="179" w:lineRule="exact"/>
              <w:rPr>
                <w:sz w:val="20"/>
                <w:szCs w:val="20"/>
                <w:color w:val="auto"/>
              </w:rPr>
            </w:pPr>
            <w:r>
              <w:rPr>
                <w:rFonts w:ascii="Arial" w:cs="Arial" w:eastAsia="Arial" w:hAnsi="Arial"/>
                <w:sz w:val="17"/>
                <w:szCs w:val="17"/>
                <w:color w:val="auto"/>
              </w:rPr>
              <w:t>33</w:t>
            </w:r>
          </w:p>
        </w:tc>
      </w:tr>
      <w:tr>
        <w:trPr>
          <w:trHeight w:val="20"/>
        </w:trPr>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79"/>
        </w:trPr>
        <w:tc>
          <w:tcPr>
            <w:tcW w:w="1020" w:type="dxa"/>
            <w:vAlign w:val="bottom"/>
            <w:gridSpan w:val="2"/>
          </w:tcPr>
          <w:p>
            <w:pPr>
              <w:spacing w:after="0" w:line="179" w:lineRule="exact"/>
              <w:rPr>
                <w:sz w:val="20"/>
                <w:szCs w:val="20"/>
                <w:color w:val="auto"/>
              </w:rPr>
            </w:pPr>
            <w:r>
              <w:rPr>
                <w:rFonts w:ascii="Arial" w:cs="Arial" w:eastAsia="Arial" w:hAnsi="Arial"/>
                <w:sz w:val="17"/>
                <w:szCs w:val="17"/>
                <w:color w:val="auto"/>
              </w:rPr>
              <w:t>Item 2.</w:t>
            </w:r>
          </w:p>
        </w:tc>
        <w:tc>
          <w:tcPr>
            <w:tcW w:w="8000" w:type="dxa"/>
            <w:vAlign w:val="bottom"/>
            <w:gridSpan w:val="8"/>
          </w:tcPr>
          <w:p>
            <w:pPr>
              <w:ind w:left="20"/>
              <w:spacing w:after="0" w:line="179" w:lineRule="exact"/>
              <w:rPr>
                <w:rFonts w:ascii="Arial" w:cs="Arial" w:eastAsia="Arial" w:hAnsi="Arial"/>
                <w:sz w:val="17"/>
                <w:szCs w:val="17"/>
                <w:color w:val="0000EE"/>
              </w:rPr>
            </w:pPr>
            <w:hyperlink w:anchor="page76">
              <w:r>
                <w:rPr>
                  <w:rFonts w:ascii="Arial" w:cs="Arial" w:eastAsia="Arial" w:hAnsi="Arial"/>
                  <w:sz w:val="17"/>
                  <w:szCs w:val="17"/>
                  <w:color w:val="0000EE"/>
                </w:rPr>
                <w:t>Unregistered Sales of Equity Securities and Use of Proceeds</w:t>
              </w:r>
            </w:hyperlink>
          </w:p>
        </w:tc>
        <w:tc>
          <w:tcPr>
            <w:tcW w:w="2220" w:type="dxa"/>
            <w:vAlign w:val="bottom"/>
          </w:tcPr>
          <w:p>
            <w:pPr>
              <w:jc w:val="right"/>
              <w:spacing w:after="0" w:line="179" w:lineRule="exact"/>
              <w:rPr>
                <w:sz w:val="20"/>
                <w:szCs w:val="20"/>
                <w:color w:val="auto"/>
              </w:rPr>
            </w:pPr>
            <w:r>
              <w:rPr>
                <w:rFonts w:ascii="Arial" w:cs="Arial" w:eastAsia="Arial" w:hAnsi="Arial"/>
                <w:sz w:val="17"/>
                <w:szCs w:val="17"/>
                <w:color w:val="auto"/>
              </w:rPr>
              <w:t>76</w:t>
            </w:r>
          </w:p>
        </w:tc>
      </w:tr>
      <w:tr>
        <w:trPr>
          <w:trHeight w:val="179"/>
        </w:trPr>
        <w:tc>
          <w:tcPr>
            <w:tcW w:w="1020" w:type="dxa"/>
            <w:vAlign w:val="bottom"/>
            <w:gridSpan w:val="2"/>
          </w:tcPr>
          <w:p>
            <w:pPr>
              <w:spacing w:after="0" w:line="179" w:lineRule="exact"/>
              <w:rPr>
                <w:sz w:val="20"/>
                <w:szCs w:val="20"/>
                <w:color w:val="auto"/>
              </w:rPr>
            </w:pPr>
            <w:r>
              <w:rPr>
                <w:rFonts w:ascii="Arial" w:cs="Arial" w:eastAsia="Arial" w:hAnsi="Arial"/>
                <w:sz w:val="17"/>
                <w:szCs w:val="17"/>
                <w:color w:val="auto"/>
              </w:rPr>
              <w:t>Item 3.</w:t>
            </w:r>
          </w:p>
        </w:tc>
        <w:tc>
          <w:tcPr>
            <w:tcW w:w="4000" w:type="dxa"/>
            <w:vAlign w:val="bottom"/>
            <w:tcBorders>
              <w:top w:val="single" w:sz="8" w:color="0000EE"/>
            </w:tcBorders>
            <w:gridSpan w:val="7"/>
          </w:tcPr>
          <w:p>
            <w:pPr>
              <w:ind w:left="20"/>
              <w:spacing w:after="0" w:line="179" w:lineRule="exact"/>
              <w:rPr>
                <w:rFonts w:ascii="Arial" w:cs="Arial" w:eastAsia="Arial" w:hAnsi="Arial"/>
                <w:sz w:val="17"/>
                <w:szCs w:val="17"/>
                <w:color w:val="0000EE"/>
              </w:rPr>
            </w:pPr>
            <w:hyperlink w:anchor="page76">
              <w:r>
                <w:rPr>
                  <w:rFonts w:ascii="Arial" w:cs="Arial" w:eastAsia="Arial" w:hAnsi="Arial"/>
                  <w:sz w:val="17"/>
                  <w:szCs w:val="17"/>
                  <w:color w:val="0000EE"/>
                </w:rPr>
                <w:t>Defaults Upon Senior Securities</w:t>
              </w:r>
            </w:hyperlink>
          </w:p>
        </w:tc>
        <w:tc>
          <w:tcPr>
            <w:tcW w:w="4000" w:type="dxa"/>
            <w:vAlign w:val="bottom"/>
          </w:tcPr>
          <w:p>
            <w:pPr>
              <w:spacing w:after="0"/>
              <w:rPr>
                <w:sz w:val="15"/>
                <w:szCs w:val="15"/>
                <w:color w:val="auto"/>
              </w:rPr>
            </w:pPr>
          </w:p>
        </w:tc>
        <w:tc>
          <w:tcPr>
            <w:tcW w:w="2220" w:type="dxa"/>
            <w:vAlign w:val="bottom"/>
          </w:tcPr>
          <w:p>
            <w:pPr>
              <w:jc w:val="right"/>
              <w:spacing w:after="0" w:line="179" w:lineRule="exact"/>
              <w:rPr>
                <w:sz w:val="20"/>
                <w:szCs w:val="20"/>
                <w:color w:val="auto"/>
              </w:rPr>
            </w:pPr>
            <w:r>
              <w:rPr>
                <w:rFonts w:ascii="Arial" w:cs="Arial" w:eastAsia="Arial" w:hAnsi="Arial"/>
                <w:sz w:val="17"/>
                <w:szCs w:val="17"/>
                <w:color w:val="auto"/>
              </w:rPr>
              <w:t>76</w:t>
            </w:r>
          </w:p>
        </w:tc>
      </w:tr>
      <w:tr>
        <w:trPr>
          <w:trHeight w:val="179"/>
        </w:trPr>
        <w:tc>
          <w:tcPr>
            <w:tcW w:w="1020" w:type="dxa"/>
            <w:vAlign w:val="bottom"/>
            <w:gridSpan w:val="2"/>
          </w:tcPr>
          <w:p>
            <w:pPr>
              <w:spacing w:after="0" w:line="179" w:lineRule="exact"/>
              <w:rPr>
                <w:sz w:val="20"/>
                <w:szCs w:val="20"/>
                <w:color w:val="auto"/>
              </w:rPr>
            </w:pPr>
            <w:r>
              <w:rPr>
                <w:rFonts w:ascii="Arial" w:cs="Arial" w:eastAsia="Arial" w:hAnsi="Arial"/>
                <w:sz w:val="17"/>
                <w:szCs w:val="17"/>
                <w:color w:val="auto"/>
              </w:rPr>
              <w:t>Item 4.</w:t>
            </w:r>
          </w:p>
        </w:tc>
        <w:tc>
          <w:tcPr>
            <w:tcW w:w="1640" w:type="dxa"/>
            <w:vAlign w:val="bottom"/>
            <w:tcBorders>
              <w:top w:val="single" w:sz="8" w:color="0000EE"/>
              <w:bottom w:val="single" w:sz="8" w:color="0000EE"/>
            </w:tcBorders>
            <w:gridSpan w:val="5"/>
          </w:tcPr>
          <w:p>
            <w:pPr>
              <w:ind w:left="20"/>
              <w:spacing w:after="0" w:line="179" w:lineRule="exact"/>
              <w:rPr>
                <w:rFonts w:ascii="Arial" w:cs="Arial" w:eastAsia="Arial" w:hAnsi="Arial"/>
                <w:sz w:val="17"/>
                <w:szCs w:val="17"/>
                <w:color w:val="0000EE"/>
                <w:w w:val="87"/>
              </w:rPr>
            </w:pPr>
            <w:hyperlink w:anchor="page76">
              <w:r>
                <w:rPr>
                  <w:rFonts w:ascii="Arial" w:cs="Arial" w:eastAsia="Arial" w:hAnsi="Arial"/>
                  <w:sz w:val="17"/>
                  <w:szCs w:val="17"/>
                  <w:color w:val="0000EE"/>
                  <w:w w:val="87"/>
                </w:rPr>
                <w:t>Mine Safety Disclosures</w:t>
              </w:r>
            </w:hyperlink>
          </w:p>
        </w:tc>
        <w:tc>
          <w:tcPr>
            <w:tcW w:w="500" w:type="dxa"/>
            <w:vAlign w:val="bottom"/>
            <w:tcBorders>
              <w:top w:val="single" w:sz="8" w:color="0000EE"/>
            </w:tcBorders>
          </w:tcPr>
          <w:p>
            <w:pPr>
              <w:spacing w:after="0"/>
              <w:rPr>
                <w:sz w:val="15"/>
                <w:szCs w:val="15"/>
                <w:color w:val="auto"/>
              </w:rPr>
            </w:pPr>
          </w:p>
        </w:tc>
        <w:tc>
          <w:tcPr>
            <w:tcW w:w="5860" w:type="dxa"/>
            <w:vAlign w:val="bottom"/>
            <w:gridSpan w:val="2"/>
          </w:tcPr>
          <w:p>
            <w:pPr>
              <w:spacing w:after="0"/>
              <w:rPr>
                <w:sz w:val="15"/>
                <w:szCs w:val="15"/>
                <w:color w:val="auto"/>
              </w:rPr>
            </w:pPr>
          </w:p>
        </w:tc>
        <w:tc>
          <w:tcPr>
            <w:tcW w:w="2220" w:type="dxa"/>
            <w:vAlign w:val="bottom"/>
          </w:tcPr>
          <w:p>
            <w:pPr>
              <w:jc w:val="right"/>
              <w:spacing w:after="0" w:line="179" w:lineRule="exact"/>
              <w:rPr>
                <w:sz w:val="20"/>
                <w:szCs w:val="20"/>
                <w:color w:val="auto"/>
              </w:rPr>
            </w:pPr>
            <w:r>
              <w:rPr>
                <w:rFonts w:ascii="Arial" w:cs="Arial" w:eastAsia="Arial" w:hAnsi="Arial"/>
                <w:sz w:val="17"/>
                <w:szCs w:val="17"/>
                <w:color w:val="auto"/>
              </w:rPr>
              <w:t>76</w:t>
            </w:r>
          </w:p>
        </w:tc>
      </w:tr>
      <w:tr>
        <w:trPr>
          <w:trHeight w:val="179"/>
        </w:trPr>
        <w:tc>
          <w:tcPr>
            <w:tcW w:w="1020" w:type="dxa"/>
            <w:vAlign w:val="bottom"/>
            <w:gridSpan w:val="2"/>
          </w:tcPr>
          <w:p>
            <w:pPr>
              <w:spacing w:after="0" w:line="179" w:lineRule="exact"/>
              <w:rPr>
                <w:sz w:val="20"/>
                <w:szCs w:val="20"/>
                <w:color w:val="auto"/>
              </w:rPr>
            </w:pPr>
            <w:r>
              <w:rPr>
                <w:rFonts w:ascii="Arial" w:cs="Arial" w:eastAsia="Arial" w:hAnsi="Arial"/>
                <w:sz w:val="17"/>
                <w:szCs w:val="17"/>
                <w:color w:val="auto"/>
              </w:rPr>
              <w:t>Item 5.</w:t>
            </w:r>
          </w:p>
        </w:tc>
        <w:tc>
          <w:tcPr>
            <w:tcW w:w="1220" w:type="dxa"/>
            <w:vAlign w:val="bottom"/>
            <w:tcBorders>
              <w:bottom w:val="single" w:sz="8" w:color="0000EE"/>
            </w:tcBorders>
            <w:gridSpan w:val="3"/>
          </w:tcPr>
          <w:p>
            <w:pPr>
              <w:ind w:left="20"/>
              <w:spacing w:after="0" w:line="179" w:lineRule="exact"/>
              <w:rPr>
                <w:rFonts w:ascii="Arial" w:cs="Arial" w:eastAsia="Arial" w:hAnsi="Arial"/>
                <w:sz w:val="17"/>
                <w:szCs w:val="17"/>
                <w:color w:val="0000EE"/>
                <w:w w:val="89"/>
              </w:rPr>
            </w:pPr>
            <w:hyperlink w:anchor="page76">
              <w:r>
                <w:rPr>
                  <w:rFonts w:ascii="Arial" w:cs="Arial" w:eastAsia="Arial" w:hAnsi="Arial"/>
                  <w:sz w:val="17"/>
                  <w:szCs w:val="17"/>
                  <w:color w:val="0000EE"/>
                  <w:w w:val="89"/>
                </w:rPr>
                <w:t>Other Information</w:t>
              </w:r>
            </w:hyperlink>
          </w:p>
        </w:tc>
        <w:tc>
          <w:tcPr>
            <w:tcW w:w="6780" w:type="dxa"/>
            <w:vAlign w:val="bottom"/>
            <w:gridSpan w:val="5"/>
          </w:tcPr>
          <w:p>
            <w:pPr>
              <w:spacing w:after="0"/>
              <w:rPr>
                <w:sz w:val="15"/>
                <w:szCs w:val="15"/>
                <w:color w:val="auto"/>
              </w:rPr>
            </w:pPr>
          </w:p>
        </w:tc>
        <w:tc>
          <w:tcPr>
            <w:tcW w:w="2220" w:type="dxa"/>
            <w:vAlign w:val="bottom"/>
          </w:tcPr>
          <w:p>
            <w:pPr>
              <w:jc w:val="right"/>
              <w:spacing w:after="0" w:line="179" w:lineRule="exact"/>
              <w:rPr>
                <w:sz w:val="20"/>
                <w:szCs w:val="20"/>
                <w:color w:val="auto"/>
              </w:rPr>
            </w:pPr>
            <w:r>
              <w:rPr>
                <w:rFonts w:ascii="Arial" w:cs="Arial" w:eastAsia="Arial" w:hAnsi="Arial"/>
                <w:sz w:val="17"/>
                <w:szCs w:val="17"/>
                <w:color w:val="auto"/>
              </w:rPr>
              <w:t>76</w:t>
            </w:r>
          </w:p>
        </w:tc>
      </w:tr>
      <w:tr>
        <w:trPr>
          <w:trHeight w:val="179"/>
        </w:trPr>
        <w:tc>
          <w:tcPr>
            <w:tcW w:w="1020" w:type="dxa"/>
            <w:vAlign w:val="bottom"/>
            <w:gridSpan w:val="2"/>
          </w:tcPr>
          <w:p>
            <w:pPr>
              <w:spacing w:after="0" w:line="179" w:lineRule="exact"/>
              <w:rPr>
                <w:sz w:val="20"/>
                <w:szCs w:val="20"/>
                <w:color w:val="auto"/>
              </w:rPr>
            </w:pPr>
            <w:r>
              <w:rPr>
                <w:rFonts w:ascii="Arial" w:cs="Arial" w:eastAsia="Arial" w:hAnsi="Arial"/>
                <w:sz w:val="17"/>
                <w:szCs w:val="17"/>
                <w:color w:val="auto"/>
              </w:rPr>
              <w:t>Item 6.</w:t>
            </w:r>
          </w:p>
        </w:tc>
        <w:tc>
          <w:tcPr>
            <w:tcW w:w="8000" w:type="dxa"/>
            <w:vAlign w:val="bottom"/>
            <w:gridSpan w:val="8"/>
          </w:tcPr>
          <w:p>
            <w:pPr>
              <w:ind w:left="20"/>
              <w:spacing w:after="0" w:line="179" w:lineRule="exact"/>
              <w:rPr>
                <w:rFonts w:ascii="Arial" w:cs="Arial" w:eastAsia="Arial" w:hAnsi="Arial"/>
                <w:sz w:val="17"/>
                <w:szCs w:val="17"/>
                <w:color w:val="0000EE"/>
              </w:rPr>
            </w:pPr>
            <w:hyperlink w:anchor="page77">
              <w:r>
                <w:rPr>
                  <w:rFonts w:ascii="Arial" w:cs="Arial" w:eastAsia="Arial" w:hAnsi="Arial"/>
                  <w:sz w:val="17"/>
                  <w:szCs w:val="17"/>
                  <w:color w:val="0000EE"/>
                </w:rPr>
                <w:t>Exhibits</w:t>
              </w:r>
            </w:hyperlink>
          </w:p>
        </w:tc>
        <w:tc>
          <w:tcPr>
            <w:tcW w:w="2220" w:type="dxa"/>
            <w:vAlign w:val="bottom"/>
          </w:tcPr>
          <w:p>
            <w:pPr>
              <w:jc w:val="right"/>
              <w:spacing w:after="0" w:line="179" w:lineRule="exact"/>
              <w:rPr>
                <w:sz w:val="20"/>
                <w:szCs w:val="20"/>
                <w:color w:val="auto"/>
              </w:rPr>
            </w:pPr>
            <w:r>
              <w:rPr>
                <w:rFonts w:ascii="Arial" w:cs="Arial" w:eastAsia="Arial" w:hAnsi="Arial"/>
                <w:sz w:val="17"/>
                <w:szCs w:val="17"/>
                <w:color w:val="auto"/>
              </w:rPr>
              <w:t>77</w:t>
            </w:r>
          </w:p>
        </w:tc>
      </w:tr>
      <w:tr>
        <w:trPr>
          <w:trHeight w:val="179"/>
        </w:trPr>
        <w:tc>
          <w:tcPr>
            <w:tcW w:w="1020" w:type="dxa"/>
            <w:vAlign w:val="bottom"/>
            <w:gridSpan w:val="2"/>
          </w:tcPr>
          <w:p>
            <w:pPr>
              <w:spacing w:after="0" w:line="179" w:lineRule="exact"/>
              <w:rPr>
                <w:rFonts w:ascii="Arial" w:cs="Arial" w:eastAsia="Arial" w:hAnsi="Arial"/>
                <w:sz w:val="17"/>
                <w:szCs w:val="17"/>
                <w:color w:val="0000EE"/>
              </w:rPr>
            </w:pPr>
            <w:hyperlink w:anchor="page78">
              <w:r>
                <w:rPr>
                  <w:rFonts w:ascii="Arial" w:cs="Arial" w:eastAsia="Arial" w:hAnsi="Arial"/>
                  <w:sz w:val="17"/>
                  <w:szCs w:val="17"/>
                  <w:color w:val="0000EE"/>
                </w:rPr>
                <w:t>Signatures</w:t>
              </w:r>
            </w:hyperlink>
          </w:p>
        </w:tc>
        <w:tc>
          <w:tcPr>
            <w:tcW w:w="560" w:type="dxa"/>
            <w:vAlign w:val="bottom"/>
            <w:tcBorders>
              <w:top w:val="single" w:sz="8" w:color="0000EE"/>
            </w:tcBorders>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220" w:type="dxa"/>
            <w:vAlign w:val="bottom"/>
          </w:tcPr>
          <w:p>
            <w:pPr>
              <w:jc w:val="right"/>
              <w:spacing w:after="0" w:line="179" w:lineRule="exact"/>
              <w:rPr>
                <w:sz w:val="20"/>
                <w:szCs w:val="20"/>
                <w:color w:val="auto"/>
              </w:rPr>
            </w:pPr>
            <w:r>
              <w:rPr>
                <w:rFonts w:ascii="Arial" w:cs="Arial" w:eastAsia="Arial" w:hAnsi="Arial"/>
                <w:sz w:val="17"/>
                <w:szCs w:val="17"/>
                <w:color w:val="auto"/>
              </w:rPr>
              <w:t>78</w:t>
            </w:r>
          </w:p>
        </w:tc>
      </w:tr>
      <w:tr>
        <w:trPr>
          <w:trHeight w:val="810"/>
        </w:trPr>
        <w:tc>
          <w:tcPr>
            <w:tcW w:w="7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8000" w:type="dxa"/>
            <w:vAlign w:val="bottom"/>
            <w:gridSpan w:val="8"/>
          </w:tcPr>
          <w:p>
            <w:pPr>
              <w:ind w:left="4560"/>
              <w:spacing w:after="0"/>
              <w:rPr>
                <w:sz w:val="20"/>
                <w:szCs w:val="20"/>
                <w:color w:val="auto"/>
              </w:rPr>
            </w:pPr>
            <w:r>
              <w:rPr>
                <w:rFonts w:ascii="Arial" w:cs="Arial" w:eastAsia="Arial" w:hAnsi="Arial"/>
                <w:sz w:val="17"/>
                <w:szCs w:val="17"/>
                <w:color w:val="auto"/>
              </w:rPr>
              <w:t>2</w:t>
            </w:r>
          </w:p>
        </w:tc>
        <w:tc>
          <w:tcPr>
            <w:tcW w:w="2220" w:type="dxa"/>
            <w:vAlign w:val="bottom"/>
          </w:tcPr>
          <w:p>
            <w:pPr>
              <w:spacing w:after="0"/>
              <w:rPr>
                <w:sz w:val="24"/>
                <w:szCs w:val="24"/>
                <w:color w:val="auto"/>
              </w:rPr>
            </w:pPr>
          </w:p>
        </w:tc>
      </w:tr>
      <w:tr>
        <w:trPr>
          <w:trHeight w:val="106"/>
        </w:trPr>
        <w:tc>
          <w:tcPr>
            <w:tcW w:w="7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400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Forward-Looking Statements</w:t>
      </w:r>
    </w:p>
    <w:p>
      <w:pPr>
        <w:spacing w:after="0" w:line="107"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This Quarterly Report on Form 10-Q contains certain forward-looking statements that involve risks and uncertainties.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72" w:lineRule="exact"/>
        <w:rPr>
          <w:sz w:val="20"/>
          <w:szCs w:val="20"/>
          <w:color w:val="auto"/>
        </w:rPr>
      </w:pPr>
    </w:p>
    <w:p>
      <w:pPr>
        <w:ind w:right="500"/>
        <w:spacing w:after="0" w:line="292" w:lineRule="auto"/>
        <w:rPr>
          <w:sz w:val="20"/>
          <w:szCs w:val="20"/>
          <w:color w:val="auto"/>
        </w:rPr>
      </w:pPr>
      <w:r>
        <w:rPr>
          <w:rFonts w:ascii="Arial" w:cs="Arial" w:eastAsia="Arial" w:hAnsi="Arial"/>
          <w:sz w:val="16"/>
          <w:szCs w:val="16"/>
          <w:color w:val="auto"/>
        </w:rPr>
        <w:t>A number of important factors could cause our actual results to differ materially from those indicated in these forward-looking statements, including those factors identified in “Risk Factors” or “Management’s Discussion and Analysis of Financial Condition and Results of Operations” or the following:</w:t>
      </w:r>
    </w:p>
    <w:p>
      <w:pPr>
        <w:spacing w:after="0" w:line="61" w:lineRule="exact"/>
        <w:rPr>
          <w:sz w:val="20"/>
          <w:szCs w:val="20"/>
          <w:color w:val="auto"/>
        </w:rPr>
      </w:pPr>
    </w:p>
    <w:p>
      <w:pPr>
        <w:ind w:left="1020" w:right="360" w:hanging="512"/>
        <w:spacing w:after="0" w:line="261"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extent to which the COVID-19 pandemic and related governmental regulations and restrictions may impact our business, including our research, clinical trials, manufacturing and financial condition;</w:t>
      </w:r>
    </w:p>
    <w:p>
      <w:pPr>
        <w:spacing w:after="0" w:line="83" w:lineRule="exact"/>
        <w:rPr>
          <w:rFonts w:ascii="Arial" w:cs="Arial" w:eastAsia="Arial" w:hAnsi="Arial"/>
          <w:sz w:val="17"/>
          <w:szCs w:val="17"/>
          <w:color w:val="auto"/>
        </w:rPr>
      </w:pPr>
    </w:p>
    <w:p>
      <w:pPr>
        <w:ind w:left="1020" w:right="340" w:hanging="512"/>
        <w:spacing w:after="0" w:line="261"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potential benefits, activity, effectiveness and safety of our product candidates and therapeutics developed utilizing our Probody® platform technology;</w:t>
      </w:r>
    </w:p>
    <w:p>
      <w:pPr>
        <w:spacing w:after="0" w:line="83" w:lineRule="exact"/>
        <w:rPr>
          <w:rFonts w:ascii="Arial" w:cs="Arial" w:eastAsia="Arial" w:hAnsi="Arial"/>
          <w:sz w:val="17"/>
          <w:szCs w:val="17"/>
          <w:color w:val="auto"/>
        </w:rPr>
      </w:pPr>
    </w:p>
    <w:p>
      <w:pPr>
        <w:ind w:left="1020" w:right="40" w:hanging="512"/>
        <w:spacing w:after="0" w:line="252"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initiation, timing, progress and results of our ongoing clinical trials, research and development programs, preclinical studies, and Investigational New Drug application (“IND”), Clinical Trial Application, New Drug Application (“NDA”), Biologics License Application (“BLA”), and other regulatory submissions;</w:t>
      </w:r>
    </w:p>
    <w:p>
      <w:pPr>
        <w:spacing w:after="0" w:line="91" w:lineRule="exact"/>
        <w:rPr>
          <w:rFonts w:ascii="Arial" w:cs="Arial" w:eastAsia="Arial" w:hAnsi="Arial"/>
          <w:sz w:val="17"/>
          <w:szCs w:val="17"/>
          <w:color w:val="auto"/>
        </w:rPr>
      </w:pPr>
    </w:p>
    <w:p>
      <w:pPr>
        <w:ind w:left="1020" w:hanging="512"/>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the completion of our ongoing clinical trials and the timing and availability of clinical data from such clinical trials;</w:t>
      </w:r>
    </w:p>
    <w:p>
      <w:pPr>
        <w:spacing w:after="0" w:line="114" w:lineRule="exact"/>
        <w:rPr>
          <w:rFonts w:ascii="Arial" w:cs="Arial" w:eastAsia="Arial" w:hAnsi="Arial"/>
          <w:sz w:val="17"/>
          <w:szCs w:val="17"/>
          <w:color w:val="auto"/>
        </w:rPr>
      </w:pPr>
    </w:p>
    <w:p>
      <w:pPr>
        <w:ind w:left="1020" w:hanging="512"/>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identify and develop additional product candidates;</w:t>
      </w:r>
    </w:p>
    <w:p>
      <w:pPr>
        <w:spacing w:after="0" w:line="114" w:lineRule="exact"/>
        <w:rPr>
          <w:rFonts w:ascii="Arial" w:cs="Arial" w:eastAsia="Arial" w:hAnsi="Arial"/>
          <w:sz w:val="17"/>
          <w:szCs w:val="17"/>
          <w:color w:val="auto"/>
        </w:rPr>
      </w:pPr>
    </w:p>
    <w:p>
      <w:pPr>
        <w:ind w:left="1020" w:hanging="512"/>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dependence on collaborators for developing, obtaining regulatory approval for and commercializing product candidates in the collaboration;</w:t>
      </w:r>
    </w:p>
    <w:p>
      <w:pPr>
        <w:spacing w:after="0" w:line="126" w:lineRule="exact"/>
        <w:rPr>
          <w:rFonts w:ascii="Arial" w:cs="Arial" w:eastAsia="Arial" w:hAnsi="Arial"/>
          <w:sz w:val="16"/>
          <w:szCs w:val="16"/>
          <w:color w:val="auto"/>
        </w:rPr>
      </w:pPr>
    </w:p>
    <w:p>
      <w:pPr>
        <w:ind w:left="1020" w:hanging="512"/>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or a collaborator’s ability to obtain and maintain regulatory approval of any of our product candidates;</w:t>
      </w:r>
    </w:p>
    <w:p>
      <w:pPr>
        <w:spacing w:after="0" w:line="114" w:lineRule="exact"/>
        <w:rPr>
          <w:rFonts w:ascii="Arial" w:cs="Arial" w:eastAsia="Arial" w:hAnsi="Arial"/>
          <w:sz w:val="17"/>
          <w:szCs w:val="17"/>
          <w:color w:val="auto"/>
        </w:rPr>
      </w:pPr>
    </w:p>
    <w:p>
      <w:pPr>
        <w:ind w:left="1020" w:hanging="512"/>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receipt and timing of any milestone payments or royalties under any research collaboration and license agreements or arrangements;</w:t>
      </w:r>
    </w:p>
    <w:p>
      <w:pPr>
        <w:spacing w:after="0" w:line="126" w:lineRule="exact"/>
        <w:rPr>
          <w:rFonts w:ascii="Arial" w:cs="Arial" w:eastAsia="Arial" w:hAnsi="Arial"/>
          <w:sz w:val="16"/>
          <w:szCs w:val="16"/>
          <w:color w:val="auto"/>
        </w:rPr>
      </w:pPr>
    </w:p>
    <w:p>
      <w:pPr>
        <w:ind w:left="1020" w:hanging="512"/>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and beliefs regarding the evolution of the market for cancer therapies and development of the immuno-oncology industry;</w:t>
      </w:r>
    </w:p>
    <w:p>
      <w:pPr>
        <w:spacing w:after="0" w:line="126" w:lineRule="exact"/>
        <w:rPr>
          <w:rFonts w:ascii="Arial" w:cs="Arial" w:eastAsia="Arial" w:hAnsi="Arial"/>
          <w:sz w:val="16"/>
          <w:szCs w:val="16"/>
          <w:color w:val="auto"/>
        </w:rPr>
      </w:pPr>
    </w:p>
    <w:p>
      <w:pPr>
        <w:ind w:left="1020" w:hanging="512"/>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rate and degree of market acceptance of any approved product candidates;</w:t>
      </w:r>
    </w:p>
    <w:p>
      <w:pPr>
        <w:spacing w:after="0" w:line="114" w:lineRule="exact"/>
        <w:rPr>
          <w:rFonts w:ascii="Arial" w:cs="Arial" w:eastAsia="Arial" w:hAnsi="Arial"/>
          <w:sz w:val="17"/>
          <w:szCs w:val="17"/>
          <w:color w:val="auto"/>
        </w:rPr>
      </w:pPr>
    </w:p>
    <w:p>
      <w:pPr>
        <w:ind w:left="1020" w:hanging="512"/>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commercialization of any approved product candidates;</w:t>
      </w:r>
    </w:p>
    <w:p>
      <w:pPr>
        <w:spacing w:after="0" w:line="114" w:lineRule="exact"/>
        <w:rPr>
          <w:rFonts w:ascii="Arial" w:cs="Arial" w:eastAsia="Arial" w:hAnsi="Arial"/>
          <w:sz w:val="17"/>
          <w:szCs w:val="17"/>
          <w:color w:val="auto"/>
        </w:rPr>
      </w:pPr>
    </w:p>
    <w:p>
      <w:pPr>
        <w:ind w:left="1020" w:hanging="512"/>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collaborations and retain commercial rights for our product candidates in such collaborations;</w:t>
      </w:r>
    </w:p>
    <w:p>
      <w:pPr>
        <w:spacing w:after="0" w:line="114" w:lineRule="exact"/>
        <w:rPr>
          <w:rFonts w:ascii="Arial" w:cs="Arial" w:eastAsia="Arial" w:hAnsi="Arial"/>
          <w:sz w:val="17"/>
          <w:szCs w:val="17"/>
          <w:color w:val="auto"/>
        </w:rPr>
      </w:pPr>
    </w:p>
    <w:p>
      <w:pPr>
        <w:ind w:left="1020" w:hanging="512"/>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implementation of our business model and strategic plans for our business, technologies and product candidates;</w:t>
      </w:r>
    </w:p>
    <w:p>
      <w:pPr>
        <w:spacing w:after="0" w:line="114" w:lineRule="exact"/>
        <w:rPr>
          <w:rFonts w:ascii="Arial" w:cs="Arial" w:eastAsia="Arial" w:hAnsi="Arial"/>
          <w:sz w:val="17"/>
          <w:szCs w:val="17"/>
          <w:color w:val="auto"/>
        </w:rPr>
      </w:pPr>
    </w:p>
    <w:p>
      <w:pPr>
        <w:ind w:left="1020" w:hanging="512"/>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of our expenses, ongoing losses, future revenue and capital requirements;</w:t>
      </w:r>
    </w:p>
    <w:p>
      <w:pPr>
        <w:spacing w:after="0" w:line="114" w:lineRule="exact"/>
        <w:rPr>
          <w:rFonts w:ascii="Arial" w:cs="Arial" w:eastAsia="Arial" w:hAnsi="Arial"/>
          <w:sz w:val="17"/>
          <w:szCs w:val="17"/>
          <w:color w:val="auto"/>
        </w:rPr>
      </w:pPr>
    </w:p>
    <w:p>
      <w:pPr>
        <w:ind w:left="1020" w:hanging="512"/>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obtain additional funds for our operations;</w:t>
      </w:r>
    </w:p>
    <w:p>
      <w:pPr>
        <w:spacing w:after="0" w:line="114" w:lineRule="exact"/>
        <w:rPr>
          <w:rFonts w:ascii="Arial" w:cs="Arial" w:eastAsia="Arial" w:hAnsi="Arial"/>
          <w:sz w:val="17"/>
          <w:szCs w:val="17"/>
          <w:color w:val="auto"/>
        </w:rPr>
      </w:pPr>
    </w:p>
    <w:p>
      <w:pPr>
        <w:ind w:left="1020" w:right="340" w:hanging="512"/>
        <w:spacing w:after="0" w:line="261"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or any collaborator’s ability to obtain and maintain intellectual property protection for our technologies and product candidates and our ability to operate our business without infringing the intellectual property rights of others;</w:t>
      </w:r>
    </w:p>
    <w:p>
      <w:pPr>
        <w:spacing w:after="0" w:line="83" w:lineRule="exact"/>
        <w:rPr>
          <w:rFonts w:ascii="Arial" w:cs="Arial" w:eastAsia="Arial" w:hAnsi="Arial"/>
          <w:sz w:val="17"/>
          <w:szCs w:val="17"/>
          <w:color w:val="auto"/>
        </w:rPr>
      </w:pPr>
    </w:p>
    <w:p>
      <w:pPr>
        <w:ind w:left="1020" w:hanging="512"/>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reliance on third parties to conduct our preclinical studies or any future clinical trials;</w:t>
      </w:r>
    </w:p>
    <w:p>
      <w:pPr>
        <w:spacing w:after="0" w:line="114" w:lineRule="exact"/>
        <w:rPr>
          <w:rFonts w:ascii="Arial" w:cs="Arial" w:eastAsia="Arial" w:hAnsi="Arial"/>
          <w:sz w:val="17"/>
          <w:szCs w:val="17"/>
          <w:color w:val="auto"/>
        </w:rPr>
      </w:pPr>
    </w:p>
    <w:p>
      <w:pPr>
        <w:ind w:left="1020" w:right="840" w:hanging="512"/>
        <w:spacing w:after="0" w:line="261"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reliance on third-party supply and manufacturing partners to supply the materials and components for, and manufacture, our research and development, preclinical and clinical trial product supplies;</w:t>
      </w:r>
    </w:p>
    <w:p>
      <w:pPr>
        <w:spacing w:after="0" w:line="83" w:lineRule="exact"/>
        <w:rPr>
          <w:rFonts w:ascii="Arial" w:cs="Arial" w:eastAsia="Arial" w:hAnsi="Arial"/>
          <w:sz w:val="17"/>
          <w:szCs w:val="17"/>
          <w:color w:val="auto"/>
        </w:rPr>
      </w:pPr>
    </w:p>
    <w:p>
      <w:pPr>
        <w:ind w:left="1020" w:hanging="512"/>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and retain qualified key management and technical personnel;</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00"/>
          </w:cols>
          <w:pgMar w:left="320" w:top="322" w:right="379" w:bottom="1440" w:gutter="0" w:footer="0" w:header="0"/>
        </w:sectPr>
      </w:pPr>
    </w:p>
    <w:bookmarkStart w:id="3" w:name="page4"/>
    <w:bookmarkEnd w:id="3"/>
    <w:p>
      <w:pPr>
        <w:ind w:left="1020" w:hanging="512"/>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secure and maintain licenses of intellectual property to protect our technologies and product candidates;</w:t>
      </w:r>
    </w:p>
    <w:p>
      <w:pPr>
        <w:spacing w:after="0" w:line="114" w:lineRule="exact"/>
        <w:rPr>
          <w:rFonts w:ascii="Arial" w:cs="Arial" w:eastAsia="Arial" w:hAnsi="Arial"/>
          <w:sz w:val="17"/>
          <w:szCs w:val="17"/>
          <w:color w:val="auto"/>
        </w:rPr>
      </w:pPr>
    </w:p>
    <w:p>
      <w:pPr>
        <w:ind w:left="1020" w:hanging="512"/>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financial performance; and</w:t>
      </w:r>
    </w:p>
    <w:p>
      <w:pPr>
        <w:spacing w:after="0" w:line="114" w:lineRule="exact"/>
        <w:rPr>
          <w:rFonts w:ascii="Arial" w:cs="Arial" w:eastAsia="Arial" w:hAnsi="Arial"/>
          <w:sz w:val="17"/>
          <w:szCs w:val="17"/>
          <w:color w:val="auto"/>
        </w:rPr>
      </w:pPr>
    </w:p>
    <w:p>
      <w:pPr>
        <w:ind w:left="1020" w:hanging="512"/>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developments relating to our competitors or our industry.</w:t>
      </w:r>
    </w:p>
    <w:p>
      <w:pPr>
        <w:spacing w:after="0" w:line="202" w:lineRule="exact"/>
        <w:rPr>
          <w:sz w:val="20"/>
          <w:szCs w:val="20"/>
          <w:color w:val="auto"/>
        </w:rPr>
      </w:pPr>
    </w:p>
    <w:p>
      <w:pPr>
        <w:spacing w:after="0" w:line="310" w:lineRule="auto"/>
        <w:rPr>
          <w:sz w:val="20"/>
          <w:szCs w:val="20"/>
          <w:color w:val="auto"/>
        </w:rPr>
      </w:pPr>
      <w:r>
        <w:rPr>
          <w:rFonts w:ascii="Arial" w:cs="Arial" w:eastAsia="Arial" w:hAnsi="Arial"/>
          <w:sz w:val="14"/>
          <w:szCs w:val="14"/>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discussed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43"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This Quarterly Report on Form 10-Q also contains estimates, projections and other information concerning our industry, our business and the markets for certain drugs and therapeutic biologics,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Except where the context otherwise requires, in this Quarterly Report on Form 10-Q, “we,” “us,” “our” and the “Company” refer to CytomX Therapeutics, Inc.</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Trademarks</w:t>
      </w:r>
    </w:p>
    <w:p>
      <w:pPr>
        <w:spacing w:after="0" w:line="107" w:lineRule="exact"/>
        <w:rPr>
          <w:sz w:val="20"/>
          <w:szCs w:val="20"/>
          <w:color w:val="auto"/>
        </w:rPr>
      </w:pPr>
    </w:p>
    <w:p>
      <w:pPr>
        <w:ind w:right="400"/>
        <w:spacing w:after="0" w:line="261" w:lineRule="auto"/>
        <w:rPr>
          <w:sz w:val="20"/>
          <w:szCs w:val="20"/>
          <w:color w:val="auto"/>
        </w:rPr>
      </w:pPr>
      <w:r>
        <w:rPr>
          <w:rFonts w:ascii="Arial" w:cs="Arial" w:eastAsia="Arial" w:hAnsi="Arial"/>
          <w:sz w:val="17"/>
          <w:szCs w:val="17"/>
          <w:color w:val="auto"/>
        </w:rPr>
        <w:t>This Quarterly Report on Form 10-Q includes trademarks, service marks and trade names owned by us or other companies. All trademarks, service marks and trade names included in this Quarterly Report on Form 10-Q are the property of their respective owners.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4" w:name="page5"/>
    <w:bookmarkEnd w:id="4"/>
    <w:tbl>
      <w:tblPr>
        <w:tblLayout w:type="fixed"/>
        <w:tblInd w:w="1" w:type="dxa"/>
        <w:tblCellMar>
          <w:top w:w="0" w:type="dxa"/>
          <w:left w:w="0" w:type="dxa"/>
          <w:bottom w:w="0" w:type="dxa"/>
          <w:right w:w="0" w:type="dxa"/>
        </w:tblCellMar>
      </w:tblPr>
      <w:tr>
        <w:trPr>
          <w:trHeight w:val="213"/>
        </w:trPr>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180" w:type="dxa"/>
            <w:vAlign w:val="bottom"/>
          </w:tcPr>
          <w:p>
            <w:pPr>
              <w:jc w:val="center"/>
              <w:ind w:left="1997"/>
              <w:spacing w:after="0"/>
              <w:rPr>
                <w:sz w:val="20"/>
                <w:szCs w:val="20"/>
                <w:color w:val="auto"/>
              </w:rPr>
            </w:pPr>
            <w:r>
              <w:rPr>
                <w:rFonts w:ascii="Arial" w:cs="Arial" w:eastAsia="Arial" w:hAnsi="Arial"/>
                <w:sz w:val="17"/>
                <w:szCs w:val="17"/>
                <w:b w:val="1"/>
                <w:bCs w:val="1"/>
                <w:color w:val="auto"/>
                <w:w w:val="99"/>
              </w:rPr>
              <w:t>PART I – FINANCIAL INFORMATION</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7"/>
        </w:trPr>
        <w:tc>
          <w:tcPr>
            <w:tcW w:w="1080" w:type="dxa"/>
            <w:vAlign w:val="bottom"/>
          </w:tcPr>
          <w:p>
            <w:pPr>
              <w:spacing w:after="0"/>
              <w:rPr>
                <w:sz w:val="20"/>
                <w:szCs w:val="20"/>
                <w:color w:val="auto"/>
              </w:rPr>
            </w:pPr>
            <w:r>
              <w:rPr>
                <w:rFonts w:ascii="Arial" w:cs="Arial" w:eastAsia="Arial" w:hAnsi="Arial"/>
                <w:sz w:val="17"/>
                <w:szCs w:val="17"/>
                <w:b w:val="1"/>
                <w:bCs w:val="1"/>
                <w:color w:val="auto"/>
              </w:rPr>
              <w:t>Item 1.</w:t>
            </w:r>
          </w:p>
        </w:tc>
        <w:tc>
          <w:tcPr>
            <w:tcW w:w="6600" w:type="dxa"/>
            <w:vAlign w:val="bottom"/>
            <w:gridSpan w:val="2"/>
          </w:tcPr>
          <w:p>
            <w:pPr>
              <w:ind w:left="80"/>
              <w:spacing w:after="0"/>
              <w:rPr>
                <w:sz w:val="20"/>
                <w:szCs w:val="20"/>
                <w:color w:val="auto"/>
              </w:rPr>
            </w:pPr>
            <w:r>
              <w:rPr>
                <w:rFonts w:ascii="Arial" w:cs="Arial" w:eastAsia="Arial" w:hAnsi="Arial"/>
                <w:sz w:val="17"/>
                <w:szCs w:val="17"/>
                <w:b w:val="1"/>
                <w:bCs w:val="1"/>
                <w:color w:val="auto"/>
              </w:rPr>
              <w:t>Condensed Financial Statements (Unaudited)</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3"/>
        </w:trPr>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80" w:type="dxa"/>
            <w:vAlign w:val="bottom"/>
          </w:tcPr>
          <w:p>
            <w:pPr>
              <w:jc w:val="center"/>
              <w:ind w:left="1977"/>
              <w:spacing w:after="0"/>
              <w:rPr>
                <w:sz w:val="20"/>
                <w:szCs w:val="20"/>
                <w:color w:val="auto"/>
              </w:rPr>
            </w:pPr>
            <w:r>
              <w:rPr>
                <w:rFonts w:ascii="Arial" w:cs="Arial" w:eastAsia="Arial" w:hAnsi="Arial"/>
                <w:sz w:val="17"/>
                <w:szCs w:val="17"/>
                <w:b w:val="1"/>
                <w:bCs w:val="1"/>
                <w:color w:val="auto"/>
                <w:w w:val="99"/>
              </w:rPr>
              <w:t>CYTOMX THERAPEUTICS, INC.</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9"/>
        </w:trPr>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180" w:type="dxa"/>
            <w:vAlign w:val="bottom"/>
          </w:tcPr>
          <w:p>
            <w:pPr>
              <w:jc w:val="center"/>
              <w:ind w:left="1997"/>
              <w:spacing w:after="0"/>
              <w:rPr>
                <w:sz w:val="20"/>
                <w:szCs w:val="20"/>
                <w:color w:val="auto"/>
              </w:rPr>
            </w:pPr>
            <w:r>
              <w:rPr>
                <w:rFonts w:ascii="Arial" w:cs="Arial" w:eastAsia="Arial" w:hAnsi="Arial"/>
                <w:sz w:val="17"/>
                <w:szCs w:val="17"/>
                <w:b w:val="1"/>
                <w:bCs w:val="1"/>
                <w:color w:val="auto"/>
                <w:w w:val="95"/>
              </w:rPr>
              <w:t>CONDENSED BALANCE SHEETS</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180" w:type="dxa"/>
            <w:vAlign w:val="bottom"/>
          </w:tcPr>
          <w:p>
            <w:pPr>
              <w:jc w:val="center"/>
              <w:ind w:left="1977"/>
              <w:spacing w:after="0"/>
              <w:rPr>
                <w:sz w:val="20"/>
                <w:szCs w:val="20"/>
                <w:color w:val="auto"/>
              </w:rPr>
            </w:pPr>
            <w:r>
              <w:rPr>
                <w:rFonts w:ascii="Arial" w:cs="Arial" w:eastAsia="Arial" w:hAnsi="Arial"/>
                <w:sz w:val="17"/>
                <w:szCs w:val="17"/>
                <w:b w:val="1"/>
                <w:bCs w:val="1"/>
                <w:color w:val="auto"/>
                <w:w w:val="85"/>
              </w:rPr>
              <w:t>(in thousands, except share and per share data)</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42"/>
        </w:trPr>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6"/>
              </w:rPr>
              <w:t>March 31,</w:t>
            </w:r>
          </w:p>
        </w:tc>
        <w:tc>
          <w:tcPr>
            <w:tcW w:w="240" w:type="dxa"/>
            <w:vAlign w:val="bottom"/>
          </w:tcPr>
          <w:p>
            <w:pPr>
              <w:spacing w:after="0"/>
              <w:rPr>
                <w:sz w:val="24"/>
                <w:szCs w:val="24"/>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December 31,</w:t>
            </w:r>
          </w:p>
        </w:tc>
      </w:tr>
      <w:tr>
        <w:trPr>
          <w:trHeight w:val="157"/>
        </w:trPr>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179"/>
              <w:spacing w:after="0"/>
              <w:rPr>
                <w:sz w:val="20"/>
                <w:szCs w:val="20"/>
                <w:color w:val="auto"/>
              </w:rPr>
            </w:pPr>
            <w:r>
              <w:rPr>
                <w:rFonts w:ascii="Arial" w:cs="Arial" w:eastAsia="Arial" w:hAnsi="Arial"/>
                <w:sz w:val="13"/>
                <w:szCs w:val="13"/>
                <w:b w:val="1"/>
                <w:bCs w:val="1"/>
                <w:color w:val="auto"/>
                <w:w w:val="96"/>
              </w:rPr>
              <w:t>2021</w:t>
            </w:r>
          </w:p>
        </w:tc>
        <w:tc>
          <w:tcPr>
            <w:tcW w:w="3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r>
      <w:tr>
        <w:trPr>
          <w:trHeight w:val="141"/>
        </w:trPr>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159"/>
              <w:spacing w:after="0" w:line="142" w:lineRule="exact"/>
              <w:rPr>
                <w:sz w:val="20"/>
                <w:szCs w:val="20"/>
                <w:color w:val="auto"/>
              </w:rPr>
            </w:pPr>
            <w:r>
              <w:rPr>
                <w:rFonts w:ascii="Arial" w:cs="Arial" w:eastAsia="Arial" w:hAnsi="Arial"/>
                <w:sz w:val="13"/>
                <w:szCs w:val="13"/>
                <w:b w:val="1"/>
                <w:bCs w:val="1"/>
                <w:color w:val="auto"/>
                <w:w w:val="93"/>
              </w:rPr>
              <w:t>(unaudited)</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ind w:right="639"/>
              <w:spacing w:after="0" w:line="142" w:lineRule="exact"/>
              <w:rPr>
                <w:sz w:val="20"/>
                <w:szCs w:val="20"/>
                <w:color w:val="auto"/>
              </w:rPr>
            </w:pPr>
            <w:r>
              <w:rPr>
                <w:rFonts w:ascii="Arial" w:cs="Arial" w:eastAsia="Arial" w:hAnsi="Arial"/>
                <w:sz w:val="13"/>
                <w:szCs w:val="13"/>
                <w:b w:val="1"/>
                <w:bCs w:val="1"/>
                <w:color w:val="auto"/>
              </w:rPr>
              <w:t>(1)</w:t>
            </w:r>
          </w:p>
        </w:tc>
        <w:tc>
          <w:tcPr>
            <w:tcW w:w="120" w:type="dxa"/>
            <w:vAlign w:val="bottom"/>
          </w:tcPr>
          <w:p>
            <w:pPr>
              <w:spacing w:after="0"/>
              <w:rPr>
                <w:sz w:val="12"/>
                <w:szCs w:val="12"/>
                <w:color w:val="auto"/>
              </w:rPr>
            </w:pPr>
          </w:p>
        </w:tc>
      </w:tr>
      <w:tr>
        <w:trPr>
          <w:trHeight w:val="211"/>
        </w:trPr>
        <w:tc>
          <w:tcPr>
            <w:tcW w:w="10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420" w:type="dxa"/>
            <w:vAlign w:val="bottom"/>
            <w:shd w:val="clear" w:color="auto" w:fill="CFF0FC"/>
          </w:tcPr>
          <w:p>
            <w:pPr>
              <w:spacing w:after="0"/>
              <w:rPr>
                <w:sz w:val="18"/>
                <w:szCs w:val="18"/>
                <w:color w:val="auto"/>
              </w:rPr>
            </w:pPr>
          </w:p>
        </w:tc>
        <w:tc>
          <w:tcPr>
            <w:tcW w:w="6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7"/>
                <w:szCs w:val="17"/>
                <w:color w:val="auto"/>
                <w:w w:val="91"/>
              </w:rPr>
              <w:t>Current assets:</w:t>
            </w:r>
          </w:p>
        </w:tc>
        <w:tc>
          <w:tcPr>
            <w:tcW w:w="4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7680" w:type="dxa"/>
            <w:vAlign w:val="bottom"/>
            <w:gridSpan w:val="3"/>
            <w:shd w:val="clear" w:color="auto" w:fill="CFF0FC"/>
          </w:tcPr>
          <w:p>
            <w:pPr>
              <w:ind w:left="220"/>
              <w:spacing w:after="0"/>
              <w:rPr>
                <w:sz w:val="20"/>
                <w:szCs w:val="20"/>
                <w:color w:val="auto"/>
              </w:rPr>
            </w:pPr>
            <w:r>
              <w:rPr>
                <w:rFonts w:ascii="Arial" w:cs="Arial" w:eastAsia="Arial" w:hAnsi="Arial"/>
                <w:sz w:val="17"/>
                <w:szCs w:val="17"/>
                <w:color w:val="auto"/>
              </w:rPr>
              <w:t>Cash and cash equivalents</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329,666</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191,859</w:t>
            </w:r>
          </w:p>
        </w:tc>
        <w:tc>
          <w:tcPr>
            <w:tcW w:w="120" w:type="dxa"/>
            <w:vAlign w:val="bottom"/>
            <w:shd w:val="clear" w:color="auto" w:fill="CFF0FC"/>
          </w:tcPr>
          <w:p>
            <w:pPr>
              <w:spacing w:after="0"/>
              <w:rPr>
                <w:sz w:val="18"/>
                <w:szCs w:val="18"/>
                <w:color w:val="auto"/>
              </w:rPr>
            </w:pPr>
          </w:p>
        </w:tc>
      </w:tr>
      <w:tr>
        <w:trPr>
          <w:trHeight w:val="210"/>
        </w:trPr>
        <w:tc>
          <w:tcPr>
            <w:tcW w:w="7680" w:type="dxa"/>
            <w:vAlign w:val="bottom"/>
            <w:gridSpan w:val="3"/>
          </w:tcPr>
          <w:p>
            <w:pPr>
              <w:ind w:left="220"/>
              <w:spacing w:after="0"/>
              <w:rPr>
                <w:sz w:val="20"/>
                <w:szCs w:val="20"/>
                <w:color w:val="auto"/>
              </w:rPr>
            </w:pPr>
            <w:r>
              <w:rPr>
                <w:rFonts w:ascii="Arial" w:cs="Arial" w:eastAsia="Arial" w:hAnsi="Arial"/>
                <w:sz w:val="17"/>
                <w:szCs w:val="17"/>
                <w:color w:val="auto"/>
              </w:rPr>
              <w:t>Short-term investments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64,130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124,260</w:t>
            </w:r>
          </w:p>
        </w:tc>
        <w:tc>
          <w:tcPr>
            <w:tcW w:w="120" w:type="dxa"/>
            <w:vAlign w:val="bottom"/>
          </w:tcPr>
          <w:p>
            <w:pPr>
              <w:spacing w:after="0"/>
              <w:rPr>
                <w:sz w:val="18"/>
                <w:szCs w:val="18"/>
                <w:color w:val="auto"/>
              </w:rPr>
            </w:pPr>
          </w:p>
        </w:tc>
      </w:tr>
      <w:tr>
        <w:trPr>
          <w:trHeight w:val="212"/>
        </w:trPr>
        <w:tc>
          <w:tcPr>
            <w:tcW w:w="7680" w:type="dxa"/>
            <w:vAlign w:val="bottom"/>
            <w:gridSpan w:val="3"/>
            <w:shd w:val="clear" w:color="auto" w:fill="CFF0FC"/>
          </w:tcPr>
          <w:p>
            <w:pPr>
              <w:ind w:left="220"/>
              <w:spacing w:after="0"/>
              <w:rPr>
                <w:sz w:val="20"/>
                <w:szCs w:val="20"/>
                <w:color w:val="auto"/>
              </w:rPr>
            </w:pPr>
            <w:r>
              <w:rPr>
                <w:rFonts w:ascii="Arial" w:cs="Arial" w:eastAsia="Arial" w:hAnsi="Arial"/>
                <w:sz w:val="17"/>
                <w:szCs w:val="17"/>
                <w:color w:val="auto"/>
              </w:rPr>
              <w:t>Accounts receivable</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756</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798</w:t>
            </w:r>
          </w:p>
        </w:tc>
        <w:tc>
          <w:tcPr>
            <w:tcW w:w="120" w:type="dxa"/>
            <w:vAlign w:val="bottom"/>
            <w:shd w:val="clear" w:color="auto" w:fill="CFF0FC"/>
          </w:tcPr>
          <w:p>
            <w:pPr>
              <w:spacing w:after="0"/>
              <w:rPr>
                <w:sz w:val="18"/>
                <w:szCs w:val="18"/>
                <w:color w:val="auto"/>
              </w:rPr>
            </w:pPr>
          </w:p>
        </w:tc>
      </w:tr>
      <w:tr>
        <w:trPr>
          <w:trHeight w:val="210"/>
        </w:trPr>
        <w:tc>
          <w:tcPr>
            <w:tcW w:w="7680" w:type="dxa"/>
            <w:vAlign w:val="bottom"/>
            <w:tcBorders>
              <w:bottom w:val="single" w:sz="8" w:color="CFF0FC"/>
            </w:tcBorders>
            <w:gridSpan w:val="3"/>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5,456</w:t>
            </w:r>
          </w:p>
        </w:tc>
        <w:tc>
          <w:tcPr>
            <w:tcW w:w="3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7,096</w:t>
            </w:r>
          </w:p>
        </w:tc>
        <w:tc>
          <w:tcPr>
            <w:tcW w:w="120" w:type="dxa"/>
            <w:vAlign w:val="bottom"/>
            <w:tcBorders>
              <w:bottom w:val="single" w:sz="8" w:color="CFF0FC"/>
            </w:tcBorders>
          </w:tcPr>
          <w:p>
            <w:pPr>
              <w:spacing w:after="0"/>
              <w:rPr>
                <w:sz w:val="18"/>
                <w:szCs w:val="18"/>
                <w:color w:val="auto"/>
              </w:rPr>
            </w:pPr>
          </w:p>
        </w:tc>
      </w:tr>
      <w:tr>
        <w:trPr>
          <w:trHeight w:val="204"/>
        </w:trPr>
        <w:tc>
          <w:tcPr>
            <w:tcW w:w="768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Total current assets</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400,008</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324,013</w:t>
            </w:r>
          </w:p>
        </w:tc>
        <w:tc>
          <w:tcPr>
            <w:tcW w:w="120" w:type="dxa"/>
            <w:vAlign w:val="bottom"/>
            <w:shd w:val="clear" w:color="auto" w:fill="CFF0FC"/>
          </w:tcPr>
          <w:p>
            <w:pPr>
              <w:spacing w:after="0"/>
              <w:rPr>
                <w:sz w:val="17"/>
                <w:szCs w:val="17"/>
                <w:color w:val="auto"/>
              </w:rPr>
            </w:pPr>
          </w:p>
        </w:tc>
      </w:tr>
      <w:tr>
        <w:trPr>
          <w:trHeight w:val="210"/>
        </w:trPr>
        <w:tc>
          <w:tcPr>
            <w:tcW w:w="7680" w:type="dxa"/>
            <w:vAlign w:val="bottom"/>
            <w:gridSpan w:val="3"/>
          </w:tcPr>
          <w:p>
            <w:pPr>
              <w:spacing w:after="0"/>
              <w:rPr>
                <w:sz w:val="20"/>
                <w:szCs w:val="20"/>
                <w:color w:val="auto"/>
              </w:rPr>
            </w:pPr>
            <w:r>
              <w:rPr>
                <w:rFonts w:ascii="Arial" w:cs="Arial" w:eastAsia="Arial" w:hAnsi="Arial"/>
                <w:sz w:val="17"/>
                <w:szCs w:val="17"/>
                <w:color w:val="auto"/>
              </w:rPr>
              <w:t>Property and equipment, net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7,172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6,950</w:t>
            </w:r>
          </w:p>
        </w:tc>
        <w:tc>
          <w:tcPr>
            <w:tcW w:w="120" w:type="dxa"/>
            <w:vAlign w:val="bottom"/>
          </w:tcPr>
          <w:p>
            <w:pPr>
              <w:spacing w:after="0"/>
              <w:rPr>
                <w:sz w:val="18"/>
                <w:szCs w:val="18"/>
                <w:color w:val="auto"/>
              </w:rPr>
            </w:pPr>
          </w:p>
        </w:tc>
      </w:tr>
      <w:tr>
        <w:trPr>
          <w:trHeight w:val="212"/>
        </w:trPr>
        <w:tc>
          <w:tcPr>
            <w:tcW w:w="768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Intangible assets, net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1,130</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1,167</w:t>
            </w:r>
          </w:p>
        </w:tc>
        <w:tc>
          <w:tcPr>
            <w:tcW w:w="120" w:type="dxa"/>
            <w:vAlign w:val="bottom"/>
            <w:shd w:val="clear" w:color="auto" w:fill="CFF0FC"/>
          </w:tcPr>
          <w:p>
            <w:pPr>
              <w:spacing w:after="0"/>
              <w:rPr>
                <w:sz w:val="18"/>
                <w:szCs w:val="18"/>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7"/>
                <w:szCs w:val="17"/>
                <w:color w:val="auto"/>
              </w:rPr>
              <w:t>Goodwill</w:t>
            </w:r>
          </w:p>
        </w:tc>
        <w:tc>
          <w:tcPr>
            <w:tcW w:w="4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949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949</w:t>
            </w:r>
          </w:p>
        </w:tc>
        <w:tc>
          <w:tcPr>
            <w:tcW w:w="120" w:type="dxa"/>
            <w:vAlign w:val="bottom"/>
          </w:tcPr>
          <w:p>
            <w:pPr>
              <w:spacing w:after="0"/>
              <w:rPr>
                <w:sz w:val="18"/>
                <w:szCs w:val="18"/>
                <w:color w:val="auto"/>
              </w:rPr>
            </w:pPr>
          </w:p>
        </w:tc>
      </w:tr>
      <w:tr>
        <w:trPr>
          <w:trHeight w:val="212"/>
        </w:trPr>
        <w:tc>
          <w:tcPr>
            <w:tcW w:w="1080" w:type="dxa"/>
            <w:vAlign w:val="bottom"/>
            <w:shd w:val="clear" w:color="auto" w:fill="CFF0FC"/>
          </w:tcPr>
          <w:p>
            <w:pPr>
              <w:spacing w:after="0"/>
              <w:rPr>
                <w:sz w:val="20"/>
                <w:szCs w:val="20"/>
                <w:color w:val="auto"/>
              </w:rPr>
            </w:pPr>
            <w:r>
              <w:rPr>
                <w:rFonts w:ascii="Arial" w:cs="Arial" w:eastAsia="Arial" w:hAnsi="Arial"/>
                <w:sz w:val="17"/>
                <w:szCs w:val="17"/>
                <w:color w:val="auto"/>
                <w:w w:val="90"/>
              </w:rPr>
              <w:t>Restricted cash</w:t>
            </w:r>
          </w:p>
        </w:tc>
        <w:tc>
          <w:tcPr>
            <w:tcW w:w="420" w:type="dxa"/>
            <w:vAlign w:val="bottom"/>
            <w:shd w:val="clear" w:color="auto" w:fill="CFF0FC"/>
          </w:tcPr>
          <w:p>
            <w:pPr>
              <w:spacing w:after="0"/>
              <w:rPr>
                <w:sz w:val="18"/>
                <w:szCs w:val="18"/>
                <w:color w:val="auto"/>
              </w:rPr>
            </w:pPr>
          </w:p>
        </w:tc>
        <w:tc>
          <w:tcPr>
            <w:tcW w:w="6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917</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917</w:t>
            </w:r>
          </w:p>
        </w:tc>
        <w:tc>
          <w:tcPr>
            <w:tcW w:w="120" w:type="dxa"/>
            <w:vAlign w:val="bottom"/>
            <w:shd w:val="clear" w:color="auto" w:fill="CFF0FC"/>
          </w:tcPr>
          <w:p>
            <w:pPr>
              <w:spacing w:after="0"/>
              <w:rPr>
                <w:sz w:val="18"/>
                <w:szCs w:val="18"/>
                <w:color w:val="auto"/>
              </w:rPr>
            </w:pPr>
          </w:p>
        </w:tc>
      </w:tr>
      <w:tr>
        <w:trPr>
          <w:trHeight w:val="210"/>
        </w:trPr>
        <w:tc>
          <w:tcPr>
            <w:tcW w:w="7680" w:type="dxa"/>
            <w:vAlign w:val="bottom"/>
            <w:gridSpan w:val="3"/>
          </w:tcPr>
          <w:p>
            <w:pPr>
              <w:spacing w:after="0"/>
              <w:rPr>
                <w:sz w:val="20"/>
                <w:szCs w:val="20"/>
                <w:color w:val="auto"/>
              </w:rPr>
            </w:pPr>
            <w:r>
              <w:rPr>
                <w:rFonts w:ascii="Arial" w:cs="Arial" w:eastAsia="Arial" w:hAnsi="Arial"/>
                <w:sz w:val="17"/>
                <w:szCs w:val="17"/>
                <w:color w:val="auto"/>
              </w:rPr>
              <w:t>Operating lease right-of-use asset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21,736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22,495</w:t>
            </w:r>
          </w:p>
        </w:tc>
        <w:tc>
          <w:tcPr>
            <w:tcW w:w="120" w:type="dxa"/>
            <w:vAlign w:val="bottom"/>
          </w:tcPr>
          <w:p>
            <w:pPr>
              <w:spacing w:after="0"/>
              <w:rPr>
                <w:sz w:val="18"/>
                <w:szCs w:val="18"/>
                <w:color w:val="auto"/>
              </w:rPr>
            </w:pPr>
          </w:p>
        </w:tc>
      </w:tr>
      <w:tr>
        <w:trPr>
          <w:trHeight w:val="212"/>
        </w:trPr>
        <w:tc>
          <w:tcPr>
            <w:tcW w:w="1080" w:type="dxa"/>
            <w:vAlign w:val="bottom"/>
            <w:shd w:val="clear" w:color="auto" w:fill="CFF0FC"/>
          </w:tcPr>
          <w:p>
            <w:pPr>
              <w:spacing w:after="0"/>
              <w:rPr>
                <w:sz w:val="20"/>
                <w:szCs w:val="20"/>
                <w:color w:val="auto"/>
              </w:rPr>
            </w:pPr>
            <w:r>
              <w:rPr>
                <w:rFonts w:ascii="Arial" w:cs="Arial" w:eastAsia="Arial" w:hAnsi="Arial"/>
                <w:sz w:val="17"/>
                <w:szCs w:val="17"/>
                <w:color w:val="auto"/>
              </w:rPr>
              <w:t>Other assets</w:t>
            </w:r>
          </w:p>
        </w:tc>
        <w:tc>
          <w:tcPr>
            <w:tcW w:w="420" w:type="dxa"/>
            <w:vAlign w:val="bottom"/>
            <w:shd w:val="clear" w:color="auto" w:fill="CFF0FC"/>
          </w:tcPr>
          <w:p>
            <w:pPr>
              <w:spacing w:after="0"/>
              <w:rPr>
                <w:sz w:val="18"/>
                <w:szCs w:val="18"/>
                <w:color w:val="auto"/>
              </w:rPr>
            </w:pPr>
          </w:p>
        </w:tc>
        <w:tc>
          <w:tcPr>
            <w:tcW w:w="61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2,246</w:t>
            </w:r>
          </w:p>
        </w:tc>
        <w:tc>
          <w:tcPr>
            <w:tcW w:w="3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2,172</w:t>
            </w:r>
          </w:p>
        </w:tc>
        <w:tc>
          <w:tcPr>
            <w:tcW w:w="120" w:type="dxa"/>
            <w:vAlign w:val="bottom"/>
            <w:shd w:val="clear" w:color="auto" w:fill="CFF0FC"/>
          </w:tcPr>
          <w:p>
            <w:pPr>
              <w:spacing w:after="0"/>
              <w:rPr>
                <w:sz w:val="18"/>
                <w:szCs w:val="18"/>
                <w:color w:val="auto"/>
              </w:rPr>
            </w:pPr>
          </w:p>
        </w:tc>
      </w:tr>
      <w:tr>
        <w:trPr>
          <w:trHeight w:val="243"/>
        </w:trPr>
        <w:tc>
          <w:tcPr>
            <w:tcW w:w="10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assets</w:t>
            </w:r>
          </w:p>
        </w:tc>
        <w:tc>
          <w:tcPr>
            <w:tcW w:w="420" w:type="dxa"/>
            <w:vAlign w:val="bottom"/>
            <w:tcBorders>
              <w:bottom w:val="single" w:sz="8" w:color="CFF0FC"/>
            </w:tcBorders>
          </w:tcPr>
          <w:p>
            <w:pPr>
              <w:spacing w:after="0"/>
              <w:rPr>
                <w:sz w:val="21"/>
                <w:szCs w:val="21"/>
                <w:color w:val="auto"/>
              </w:rPr>
            </w:pPr>
          </w:p>
        </w:tc>
        <w:tc>
          <w:tcPr>
            <w:tcW w:w="618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434,158</w:t>
            </w:r>
          </w:p>
        </w:tc>
        <w:tc>
          <w:tcPr>
            <w:tcW w:w="30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358,663</w:t>
            </w:r>
          </w:p>
        </w:tc>
        <w:tc>
          <w:tcPr>
            <w:tcW w:w="120" w:type="dxa"/>
            <w:vAlign w:val="bottom"/>
            <w:tcBorders>
              <w:bottom w:val="single" w:sz="8" w:color="CFF0FC"/>
            </w:tcBorders>
          </w:tcPr>
          <w:p>
            <w:pPr>
              <w:spacing w:after="0"/>
              <w:rPr>
                <w:sz w:val="21"/>
                <w:szCs w:val="21"/>
                <w:color w:val="auto"/>
              </w:rPr>
            </w:pPr>
          </w:p>
        </w:tc>
      </w:tr>
      <w:tr>
        <w:trPr>
          <w:trHeight w:val="189"/>
        </w:trPr>
        <w:tc>
          <w:tcPr>
            <w:tcW w:w="7680" w:type="dxa"/>
            <w:vAlign w:val="bottom"/>
            <w:gridSpan w:val="3"/>
            <w:shd w:val="clear" w:color="auto" w:fill="CFF0FC"/>
          </w:tcPr>
          <w:p>
            <w:pPr>
              <w:spacing w:after="0" w:line="188" w:lineRule="exact"/>
              <w:rPr>
                <w:sz w:val="20"/>
                <w:szCs w:val="20"/>
                <w:color w:val="auto"/>
              </w:rPr>
            </w:pPr>
            <w:r>
              <w:rPr>
                <w:rFonts w:ascii="Arial" w:cs="Arial" w:eastAsia="Arial" w:hAnsi="Arial"/>
                <w:sz w:val="17"/>
                <w:szCs w:val="17"/>
                <w:b w:val="1"/>
                <w:bCs w:val="1"/>
                <w:color w:val="auto"/>
              </w:rPr>
              <w:t>Liabilities and Stockholders' Equity</w:t>
            </w:r>
          </w:p>
        </w:tc>
        <w:tc>
          <w:tcPr>
            <w:tcW w:w="2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0"/>
        </w:trPr>
        <w:tc>
          <w:tcPr>
            <w:tcW w:w="7680" w:type="dxa"/>
            <w:vAlign w:val="bottom"/>
            <w:gridSpan w:val="3"/>
          </w:tcPr>
          <w:p>
            <w:pPr>
              <w:spacing w:after="0"/>
              <w:rPr>
                <w:sz w:val="20"/>
                <w:szCs w:val="20"/>
                <w:color w:val="auto"/>
              </w:rPr>
            </w:pPr>
            <w:r>
              <w:rPr>
                <w:rFonts w:ascii="Arial" w:cs="Arial" w:eastAsia="Arial" w:hAnsi="Arial"/>
                <w:sz w:val="17"/>
                <w:szCs w:val="17"/>
                <w:color w:val="auto"/>
              </w:rPr>
              <w:t>Current liabilities: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7680" w:type="dxa"/>
            <w:vAlign w:val="bottom"/>
            <w:gridSpan w:val="3"/>
            <w:shd w:val="clear" w:color="auto" w:fill="CFF0FC"/>
          </w:tcPr>
          <w:p>
            <w:pPr>
              <w:ind w:left="220"/>
              <w:spacing w:after="0"/>
              <w:rPr>
                <w:sz w:val="20"/>
                <w:szCs w:val="20"/>
                <w:color w:val="auto"/>
              </w:rPr>
            </w:pPr>
            <w:r>
              <w:rPr>
                <w:rFonts w:ascii="Arial" w:cs="Arial" w:eastAsia="Arial" w:hAnsi="Arial"/>
                <w:sz w:val="17"/>
                <w:szCs w:val="17"/>
                <w:color w:val="auto"/>
              </w:rPr>
              <w:t>Accounts payable</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2,582</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2,996</w:t>
            </w:r>
          </w:p>
        </w:tc>
        <w:tc>
          <w:tcPr>
            <w:tcW w:w="120" w:type="dxa"/>
            <w:vAlign w:val="bottom"/>
            <w:shd w:val="clear" w:color="auto" w:fill="CFF0FC"/>
          </w:tcPr>
          <w:p>
            <w:pPr>
              <w:spacing w:after="0"/>
              <w:rPr>
                <w:sz w:val="18"/>
                <w:szCs w:val="18"/>
                <w:color w:val="auto"/>
              </w:rPr>
            </w:pPr>
          </w:p>
        </w:tc>
      </w:tr>
      <w:tr>
        <w:trPr>
          <w:trHeight w:val="210"/>
        </w:trPr>
        <w:tc>
          <w:tcPr>
            <w:tcW w:w="7680" w:type="dxa"/>
            <w:vAlign w:val="bottom"/>
            <w:gridSpan w:val="3"/>
          </w:tcPr>
          <w:p>
            <w:pPr>
              <w:ind w:left="220"/>
              <w:spacing w:after="0"/>
              <w:rPr>
                <w:sz w:val="20"/>
                <w:szCs w:val="20"/>
                <w:color w:val="auto"/>
              </w:rPr>
            </w:pPr>
            <w:r>
              <w:rPr>
                <w:rFonts w:ascii="Arial" w:cs="Arial" w:eastAsia="Arial" w:hAnsi="Arial"/>
                <w:sz w:val="17"/>
                <w:szCs w:val="17"/>
                <w:color w:val="auto"/>
              </w:rPr>
              <w:t>Accrued liabilities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18,831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23,059</w:t>
            </w:r>
          </w:p>
        </w:tc>
        <w:tc>
          <w:tcPr>
            <w:tcW w:w="120" w:type="dxa"/>
            <w:vAlign w:val="bottom"/>
          </w:tcPr>
          <w:p>
            <w:pPr>
              <w:spacing w:after="0"/>
              <w:rPr>
                <w:sz w:val="18"/>
                <w:szCs w:val="18"/>
                <w:color w:val="auto"/>
              </w:rPr>
            </w:pPr>
          </w:p>
        </w:tc>
      </w:tr>
      <w:tr>
        <w:trPr>
          <w:trHeight w:val="212"/>
        </w:trPr>
        <w:tc>
          <w:tcPr>
            <w:tcW w:w="7680" w:type="dxa"/>
            <w:vAlign w:val="bottom"/>
            <w:gridSpan w:val="3"/>
            <w:shd w:val="clear" w:color="auto" w:fill="CFF0FC"/>
          </w:tcPr>
          <w:p>
            <w:pPr>
              <w:ind w:left="220"/>
              <w:spacing w:after="0"/>
              <w:rPr>
                <w:sz w:val="20"/>
                <w:szCs w:val="20"/>
                <w:color w:val="auto"/>
              </w:rPr>
            </w:pPr>
            <w:r>
              <w:rPr>
                <w:rFonts w:ascii="Arial" w:cs="Arial" w:eastAsia="Arial" w:hAnsi="Arial"/>
                <w:sz w:val="17"/>
                <w:szCs w:val="17"/>
                <w:color w:val="auto"/>
              </w:rPr>
              <w:t>Deferred revenue, current portion</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76,636</w:t>
            </w:r>
          </w:p>
        </w:tc>
        <w:tc>
          <w:tcPr>
            <w:tcW w:w="3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74,869</w:t>
            </w:r>
          </w:p>
        </w:tc>
        <w:tc>
          <w:tcPr>
            <w:tcW w:w="120" w:type="dxa"/>
            <w:vAlign w:val="bottom"/>
            <w:shd w:val="clear" w:color="auto" w:fill="CFF0FC"/>
          </w:tcPr>
          <w:p>
            <w:pPr>
              <w:spacing w:after="0"/>
              <w:rPr>
                <w:sz w:val="18"/>
                <w:szCs w:val="18"/>
                <w:color w:val="auto"/>
              </w:rPr>
            </w:pPr>
          </w:p>
        </w:tc>
      </w:tr>
      <w:tr>
        <w:trPr>
          <w:trHeight w:val="203"/>
        </w:trPr>
        <w:tc>
          <w:tcPr>
            <w:tcW w:w="7680" w:type="dxa"/>
            <w:vAlign w:val="bottom"/>
            <w:gridSpan w:val="3"/>
          </w:tcPr>
          <w:p>
            <w:pPr>
              <w:spacing w:after="0"/>
              <w:rPr>
                <w:sz w:val="20"/>
                <w:szCs w:val="20"/>
                <w:color w:val="auto"/>
              </w:rPr>
            </w:pPr>
            <w:r>
              <w:rPr>
                <w:rFonts w:ascii="Arial" w:cs="Arial" w:eastAsia="Arial" w:hAnsi="Arial"/>
                <w:sz w:val="17"/>
                <w:szCs w:val="17"/>
                <w:color w:val="auto"/>
              </w:rPr>
              <w:t>Total current liabilities</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98,049</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100,924</w:t>
            </w:r>
          </w:p>
        </w:tc>
        <w:tc>
          <w:tcPr>
            <w:tcW w:w="120" w:type="dxa"/>
            <w:vAlign w:val="bottom"/>
          </w:tcPr>
          <w:p>
            <w:pPr>
              <w:spacing w:after="0"/>
              <w:rPr>
                <w:sz w:val="17"/>
                <w:szCs w:val="17"/>
                <w:color w:val="auto"/>
              </w:rPr>
            </w:pPr>
          </w:p>
        </w:tc>
      </w:tr>
      <w:tr>
        <w:trPr>
          <w:trHeight w:val="212"/>
        </w:trPr>
        <w:tc>
          <w:tcPr>
            <w:tcW w:w="768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Deferred revenue, net of current portion</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169,280</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186,261</w:t>
            </w:r>
          </w:p>
        </w:tc>
        <w:tc>
          <w:tcPr>
            <w:tcW w:w="120" w:type="dxa"/>
            <w:vAlign w:val="bottom"/>
            <w:shd w:val="clear" w:color="auto" w:fill="CFF0FC"/>
          </w:tcPr>
          <w:p>
            <w:pPr>
              <w:spacing w:after="0"/>
              <w:rPr>
                <w:sz w:val="18"/>
                <w:szCs w:val="18"/>
                <w:color w:val="auto"/>
              </w:rPr>
            </w:pPr>
          </w:p>
        </w:tc>
      </w:tr>
      <w:tr>
        <w:trPr>
          <w:trHeight w:val="210"/>
        </w:trPr>
        <w:tc>
          <w:tcPr>
            <w:tcW w:w="7680" w:type="dxa"/>
            <w:vAlign w:val="bottom"/>
            <w:tcBorders>
              <w:bottom w:val="single" w:sz="8" w:color="CFF0FC"/>
            </w:tcBorders>
            <w:gridSpan w:val="3"/>
          </w:tcPr>
          <w:p>
            <w:pPr>
              <w:spacing w:after="0"/>
              <w:rPr>
                <w:sz w:val="20"/>
                <w:szCs w:val="20"/>
                <w:color w:val="auto"/>
              </w:rPr>
            </w:pPr>
            <w:r>
              <w:rPr>
                <w:rFonts w:ascii="Arial" w:cs="Arial" w:eastAsia="Arial" w:hAnsi="Arial"/>
                <w:sz w:val="17"/>
                <w:szCs w:val="17"/>
                <w:color w:val="auto"/>
              </w:rPr>
              <w:t>Operating lease liabilities - long term</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20,807</w:t>
            </w:r>
          </w:p>
        </w:tc>
        <w:tc>
          <w:tcPr>
            <w:tcW w:w="3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21,675</w:t>
            </w:r>
          </w:p>
        </w:tc>
        <w:tc>
          <w:tcPr>
            <w:tcW w:w="120" w:type="dxa"/>
            <w:vAlign w:val="bottom"/>
            <w:tcBorders>
              <w:bottom w:val="single" w:sz="8" w:color="CFF0FC"/>
            </w:tcBorders>
          </w:tcPr>
          <w:p>
            <w:pPr>
              <w:spacing w:after="0"/>
              <w:rPr>
                <w:sz w:val="18"/>
                <w:szCs w:val="18"/>
                <w:color w:val="auto"/>
              </w:rPr>
            </w:pPr>
          </w:p>
        </w:tc>
      </w:tr>
      <w:tr>
        <w:trPr>
          <w:trHeight w:val="204"/>
        </w:trPr>
        <w:tc>
          <w:tcPr>
            <w:tcW w:w="1080" w:type="dxa"/>
            <w:vAlign w:val="bottom"/>
            <w:shd w:val="clear" w:color="auto" w:fill="CFF0FC"/>
          </w:tcPr>
          <w:p>
            <w:pPr>
              <w:spacing w:after="0"/>
              <w:rPr>
                <w:sz w:val="20"/>
                <w:szCs w:val="20"/>
                <w:color w:val="auto"/>
              </w:rPr>
            </w:pPr>
            <w:r>
              <w:rPr>
                <w:rFonts w:ascii="Arial" w:cs="Arial" w:eastAsia="Arial" w:hAnsi="Arial"/>
                <w:sz w:val="17"/>
                <w:szCs w:val="17"/>
                <w:color w:val="auto"/>
                <w:w w:val="99"/>
              </w:rPr>
              <w:t>Total liabilities</w:t>
            </w:r>
          </w:p>
        </w:tc>
        <w:tc>
          <w:tcPr>
            <w:tcW w:w="420" w:type="dxa"/>
            <w:vAlign w:val="bottom"/>
            <w:shd w:val="clear" w:color="auto" w:fill="CFF0FC"/>
          </w:tcPr>
          <w:p>
            <w:pPr>
              <w:spacing w:after="0"/>
              <w:rPr>
                <w:sz w:val="17"/>
                <w:szCs w:val="17"/>
                <w:color w:val="auto"/>
              </w:rPr>
            </w:pPr>
          </w:p>
        </w:tc>
        <w:tc>
          <w:tcPr>
            <w:tcW w:w="6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288,136</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308,860</w:t>
            </w:r>
          </w:p>
        </w:tc>
        <w:tc>
          <w:tcPr>
            <w:tcW w:w="120" w:type="dxa"/>
            <w:vAlign w:val="bottom"/>
            <w:shd w:val="clear" w:color="auto" w:fill="CFF0FC"/>
          </w:tcPr>
          <w:p>
            <w:pPr>
              <w:spacing w:after="0"/>
              <w:rPr>
                <w:sz w:val="17"/>
                <w:szCs w:val="17"/>
                <w:color w:val="auto"/>
              </w:rPr>
            </w:pPr>
          </w:p>
        </w:tc>
      </w:tr>
      <w:tr>
        <w:trPr>
          <w:trHeight w:val="210"/>
        </w:trPr>
        <w:tc>
          <w:tcPr>
            <w:tcW w:w="7680" w:type="dxa"/>
            <w:vAlign w:val="bottom"/>
            <w:gridSpan w:val="3"/>
          </w:tcPr>
          <w:p>
            <w:pPr>
              <w:spacing w:after="0"/>
              <w:rPr>
                <w:sz w:val="20"/>
                <w:szCs w:val="20"/>
                <w:color w:val="auto"/>
              </w:rPr>
            </w:pPr>
            <w:r>
              <w:rPr>
                <w:rFonts w:ascii="Arial" w:cs="Arial" w:eastAsia="Arial" w:hAnsi="Arial"/>
                <w:sz w:val="17"/>
                <w:szCs w:val="17"/>
                <w:color w:val="auto"/>
              </w:rPr>
              <w:t>Commitments and contingencies (Note 11)</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768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Stockholders' equity:</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9"/>
        </w:trPr>
        <w:tc>
          <w:tcPr>
            <w:tcW w:w="7680" w:type="dxa"/>
            <w:vAlign w:val="bottom"/>
            <w:gridSpan w:val="3"/>
          </w:tcPr>
          <w:p>
            <w:pPr>
              <w:spacing w:after="0"/>
              <w:rPr>
                <w:sz w:val="20"/>
                <w:szCs w:val="20"/>
                <w:color w:val="auto"/>
              </w:rPr>
            </w:pPr>
            <w:r>
              <w:rPr>
                <w:rFonts w:ascii="Arial" w:cs="Arial" w:eastAsia="Arial" w:hAnsi="Arial"/>
                <w:sz w:val="17"/>
                <w:szCs w:val="17"/>
                <w:color w:val="auto"/>
                <w:w w:val="96"/>
              </w:rPr>
              <w:t>Convertible preferred stock, $0.00001 par value; 10,000,000 shares authorized and no shares issued and</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7680" w:type="dxa"/>
            <w:vAlign w:val="bottom"/>
            <w:gridSpan w:val="3"/>
          </w:tcPr>
          <w:p>
            <w:pPr>
              <w:spacing w:after="0"/>
              <w:rPr>
                <w:sz w:val="20"/>
                <w:szCs w:val="20"/>
                <w:color w:val="auto"/>
              </w:rPr>
            </w:pPr>
            <w:r>
              <w:rPr>
                <w:rFonts w:ascii="Arial" w:cs="Arial" w:eastAsia="Arial" w:hAnsi="Arial"/>
                <w:sz w:val="17"/>
                <w:szCs w:val="17"/>
                <w:color w:val="auto"/>
              </w:rPr>
              <w:t>outstanding at March 31, 2021 and December 31, 2020.</w:t>
            </w:r>
          </w:p>
        </w:tc>
        <w:tc>
          <w:tcPr>
            <w:tcW w:w="26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199"/>
        </w:trPr>
        <w:tc>
          <w:tcPr>
            <w:tcW w:w="7680" w:type="dxa"/>
            <w:vAlign w:val="bottom"/>
            <w:gridSpan w:val="3"/>
            <w:shd w:val="clear" w:color="auto" w:fill="CFF0FC"/>
          </w:tcPr>
          <w:p>
            <w:pPr>
              <w:spacing w:after="0"/>
              <w:rPr>
                <w:sz w:val="20"/>
                <w:szCs w:val="20"/>
                <w:color w:val="auto"/>
              </w:rPr>
            </w:pPr>
            <w:r>
              <w:rPr>
                <w:rFonts w:ascii="Arial" w:cs="Arial" w:eastAsia="Arial" w:hAnsi="Arial"/>
                <w:sz w:val="17"/>
                <w:szCs w:val="17"/>
                <w:color w:val="auto"/>
                <w:w w:val="94"/>
              </w:rPr>
              <w:t>Common stock, $0.00001 par value; 150,000,000 shares authorized and 65,002,897 and 48,251,819 shares</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1"/>
        </w:trPr>
        <w:tc>
          <w:tcPr>
            <w:tcW w:w="768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issued and outstanding at March 31, 2021 and December 31, 2020, respectively</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FF0FC"/>
          </w:tcPr>
          <w:p>
            <w:pPr>
              <w:spacing w:after="0"/>
              <w:rPr>
                <w:sz w:val="18"/>
                <w:szCs w:val="18"/>
                <w:color w:val="auto"/>
              </w:rPr>
            </w:pPr>
          </w:p>
        </w:tc>
      </w:tr>
      <w:tr>
        <w:trPr>
          <w:trHeight w:val="210"/>
        </w:trPr>
        <w:tc>
          <w:tcPr>
            <w:tcW w:w="7680" w:type="dxa"/>
            <w:vAlign w:val="bottom"/>
            <w:gridSpan w:val="3"/>
          </w:tcPr>
          <w:p>
            <w:pPr>
              <w:ind w:left="220"/>
              <w:spacing w:after="0"/>
              <w:rPr>
                <w:sz w:val="20"/>
                <w:szCs w:val="20"/>
                <w:color w:val="auto"/>
              </w:rPr>
            </w:pPr>
            <w:r>
              <w:rPr>
                <w:rFonts w:ascii="Arial" w:cs="Arial" w:eastAsia="Arial" w:hAnsi="Arial"/>
                <w:sz w:val="17"/>
                <w:szCs w:val="17"/>
                <w:color w:val="auto"/>
              </w:rPr>
              <w:t>Additional paid-in capital</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611,733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499,964</w:t>
            </w:r>
          </w:p>
        </w:tc>
        <w:tc>
          <w:tcPr>
            <w:tcW w:w="120" w:type="dxa"/>
            <w:vAlign w:val="bottom"/>
          </w:tcPr>
          <w:p>
            <w:pPr>
              <w:spacing w:after="0"/>
              <w:rPr>
                <w:sz w:val="18"/>
                <w:szCs w:val="18"/>
                <w:color w:val="auto"/>
              </w:rPr>
            </w:pPr>
          </w:p>
        </w:tc>
      </w:tr>
      <w:tr>
        <w:trPr>
          <w:trHeight w:val="212"/>
        </w:trPr>
        <w:tc>
          <w:tcPr>
            <w:tcW w:w="7680" w:type="dxa"/>
            <w:vAlign w:val="bottom"/>
            <w:gridSpan w:val="3"/>
            <w:shd w:val="clear" w:color="auto" w:fill="CFF0FC"/>
          </w:tcPr>
          <w:p>
            <w:pPr>
              <w:ind w:left="220"/>
              <w:spacing w:after="0"/>
              <w:rPr>
                <w:sz w:val="20"/>
                <w:szCs w:val="20"/>
                <w:color w:val="auto"/>
              </w:rPr>
            </w:pPr>
            <w:r>
              <w:rPr>
                <w:rFonts w:ascii="Arial" w:cs="Arial" w:eastAsia="Arial" w:hAnsi="Arial"/>
                <w:sz w:val="17"/>
                <w:szCs w:val="17"/>
                <w:color w:val="auto"/>
              </w:rPr>
              <w:t>Accumulated other comprehensive loss</w:t>
            </w:r>
          </w:p>
        </w:tc>
        <w:tc>
          <w:tcPr>
            <w:tcW w:w="2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(43)</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(47)</w:t>
            </w:r>
          </w:p>
        </w:tc>
      </w:tr>
      <w:tr>
        <w:trPr>
          <w:trHeight w:val="210"/>
        </w:trPr>
        <w:tc>
          <w:tcPr>
            <w:tcW w:w="7680" w:type="dxa"/>
            <w:vAlign w:val="bottom"/>
            <w:gridSpan w:val="3"/>
          </w:tcPr>
          <w:p>
            <w:pPr>
              <w:ind w:left="220"/>
              <w:spacing w:after="0"/>
              <w:rPr>
                <w:sz w:val="20"/>
                <w:szCs w:val="20"/>
                <w:color w:val="auto"/>
              </w:rPr>
            </w:pPr>
            <w:r>
              <w:rPr>
                <w:rFonts w:ascii="Arial" w:cs="Arial" w:eastAsia="Arial" w:hAnsi="Arial"/>
                <w:sz w:val="17"/>
                <w:szCs w:val="17"/>
                <w:color w:val="auto"/>
              </w:rPr>
              <w:t>Accumulated deficit</w:t>
            </w:r>
          </w:p>
        </w:tc>
        <w:tc>
          <w:tcPr>
            <w:tcW w:w="26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7"/>
                <w:szCs w:val="17"/>
                <w:color w:val="auto"/>
              </w:rPr>
              <w:t>(465,669)</w:t>
            </w:r>
          </w:p>
        </w:tc>
        <w:tc>
          <w:tcPr>
            <w:tcW w:w="2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7"/>
                <w:szCs w:val="17"/>
                <w:color w:val="auto"/>
              </w:rPr>
              <w:t>(450,115)</w:t>
            </w:r>
          </w:p>
        </w:tc>
      </w:tr>
      <w:tr>
        <w:trPr>
          <w:trHeight w:val="204"/>
        </w:trPr>
        <w:tc>
          <w:tcPr>
            <w:tcW w:w="76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7"/>
                <w:szCs w:val="17"/>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146,022</w:t>
            </w:r>
          </w:p>
        </w:tc>
        <w:tc>
          <w:tcPr>
            <w:tcW w:w="3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49,803</w:t>
            </w:r>
          </w:p>
        </w:tc>
        <w:tc>
          <w:tcPr>
            <w:tcW w:w="120" w:type="dxa"/>
            <w:vAlign w:val="bottom"/>
            <w:tcBorders>
              <w:top w:val="single" w:sz="8" w:color="CFF0FC"/>
            </w:tcBorders>
            <w:shd w:val="clear" w:color="auto" w:fill="CFF0FC"/>
          </w:tcPr>
          <w:p>
            <w:pPr>
              <w:spacing w:after="0"/>
              <w:rPr>
                <w:sz w:val="17"/>
                <w:szCs w:val="17"/>
                <w:color w:val="auto"/>
              </w:rPr>
            </w:pPr>
          </w:p>
        </w:tc>
      </w:tr>
      <w:tr>
        <w:trPr>
          <w:trHeight w:val="203"/>
        </w:trPr>
        <w:tc>
          <w:tcPr>
            <w:tcW w:w="7680" w:type="dxa"/>
            <w:vAlign w:val="bottom"/>
            <w:gridSpan w:val="3"/>
          </w:tcPr>
          <w:p>
            <w:pPr>
              <w:spacing w:after="0"/>
              <w:rPr>
                <w:sz w:val="20"/>
                <w:szCs w:val="20"/>
                <w:color w:val="auto"/>
              </w:rPr>
            </w:pPr>
            <w:r>
              <w:rPr>
                <w:rFonts w:ascii="Arial" w:cs="Arial" w:eastAsia="Arial" w:hAnsi="Arial"/>
                <w:sz w:val="17"/>
                <w:szCs w:val="17"/>
                <w:color w:val="auto"/>
              </w:rPr>
              <w:t>Total liabilities and stockholders' equity</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434,158</w:t>
            </w:r>
          </w:p>
        </w:tc>
        <w:tc>
          <w:tcPr>
            <w:tcW w:w="3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358,663</w:t>
            </w:r>
          </w:p>
        </w:tc>
        <w:tc>
          <w:tcPr>
            <w:tcW w:w="1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10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25" w:lineRule="exact"/>
        <w:rPr>
          <w:sz w:val="20"/>
          <w:szCs w:val="20"/>
          <w:color w:val="auto"/>
        </w:rPr>
      </w:pPr>
    </w:p>
    <w:p>
      <w:pPr>
        <w:ind w:left="501" w:right="60" w:hanging="501"/>
        <w:spacing w:after="0" w:line="261" w:lineRule="auto"/>
        <w:tabs>
          <w:tab w:leader="none" w:pos="501" w:val="left"/>
        </w:tabs>
        <w:numPr>
          <w:ilvl w:val="0"/>
          <w:numId w:val="5"/>
        </w:numPr>
        <w:rPr>
          <w:rFonts w:ascii="Arial" w:cs="Arial" w:eastAsia="Arial" w:hAnsi="Arial"/>
          <w:sz w:val="14"/>
          <w:szCs w:val="14"/>
          <w:color w:val="auto"/>
        </w:rPr>
      </w:pPr>
      <w:r>
        <w:rPr>
          <w:rFonts w:ascii="Arial" w:cs="Arial" w:eastAsia="Arial" w:hAnsi="Arial"/>
          <w:sz w:val="17"/>
          <w:szCs w:val="17"/>
          <w:color w:val="auto"/>
        </w:rPr>
        <w:t>The condensed balance sheet as of December 31, 2020 was derived from the audited financial statements included in the Company's Annual Report on Form 10-K for the year ended December 31, 2020.</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condensed financial statements.</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16851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1"/>
          </w:cols>
          <w:pgMar w:left="319" w:top="322"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CYTOMX THERAPEUTICS,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STATEMENTS OF OPERATIONS AND COMPREHENSIVE INCOME (LOSS)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gridSpan w:val="4"/>
          </w:tcPr>
          <w:p>
            <w:pPr>
              <w:jc w:val="right"/>
              <w:ind w:right="28"/>
              <w:spacing w:after="0"/>
              <w:rPr>
                <w:sz w:val="20"/>
                <w:szCs w:val="20"/>
                <w:color w:val="auto"/>
              </w:rPr>
            </w:pPr>
            <w:r>
              <w:rPr>
                <w:rFonts w:ascii="Arial" w:cs="Arial" w:eastAsia="Arial" w:hAnsi="Arial"/>
                <w:sz w:val="13"/>
                <w:szCs w:val="13"/>
                <w:b w:val="1"/>
                <w:bCs w:val="1"/>
                <w:color w:val="auto"/>
              </w:rPr>
              <w:t>Three Months Ended</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3"/>
                <w:szCs w:val="13"/>
                <w:b w:val="1"/>
                <w:bCs w:val="1"/>
                <w:color w:val="auto"/>
              </w:rPr>
              <w:t>March 31,</w:t>
            </w:r>
          </w:p>
        </w:tc>
        <w:tc>
          <w:tcPr>
            <w:tcW w:w="10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772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80"/>
              <w:spacing w:after="0" w:line="142" w:lineRule="exact"/>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78"/>
              <w:spacing w:after="0" w:line="142"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15,971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40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49,593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20" w:type="dxa"/>
            <w:vAlign w:val="bottom"/>
          </w:tcPr>
          <w:p>
            <w:pPr>
              <w:spacing w:after="0"/>
              <w:rPr>
                <w:sz w:val="20"/>
                <w:szCs w:val="20"/>
                <w:color w:val="auto"/>
              </w:rPr>
            </w:pPr>
            <w:r>
              <w:rPr>
                <w:rFonts w:ascii="Arial" w:cs="Arial" w:eastAsia="Arial" w:hAnsi="Arial"/>
                <w:sz w:val="17"/>
                <w:szCs w:val="17"/>
                <w:color w:val="auto"/>
              </w:rPr>
              <w:t>Operating expenses: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Research and development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22,371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42,814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General and administrative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9,227</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9,572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720" w:type="dxa"/>
            <w:vAlign w:val="bottom"/>
            <w:shd w:val="clear" w:color="auto" w:fill="CFF0FC"/>
          </w:tcPr>
          <w:p>
            <w:pPr>
              <w:ind w:left="460"/>
              <w:spacing w:after="0"/>
              <w:rPr>
                <w:sz w:val="20"/>
                <w:szCs w:val="20"/>
                <w:color w:val="auto"/>
              </w:rPr>
            </w:pPr>
            <w:r>
              <w:rPr>
                <w:rFonts w:ascii="Arial" w:cs="Arial" w:eastAsia="Arial" w:hAnsi="Arial"/>
                <w:sz w:val="17"/>
                <w:szCs w:val="17"/>
                <w:color w:val="auto"/>
              </w:rPr>
              <w:t>Total operating expenses</w:t>
            </w: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31,598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52,386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7"/>
                <w:szCs w:val="17"/>
                <w:color w:val="auto"/>
              </w:rPr>
              <w:t>Loss from operations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(15,627)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(2,793)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Interest income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Other income, net</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Loss before income taxes</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(15,554)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(1,706)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20"/>
              <w:spacing w:after="0"/>
              <w:rPr>
                <w:sz w:val="20"/>
                <w:szCs w:val="20"/>
                <w:color w:val="auto"/>
              </w:rPr>
            </w:pPr>
            <w:r>
              <w:rPr>
                <w:rFonts w:ascii="Arial" w:cs="Arial" w:eastAsia="Arial" w:hAnsi="Arial"/>
                <w:sz w:val="17"/>
                <w:szCs w:val="17"/>
                <w:color w:val="auto"/>
              </w:rPr>
              <w:t>Provision for (benefit from) income taxes</w:t>
            </w: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(13,911)</w:t>
            </w:r>
          </w:p>
        </w:tc>
        <w:tc>
          <w:tcPr>
            <w:tcW w:w="0" w:type="dxa"/>
            <w:vAlign w:val="bottom"/>
          </w:tcPr>
          <w:p>
            <w:pPr>
              <w:spacing w:after="0"/>
              <w:rPr>
                <w:sz w:val="1"/>
                <w:szCs w:val="1"/>
                <w:color w:val="auto"/>
              </w:rPr>
            </w:pPr>
          </w:p>
        </w:tc>
      </w:tr>
      <w:tr>
        <w:trPr>
          <w:trHeight w:val="20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income (loss)</w:t>
            </w:r>
          </w:p>
        </w:tc>
        <w:tc>
          <w:tcPr>
            <w:tcW w:w="360" w:type="dxa"/>
            <w:vAlign w:val="bottom"/>
            <w:tcBorders>
              <w:top w:val="single" w:sz="8" w:color="auto"/>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(15,554)</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560" w:type="dxa"/>
            <w:vAlign w:val="bottom"/>
            <w:tcBorders>
              <w:top w:val="single" w:sz="8" w:color="auto"/>
              <w:bottom w:val="single" w:sz="8" w:color="auto"/>
            </w:tcBorders>
            <w:shd w:val="clear" w:color="auto" w:fill="CFF0FC"/>
          </w:tcPr>
          <w:p>
            <w:pPr>
              <w:jc w:val="right"/>
              <w:ind w:right="4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12,205</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7"/>
                <w:szCs w:val="17"/>
                <w:color w:val="auto"/>
              </w:rPr>
              <w:t>Net income (loss) per share</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7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Basic</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(0.26)</w:t>
            </w:r>
          </w:p>
        </w:tc>
        <w:tc>
          <w:tcPr>
            <w:tcW w:w="680" w:type="dxa"/>
            <w:vAlign w:val="bottom"/>
            <w:gridSpan w:val="2"/>
            <w:shd w:val="clear" w:color="auto" w:fill="CFF0FC"/>
          </w:tcPr>
          <w:p>
            <w:pPr>
              <w:jc w:val="right"/>
              <w:ind w:right="408"/>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0.27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20"/>
              <w:spacing w:after="0"/>
              <w:rPr>
                <w:sz w:val="20"/>
                <w:szCs w:val="20"/>
                <w:color w:val="auto"/>
              </w:rPr>
            </w:pPr>
            <w:r>
              <w:rPr>
                <w:rFonts w:ascii="Arial" w:cs="Arial" w:eastAsia="Arial" w:hAnsi="Arial"/>
                <w:sz w:val="17"/>
                <w:szCs w:val="17"/>
                <w:color w:val="auto"/>
              </w:rPr>
              <w:t>Diluted</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(0.26)</w:t>
            </w:r>
          </w:p>
        </w:tc>
        <w:tc>
          <w:tcPr>
            <w:tcW w:w="680" w:type="dxa"/>
            <w:vAlign w:val="bottom"/>
            <w:gridSpan w:val="2"/>
          </w:tcPr>
          <w:p>
            <w:pPr>
              <w:jc w:val="right"/>
              <w:ind w:right="408"/>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Shares used to compute net income (loss) per share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20"/>
              <w:spacing w:after="0"/>
              <w:rPr>
                <w:sz w:val="20"/>
                <w:szCs w:val="20"/>
                <w:color w:val="auto"/>
              </w:rPr>
            </w:pPr>
            <w:r>
              <w:rPr>
                <w:rFonts w:ascii="Arial" w:cs="Arial" w:eastAsia="Arial" w:hAnsi="Arial"/>
                <w:sz w:val="17"/>
                <w:szCs w:val="17"/>
                <w:color w:val="auto"/>
              </w:rPr>
              <w:t>Basic</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60,968,111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45,723,955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Diluted</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60,968,111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47,044,774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spacing w:after="0"/>
              <w:rPr>
                <w:sz w:val="20"/>
                <w:szCs w:val="20"/>
                <w:color w:val="auto"/>
              </w:rPr>
            </w:pPr>
            <w:r>
              <w:rPr>
                <w:rFonts w:ascii="Arial" w:cs="Arial" w:eastAsia="Arial" w:hAnsi="Arial"/>
                <w:sz w:val="17"/>
                <w:szCs w:val="17"/>
                <w:color w:val="auto"/>
              </w:rPr>
              <w:t>Other comprehensive income:</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Unrealized gain on short-term investments, net of tax</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8"/>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Comprehensive income (loss)</w:t>
            </w: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(15,550)</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12,484</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financial statements.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CYTOMX THERAPEUTICS,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STOCKHOLDERS’ EQUITY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data)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Accumulated</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Additional</w:t>
            </w:r>
          </w:p>
        </w:tc>
        <w:tc>
          <w:tcPr>
            <w:tcW w:w="80" w:type="dxa"/>
            <w:vAlign w:val="bottom"/>
          </w:tcPr>
          <w:p>
            <w:pPr>
              <w:spacing w:after="0"/>
              <w:rPr>
                <w:sz w:val="12"/>
                <w:szCs w:val="12"/>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7"/>
        </w:trPr>
        <w:tc>
          <w:tcPr>
            <w:tcW w:w="3760" w:type="dxa"/>
            <w:vAlign w:val="bottom"/>
          </w:tcPr>
          <w:p>
            <w:pPr>
              <w:spacing w:after="0"/>
              <w:rPr>
                <w:sz w:val="13"/>
                <w:szCs w:val="13"/>
                <w:color w:val="auto"/>
              </w:rPr>
            </w:pPr>
          </w:p>
        </w:tc>
        <w:tc>
          <w:tcPr>
            <w:tcW w:w="212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Paid-in</w:t>
            </w:r>
          </w:p>
        </w:tc>
        <w:tc>
          <w:tcPr>
            <w:tcW w:w="8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Comprehensive</w:t>
            </w:r>
          </w:p>
        </w:tc>
        <w:tc>
          <w:tcPr>
            <w:tcW w:w="12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Accumulated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141"/>
        </w:trPr>
        <w:tc>
          <w:tcPr>
            <w:tcW w:w="3760" w:type="dxa"/>
            <w:vAlign w:val="bottom"/>
          </w:tcPr>
          <w:p>
            <w:pPr>
              <w:spacing w:after="0"/>
              <w:rPr>
                <w:sz w:val="12"/>
                <w:szCs w:val="12"/>
                <w:color w:val="auto"/>
              </w:rPr>
            </w:pPr>
          </w:p>
        </w:tc>
        <w:tc>
          <w:tcPr>
            <w:tcW w:w="1260" w:type="dxa"/>
            <w:vAlign w:val="bottom"/>
            <w:gridSpan w:val="2"/>
          </w:tcPr>
          <w:p>
            <w:pPr>
              <w:ind w:left="340"/>
              <w:spacing w:after="0" w:line="142" w:lineRule="exact"/>
              <w:rPr>
                <w:sz w:val="20"/>
                <w:szCs w:val="20"/>
                <w:color w:val="auto"/>
              </w:rPr>
            </w:pPr>
            <w:r>
              <w:rPr>
                <w:rFonts w:ascii="Arial" w:cs="Arial" w:eastAsia="Arial" w:hAnsi="Arial"/>
                <w:sz w:val="13"/>
                <w:szCs w:val="13"/>
                <w:b w:val="1"/>
                <w:bCs w:val="1"/>
                <w:color w:val="auto"/>
              </w:rPr>
              <w:t>Shares</w:t>
            </w:r>
          </w:p>
        </w:tc>
        <w:tc>
          <w:tcPr>
            <w:tcW w:w="860" w:type="dxa"/>
            <w:vAlign w:val="bottom"/>
          </w:tcPr>
          <w:p>
            <w:pPr>
              <w:jc w:val="right"/>
              <w:ind w:right="30"/>
              <w:spacing w:after="0" w:line="142" w:lineRule="exact"/>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60"/>
              <w:spacing w:after="0" w:line="142" w:lineRule="exact"/>
              <w:rPr>
                <w:sz w:val="20"/>
                <w:szCs w:val="20"/>
                <w:color w:val="auto"/>
              </w:rPr>
            </w:pPr>
            <w:r>
              <w:rPr>
                <w:rFonts w:ascii="Arial" w:cs="Arial" w:eastAsia="Arial" w:hAnsi="Arial"/>
                <w:sz w:val="13"/>
                <w:szCs w:val="13"/>
                <w:b w:val="1"/>
                <w:bCs w:val="1"/>
                <w:color w:val="auto"/>
                <w:w w:val="96"/>
              </w:rPr>
              <w:t>Capital</w:t>
            </w:r>
          </w:p>
        </w:tc>
        <w:tc>
          <w:tcPr>
            <w:tcW w:w="80" w:type="dxa"/>
            <w:vAlign w:val="bottom"/>
          </w:tcPr>
          <w:p>
            <w:pPr>
              <w:spacing w:after="0"/>
              <w:rPr>
                <w:sz w:val="12"/>
                <w:szCs w:val="12"/>
                <w:color w:val="auto"/>
              </w:rPr>
            </w:pPr>
          </w:p>
        </w:tc>
        <w:tc>
          <w:tcPr>
            <w:tcW w:w="1180" w:type="dxa"/>
            <w:vAlign w:val="bottom"/>
            <w:gridSpan w:val="2"/>
          </w:tcPr>
          <w:p>
            <w:pPr>
              <w:jc w:val="center"/>
              <w:ind w:right="260"/>
              <w:spacing w:after="0" w:line="142" w:lineRule="exact"/>
              <w:rPr>
                <w:sz w:val="20"/>
                <w:szCs w:val="20"/>
                <w:color w:val="auto"/>
              </w:rPr>
            </w:pPr>
            <w:r>
              <w:rPr>
                <w:rFonts w:ascii="Arial" w:cs="Arial" w:eastAsia="Arial" w:hAnsi="Arial"/>
                <w:sz w:val="13"/>
                <w:szCs w:val="13"/>
                <w:b w:val="1"/>
                <w:bCs w:val="1"/>
                <w:color w:val="auto"/>
                <w:w w:val="90"/>
              </w:rPr>
              <w:t>Income/(Loss)</w:t>
            </w:r>
          </w:p>
        </w:tc>
        <w:tc>
          <w:tcPr>
            <w:tcW w:w="120" w:type="dxa"/>
            <w:vAlign w:val="bottom"/>
          </w:tcPr>
          <w:p>
            <w:pPr>
              <w:spacing w:after="0"/>
              <w:rPr>
                <w:sz w:val="12"/>
                <w:szCs w:val="12"/>
                <w:color w:val="auto"/>
              </w:rPr>
            </w:pPr>
          </w:p>
        </w:tc>
        <w:tc>
          <w:tcPr>
            <w:tcW w:w="1080" w:type="dxa"/>
            <w:vAlign w:val="bottom"/>
            <w:gridSpan w:val="2"/>
          </w:tcPr>
          <w:p>
            <w:pPr>
              <w:jc w:val="center"/>
              <w:ind w:right="260"/>
              <w:spacing w:after="0" w:line="142" w:lineRule="exact"/>
              <w:rPr>
                <w:sz w:val="20"/>
                <w:szCs w:val="20"/>
                <w:color w:val="auto"/>
              </w:rPr>
            </w:pPr>
            <w:r>
              <w:rPr>
                <w:rFonts w:ascii="Arial" w:cs="Arial" w:eastAsia="Arial" w:hAnsi="Arial"/>
                <w:sz w:val="13"/>
                <w:szCs w:val="13"/>
                <w:b w:val="1"/>
                <w:bCs w:val="1"/>
                <w:color w:val="auto"/>
                <w:w w:val="95"/>
              </w:rPr>
              <w:t>Deficit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60"/>
              <w:spacing w:after="0" w:line="142"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03"/>
        </w:trPr>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 at December 31, 2020</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48,251,819</w:t>
            </w:r>
          </w:p>
        </w:tc>
        <w:tc>
          <w:tcPr>
            <w:tcW w:w="20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ind w:right="710"/>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499,964</w:t>
            </w:r>
          </w:p>
        </w:tc>
        <w:tc>
          <w:tcPr>
            <w:tcW w:w="1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w:t>
            </w: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(450,115)</w:t>
            </w: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49,803</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60" w:type="dxa"/>
            <w:vAlign w:val="bottom"/>
          </w:tcPr>
          <w:p>
            <w:pPr>
              <w:spacing w:after="0"/>
              <w:rPr>
                <w:sz w:val="20"/>
                <w:szCs w:val="20"/>
                <w:color w:val="auto"/>
              </w:rPr>
            </w:pPr>
            <w:r>
              <w:rPr>
                <w:rFonts w:ascii="Arial" w:cs="Arial" w:eastAsia="Arial" w:hAnsi="Arial"/>
                <w:sz w:val="17"/>
                <w:szCs w:val="17"/>
                <w:color w:val="auto"/>
                <w:w w:val="92"/>
              </w:rPr>
              <w:t>Issuance of common stock in follow-on offering, net of</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760" w:type="dxa"/>
            <w:vAlign w:val="bottom"/>
          </w:tcPr>
          <w:p>
            <w:pPr>
              <w:spacing w:after="0"/>
              <w:rPr>
                <w:sz w:val="20"/>
                <w:szCs w:val="20"/>
                <w:color w:val="auto"/>
              </w:rPr>
            </w:pPr>
            <w:r>
              <w:rPr>
                <w:rFonts w:ascii="Arial" w:cs="Arial" w:eastAsia="Arial" w:hAnsi="Arial"/>
                <w:sz w:val="17"/>
                <w:szCs w:val="17"/>
                <w:color w:val="auto"/>
              </w:rPr>
              <w:t>issuance costs</w:t>
            </w:r>
          </w:p>
        </w:tc>
        <w:tc>
          <w:tcPr>
            <w:tcW w:w="1060" w:type="dxa"/>
            <w:vAlign w:val="bottom"/>
          </w:tcPr>
          <w:p>
            <w:pPr>
              <w:jc w:val="right"/>
              <w:spacing w:after="0"/>
              <w:rPr>
                <w:sz w:val="20"/>
                <w:szCs w:val="20"/>
                <w:color w:val="auto"/>
              </w:rPr>
            </w:pPr>
            <w:r>
              <w:rPr>
                <w:rFonts w:ascii="Arial" w:cs="Arial" w:eastAsia="Arial" w:hAnsi="Arial"/>
                <w:sz w:val="17"/>
                <w:szCs w:val="17"/>
                <w:color w:val="auto"/>
              </w:rPr>
              <w:t>16,428,571</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107,712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107,712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Exercise of stock options</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322,507</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1,023</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3,034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3,034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Other comprehensive income</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Pr>
          <w:p>
            <w:pPr>
              <w:spacing w:after="0"/>
              <w:rPr>
                <w:sz w:val="20"/>
                <w:szCs w:val="20"/>
                <w:color w:val="auto"/>
              </w:rPr>
            </w:pPr>
            <w:r>
              <w:rPr>
                <w:rFonts w:ascii="Arial" w:cs="Arial" w:eastAsia="Arial" w:hAnsi="Arial"/>
                <w:sz w:val="17"/>
                <w:szCs w:val="17"/>
                <w:color w:val="auto"/>
              </w:rPr>
              <w:t>Net loss</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(15,554)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(15,554)</w:t>
            </w:r>
          </w:p>
        </w:tc>
        <w:tc>
          <w:tcPr>
            <w:tcW w:w="0" w:type="dxa"/>
            <w:vAlign w:val="bottom"/>
          </w:tcPr>
          <w:p>
            <w:pPr>
              <w:spacing w:after="0"/>
              <w:rPr>
                <w:sz w:val="1"/>
                <w:szCs w:val="1"/>
                <w:color w:val="auto"/>
              </w:rPr>
            </w:pPr>
          </w:p>
        </w:tc>
      </w:tr>
      <w:tr>
        <w:trPr>
          <w:trHeight w:val="203"/>
        </w:trPr>
        <w:tc>
          <w:tcPr>
            <w:tcW w:w="3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 at March 31, 2021</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65,002,897</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ind w:right="710"/>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611,733</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(465,669)</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146,022</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3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Accumulated</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Additional</w:t>
            </w:r>
          </w:p>
        </w:tc>
        <w:tc>
          <w:tcPr>
            <w:tcW w:w="80" w:type="dxa"/>
            <w:vAlign w:val="bottom"/>
          </w:tcPr>
          <w:p>
            <w:pPr>
              <w:spacing w:after="0"/>
              <w:rPr>
                <w:sz w:val="12"/>
                <w:szCs w:val="12"/>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7"/>
        </w:trPr>
        <w:tc>
          <w:tcPr>
            <w:tcW w:w="3760" w:type="dxa"/>
            <w:vAlign w:val="bottom"/>
          </w:tcPr>
          <w:p>
            <w:pPr>
              <w:spacing w:after="0"/>
              <w:rPr>
                <w:sz w:val="13"/>
                <w:szCs w:val="13"/>
                <w:color w:val="auto"/>
              </w:rPr>
            </w:pPr>
          </w:p>
        </w:tc>
        <w:tc>
          <w:tcPr>
            <w:tcW w:w="212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Paid-in</w:t>
            </w:r>
          </w:p>
        </w:tc>
        <w:tc>
          <w:tcPr>
            <w:tcW w:w="8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Comprehensive</w:t>
            </w:r>
          </w:p>
        </w:tc>
        <w:tc>
          <w:tcPr>
            <w:tcW w:w="12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Accumulated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141"/>
        </w:trPr>
        <w:tc>
          <w:tcPr>
            <w:tcW w:w="3760" w:type="dxa"/>
            <w:vAlign w:val="bottom"/>
            <w:vMerge w:val="restart"/>
          </w:tcPr>
          <w:p>
            <w:pPr>
              <w:spacing w:after="0"/>
              <w:rPr>
                <w:sz w:val="20"/>
                <w:szCs w:val="20"/>
                <w:color w:val="auto"/>
              </w:rPr>
            </w:pPr>
            <w:r>
              <w:rPr>
                <w:rFonts w:ascii="Arial" w:cs="Arial" w:eastAsia="Arial" w:hAnsi="Arial"/>
                <w:sz w:val="17"/>
                <w:szCs w:val="17"/>
                <w:b w:val="1"/>
                <w:bCs w:val="1"/>
                <w:color w:val="auto"/>
              </w:rPr>
              <w:t>Balance at December 31, 2019</w:t>
            </w:r>
          </w:p>
        </w:tc>
        <w:tc>
          <w:tcPr>
            <w:tcW w:w="1260" w:type="dxa"/>
            <w:vAlign w:val="bottom"/>
            <w:gridSpan w:val="2"/>
          </w:tcPr>
          <w:p>
            <w:pPr>
              <w:ind w:left="340"/>
              <w:spacing w:after="0" w:line="142" w:lineRule="exact"/>
              <w:rPr>
                <w:sz w:val="20"/>
                <w:szCs w:val="20"/>
                <w:color w:val="auto"/>
              </w:rPr>
            </w:pPr>
            <w:r>
              <w:rPr>
                <w:rFonts w:ascii="Arial" w:cs="Arial" w:eastAsia="Arial" w:hAnsi="Arial"/>
                <w:sz w:val="13"/>
                <w:szCs w:val="13"/>
                <w:b w:val="1"/>
                <w:bCs w:val="1"/>
                <w:color w:val="auto"/>
              </w:rPr>
              <w:t>Shares</w:t>
            </w:r>
          </w:p>
        </w:tc>
        <w:tc>
          <w:tcPr>
            <w:tcW w:w="860" w:type="dxa"/>
            <w:vAlign w:val="bottom"/>
          </w:tcPr>
          <w:p>
            <w:pPr>
              <w:jc w:val="right"/>
              <w:ind w:right="30"/>
              <w:spacing w:after="0" w:line="142" w:lineRule="exact"/>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60"/>
              <w:spacing w:after="0" w:line="142" w:lineRule="exact"/>
              <w:rPr>
                <w:sz w:val="20"/>
                <w:szCs w:val="20"/>
                <w:color w:val="auto"/>
              </w:rPr>
            </w:pPr>
            <w:r>
              <w:rPr>
                <w:rFonts w:ascii="Arial" w:cs="Arial" w:eastAsia="Arial" w:hAnsi="Arial"/>
                <w:sz w:val="13"/>
                <w:szCs w:val="13"/>
                <w:b w:val="1"/>
                <w:bCs w:val="1"/>
                <w:color w:val="auto"/>
                <w:w w:val="96"/>
              </w:rPr>
              <w:t>Capital</w:t>
            </w:r>
          </w:p>
        </w:tc>
        <w:tc>
          <w:tcPr>
            <w:tcW w:w="80" w:type="dxa"/>
            <w:vAlign w:val="bottom"/>
          </w:tcPr>
          <w:p>
            <w:pPr>
              <w:spacing w:after="0"/>
              <w:rPr>
                <w:sz w:val="12"/>
                <w:szCs w:val="12"/>
                <w:color w:val="auto"/>
              </w:rPr>
            </w:pPr>
          </w:p>
        </w:tc>
        <w:tc>
          <w:tcPr>
            <w:tcW w:w="1180" w:type="dxa"/>
            <w:vAlign w:val="bottom"/>
            <w:gridSpan w:val="2"/>
          </w:tcPr>
          <w:p>
            <w:pPr>
              <w:jc w:val="center"/>
              <w:ind w:right="260"/>
              <w:spacing w:after="0" w:line="142" w:lineRule="exact"/>
              <w:rPr>
                <w:sz w:val="20"/>
                <w:szCs w:val="20"/>
                <w:color w:val="auto"/>
              </w:rPr>
            </w:pPr>
            <w:r>
              <w:rPr>
                <w:rFonts w:ascii="Arial" w:cs="Arial" w:eastAsia="Arial" w:hAnsi="Arial"/>
                <w:sz w:val="13"/>
                <w:szCs w:val="13"/>
                <w:b w:val="1"/>
                <w:bCs w:val="1"/>
                <w:color w:val="auto"/>
                <w:w w:val="90"/>
              </w:rPr>
              <w:t>Income/(Loss)</w:t>
            </w:r>
          </w:p>
        </w:tc>
        <w:tc>
          <w:tcPr>
            <w:tcW w:w="120" w:type="dxa"/>
            <w:vAlign w:val="bottom"/>
          </w:tcPr>
          <w:p>
            <w:pPr>
              <w:spacing w:after="0"/>
              <w:rPr>
                <w:sz w:val="12"/>
                <w:szCs w:val="12"/>
                <w:color w:val="auto"/>
              </w:rPr>
            </w:pPr>
          </w:p>
        </w:tc>
        <w:tc>
          <w:tcPr>
            <w:tcW w:w="1080" w:type="dxa"/>
            <w:vAlign w:val="bottom"/>
            <w:gridSpan w:val="2"/>
          </w:tcPr>
          <w:p>
            <w:pPr>
              <w:jc w:val="center"/>
              <w:ind w:right="260"/>
              <w:spacing w:after="0" w:line="142" w:lineRule="exact"/>
              <w:rPr>
                <w:sz w:val="20"/>
                <w:szCs w:val="20"/>
                <w:color w:val="auto"/>
              </w:rPr>
            </w:pPr>
            <w:r>
              <w:rPr>
                <w:rFonts w:ascii="Arial" w:cs="Arial" w:eastAsia="Arial" w:hAnsi="Arial"/>
                <w:sz w:val="13"/>
                <w:szCs w:val="13"/>
                <w:b w:val="1"/>
                <w:bCs w:val="1"/>
                <w:color w:val="auto"/>
                <w:w w:val="95"/>
              </w:rPr>
              <w:t>Deficit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60"/>
              <w:spacing w:after="0" w:line="142"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03"/>
        </w:trPr>
        <w:tc>
          <w:tcPr>
            <w:tcW w:w="3760" w:type="dxa"/>
            <w:vAlign w:val="bottom"/>
            <w:vMerge w:val="continue"/>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45,523,088</w:t>
            </w:r>
          </w:p>
        </w:tc>
        <w:tc>
          <w:tcPr>
            <w:tcW w:w="200" w:type="dxa"/>
            <w:vAlign w:val="bottom"/>
          </w:tcPr>
          <w:p>
            <w:pPr>
              <w:spacing w:after="0"/>
              <w:rPr>
                <w:sz w:val="17"/>
                <w:szCs w:val="17"/>
                <w:color w:val="auto"/>
              </w:rPr>
            </w:pPr>
          </w:p>
        </w:tc>
        <w:tc>
          <w:tcPr>
            <w:tcW w:w="860" w:type="dxa"/>
            <w:vAlign w:val="bottom"/>
            <w:tcBorders>
              <w:top w:val="single" w:sz="8" w:color="auto"/>
            </w:tcBorders>
          </w:tcPr>
          <w:p>
            <w:pPr>
              <w:jc w:val="right"/>
              <w:ind w:right="710"/>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468,285</w:t>
            </w:r>
          </w:p>
        </w:tc>
        <w:tc>
          <w:tcPr>
            <w:tcW w:w="18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w:t>
            </w:r>
          </w:p>
        </w:tc>
        <w:tc>
          <w:tcPr>
            <w:tcW w:w="1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(417,230)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51,113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Exercise of stock options</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395,528</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2,157</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2,157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4,013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Other comprehensive income</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Net income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12,205</w:t>
            </w:r>
          </w:p>
        </w:tc>
        <w:tc>
          <w:tcPr>
            <w:tcW w:w="1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12,205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 at March 31, 2020</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45,918,616</w:t>
            </w:r>
          </w:p>
        </w:tc>
        <w:tc>
          <w:tcPr>
            <w:tcW w:w="2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710"/>
              <w:spacing w:after="0"/>
              <w:rPr>
                <w:sz w:val="20"/>
                <w:szCs w:val="20"/>
                <w:color w:val="auto"/>
              </w:rPr>
            </w:pPr>
            <w:r>
              <w:rPr>
                <w:rFonts w:ascii="Arial" w:cs="Arial" w:eastAsia="Arial" w:hAnsi="Arial"/>
                <w:sz w:val="14"/>
                <w:szCs w:val="14"/>
                <w:color w:val="auto"/>
                <w:w w:val="76"/>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474,455</w:t>
            </w:r>
          </w:p>
        </w:tc>
        <w:tc>
          <w:tcPr>
            <w:tcW w:w="1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336</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(405,025)</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69,767</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See accompanying notes to condensed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CYTOMX THERAPEUTICS,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STATEMENTS OF CASH FLOWS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60" w:type="dxa"/>
            <w:vAlign w:val="bottom"/>
            <w:gridSpan w:val="3"/>
          </w:tcPr>
          <w:p>
            <w:pPr>
              <w:jc w:val="right"/>
              <w:spacing w:after="0"/>
              <w:rPr>
                <w:sz w:val="20"/>
                <w:szCs w:val="20"/>
                <w:color w:val="auto"/>
              </w:rPr>
            </w:pPr>
            <w:r>
              <w:rPr>
                <w:rFonts w:ascii="Arial" w:cs="Arial" w:eastAsia="Arial" w:hAnsi="Arial"/>
                <w:sz w:val="13"/>
                <w:szCs w:val="13"/>
                <w:b w:val="1"/>
                <w:bCs w:val="1"/>
                <w:color w:val="auto"/>
                <w:w w:val="99"/>
              </w:rPr>
              <w:t>Three Months Ended</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6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3"/>
                <w:szCs w:val="13"/>
                <w:b w:val="1"/>
                <w:bCs w:val="1"/>
                <w:color w:val="auto"/>
              </w:rPr>
              <w:t>March 31,</w:t>
            </w: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1"/>
        </w:trPr>
        <w:tc>
          <w:tcPr>
            <w:tcW w:w="6800" w:type="dxa"/>
            <w:vAlign w:val="bottom"/>
            <w:tcBorders>
              <w:bottom w:val="single" w:sz="8" w:color="CFF0FC"/>
            </w:tcBorders>
          </w:tcPr>
          <w:p>
            <w:pPr>
              <w:spacing w:after="0"/>
              <w:rPr>
                <w:sz w:val="12"/>
                <w:szCs w:val="12"/>
                <w:color w:val="auto"/>
              </w:rPr>
            </w:pPr>
          </w:p>
        </w:tc>
        <w:tc>
          <w:tcPr>
            <w:tcW w:w="114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18"/>
              <w:spacing w:after="0" w:line="142"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2"/>
                <w:szCs w:val="12"/>
                <w:color w:val="auto"/>
              </w:rPr>
            </w:pPr>
          </w:p>
        </w:tc>
      </w:tr>
      <w:tr>
        <w:trPr>
          <w:trHeight w:val="203"/>
        </w:trPr>
        <w:tc>
          <w:tcPr>
            <w:tcW w:w="68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0"/>
        </w:trPr>
        <w:tc>
          <w:tcPr>
            <w:tcW w:w="6800" w:type="dxa"/>
            <w:vAlign w:val="bottom"/>
          </w:tcPr>
          <w:p>
            <w:pPr>
              <w:ind w:left="220"/>
              <w:spacing w:after="0"/>
              <w:rPr>
                <w:sz w:val="20"/>
                <w:szCs w:val="20"/>
                <w:color w:val="auto"/>
              </w:rPr>
            </w:pPr>
            <w:r>
              <w:rPr>
                <w:rFonts w:ascii="Arial" w:cs="Arial" w:eastAsia="Arial" w:hAnsi="Arial"/>
                <w:sz w:val="17"/>
                <w:szCs w:val="17"/>
                <w:color w:val="auto"/>
              </w:rPr>
              <w:t>Net income (loss)</w:t>
            </w:r>
          </w:p>
        </w:tc>
        <w:tc>
          <w:tcPr>
            <w:tcW w:w="2020" w:type="dxa"/>
            <w:vAlign w:val="bottom"/>
            <w:gridSpan w:val="2"/>
          </w:tcPr>
          <w:p>
            <w:pPr>
              <w:jc w:val="right"/>
              <w:ind w:right="731"/>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w w:val="94"/>
              </w:rPr>
              <w:t>(15,554)</w:t>
            </w: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12,205</w:t>
            </w:r>
          </w:p>
        </w:tc>
        <w:tc>
          <w:tcPr>
            <w:tcW w:w="120" w:type="dxa"/>
            <w:vAlign w:val="bottom"/>
          </w:tcPr>
          <w:p>
            <w:pPr>
              <w:spacing w:after="0"/>
              <w:rPr>
                <w:sz w:val="18"/>
                <w:szCs w:val="18"/>
                <w:color w:val="auto"/>
              </w:rPr>
            </w:pPr>
          </w:p>
        </w:tc>
      </w:tr>
      <w:tr>
        <w:trPr>
          <w:trHeight w:val="212"/>
        </w:trPr>
        <w:tc>
          <w:tcPr>
            <w:tcW w:w="68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Adjustments to reconcile net income (loss) to net cash used in operating activities:</w:t>
            </w:r>
          </w:p>
        </w:tc>
        <w:tc>
          <w:tcPr>
            <w:tcW w:w="1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6800" w:type="dxa"/>
            <w:vAlign w:val="bottom"/>
          </w:tcPr>
          <w:p>
            <w:pPr>
              <w:ind w:left="460"/>
              <w:spacing w:after="0"/>
              <w:rPr>
                <w:sz w:val="20"/>
                <w:szCs w:val="20"/>
                <w:color w:val="auto"/>
              </w:rPr>
            </w:pPr>
            <w:r>
              <w:rPr>
                <w:rFonts w:ascii="Arial" w:cs="Arial" w:eastAsia="Arial" w:hAnsi="Arial"/>
                <w:sz w:val="17"/>
                <w:szCs w:val="17"/>
                <w:color w:val="auto"/>
              </w:rPr>
              <w:t>Amortization of intangible assets</w:t>
            </w: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36</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18"/>
                <w:szCs w:val="18"/>
                <w:color w:val="auto"/>
              </w:rPr>
            </w:pPr>
          </w:p>
        </w:tc>
      </w:tr>
      <w:tr>
        <w:trPr>
          <w:trHeight w:val="212"/>
        </w:trPr>
        <w:tc>
          <w:tcPr>
            <w:tcW w:w="6800" w:type="dxa"/>
            <w:vAlign w:val="bottom"/>
            <w:shd w:val="clear" w:color="auto" w:fill="CFF0FC"/>
          </w:tcPr>
          <w:p>
            <w:pPr>
              <w:ind w:left="460"/>
              <w:spacing w:after="0"/>
              <w:rPr>
                <w:sz w:val="20"/>
                <w:szCs w:val="20"/>
                <w:color w:val="auto"/>
              </w:rPr>
            </w:pPr>
            <w:r>
              <w:rPr>
                <w:rFonts w:ascii="Arial" w:cs="Arial" w:eastAsia="Arial" w:hAnsi="Arial"/>
                <w:sz w:val="17"/>
                <w:szCs w:val="17"/>
                <w:color w:val="auto"/>
              </w:rPr>
              <w:t>Depreciation and amortization</w:t>
            </w:r>
          </w:p>
        </w:tc>
        <w:tc>
          <w:tcPr>
            <w:tcW w:w="1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638</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601</w:t>
            </w:r>
          </w:p>
        </w:tc>
        <w:tc>
          <w:tcPr>
            <w:tcW w:w="120" w:type="dxa"/>
            <w:vAlign w:val="bottom"/>
            <w:shd w:val="clear" w:color="auto" w:fill="CFF0FC"/>
          </w:tcPr>
          <w:p>
            <w:pPr>
              <w:spacing w:after="0"/>
              <w:rPr>
                <w:sz w:val="18"/>
                <w:szCs w:val="18"/>
                <w:color w:val="auto"/>
              </w:rPr>
            </w:pPr>
          </w:p>
        </w:tc>
      </w:tr>
      <w:tr>
        <w:trPr>
          <w:trHeight w:val="210"/>
        </w:trPr>
        <w:tc>
          <w:tcPr>
            <w:tcW w:w="6800" w:type="dxa"/>
            <w:vAlign w:val="bottom"/>
          </w:tcPr>
          <w:p>
            <w:pPr>
              <w:ind w:left="460"/>
              <w:spacing w:after="0"/>
              <w:rPr>
                <w:sz w:val="20"/>
                <w:szCs w:val="20"/>
                <w:color w:val="auto"/>
              </w:rPr>
            </w:pPr>
            <w:r>
              <w:rPr>
                <w:rFonts w:ascii="Arial" w:cs="Arial" w:eastAsia="Arial" w:hAnsi="Arial"/>
                <w:sz w:val="17"/>
                <w:szCs w:val="17"/>
                <w:color w:val="auto"/>
              </w:rPr>
              <w:t>Amortization of premium (accretion of discounts) on investments</w:t>
            </w: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141</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(127)</w:t>
            </w:r>
          </w:p>
        </w:tc>
      </w:tr>
      <w:tr>
        <w:trPr>
          <w:trHeight w:val="212"/>
        </w:trPr>
        <w:tc>
          <w:tcPr>
            <w:tcW w:w="6800" w:type="dxa"/>
            <w:vAlign w:val="bottom"/>
            <w:shd w:val="clear" w:color="auto" w:fill="CFF0FC"/>
          </w:tcPr>
          <w:p>
            <w:pPr>
              <w:ind w:left="460"/>
              <w:spacing w:after="0"/>
              <w:rPr>
                <w:sz w:val="20"/>
                <w:szCs w:val="20"/>
                <w:color w:val="auto"/>
              </w:rPr>
            </w:pPr>
            <w:r>
              <w:rPr>
                <w:rFonts w:ascii="Arial" w:cs="Arial" w:eastAsia="Arial" w:hAnsi="Arial"/>
                <w:sz w:val="17"/>
                <w:szCs w:val="17"/>
                <w:color w:val="auto"/>
              </w:rPr>
              <w:t>Stock-based compensation expense</w:t>
            </w:r>
          </w:p>
        </w:tc>
        <w:tc>
          <w:tcPr>
            <w:tcW w:w="1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3,034</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4,013</w:t>
            </w:r>
          </w:p>
        </w:tc>
        <w:tc>
          <w:tcPr>
            <w:tcW w:w="120" w:type="dxa"/>
            <w:vAlign w:val="bottom"/>
            <w:shd w:val="clear" w:color="auto" w:fill="CFF0FC"/>
          </w:tcPr>
          <w:p>
            <w:pPr>
              <w:spacing w:after="0"/>
              <w:rPr>
                <w:sz w:val="18"/>
                <w:szCs w:val="18"/>
                <w:color w:val="auto"/>
              </w:rPr>
            </w:pPr>
          </w:p>
        </w:tc>
      </w:tr>
      <w:tr>
        <w:trPr>
          <w:trHeight w:val="210"/>
        </w:trPr>
        <w:tc>
          <w:tcPr>
            <w:tcW w:w="6800" w:type="dxa"/>
            <w:vAlign w:val="bottom"/>
          </w:tcPr>
          <w:p>
            <w:pPr>
              <w:ind w:left="460"/>
              <w:spacing w:after="0"/>
              <w:rPr>
                <w:sz w:val="20"/>
                <w:szCs w:val="20"/>
                <w:color w:val="auto"/>
              </w:rPr>
            </w:pPr>
            <w:r>
              <w:rPr>
                <w:rFonts w:ascii="Arial" w:cs="Arial" w:eastAsia="Arial" w:hAnsi="Arial"/>
                <w:sz w:val="17"/>
                <w:szCs w:val="17"/>
                <w:color w:val="auto"/>
              </w:rPr>
              <w:t>Non-cash lease expense</w:t>
            </w: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759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700</w:t>
            </w:r>
          </w:p>
        </w:tc>
        <w:tc>
          <w:tcPr>
            <w:tcW w:w="120" w:type="dxa"/>
            <w:vAlign w:val="bottom"/>
          </w:tcPr>
          <w:p>
            <w:pPr>
              <w:spacing w:after="0"/>
              <w:rPr>
                <w:sz w:val="18"/>
                <w:szCs w:val="18"/>
                <w:color w:val="auto"/>
              </w:rPr>
            </w:pPr>
          </w:p>
        </w:tc>
      </w:tr>
      <w:tr>
        <w:trPr>
          <w:trHeight w:val="212"/>
        </w:trPr>
        <w:tc>
          <w:tcPr>
            <w:tcW w:w="6800" w:type="dxa"/>
            <w:vAlign w:val="bottom"/>
            <w:shd w:val="clear" w:color="auto" w:fill="CFF0FC"/>
          </w:tcPr>
          <w:p>
            <w:pPr>
              <w:ind w:left="460"/>
              <w:spacing w:after="0"/>
              <w:rPr>
                <w:sz w:val="20"/>
                <w:szCs w:val="20"/>
                <w:color w:val="auto"/>
              </w:rPr>
            </w:pPr>
            <w:r>
              <w:rPr>
                <w:rFonts w:ascii="Arial" w:cs="Arial" w:eastAsia="Arial" w:hAnsi="Arial"/>
                <w:sz w:val="17"/>
                <w:szCs w:val="17"/>
                <w:color w:val="auto"/>
              </w:rPr>
              <w:t>Changes in operating assets and liabilities</w:t>
            </w:r>
          </w:p>
        </w:tc>
        <w:tc>
          <w:tcPr>
            <w:tcW w:w="1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6800" w:type="dxa"/>
            <w:vAlign w:val="bottom"/>
          </w:tcPr>
          <w:p>
            <w:pPr>
              <w:ind w:left="680"/>
              <w:spacing w:after="0"/>
              <w:rPr>
                <w:sz w:val="20"/>
                <w:szCs w:val="20"/>
                <w:color w:val="auto"/>
              </w:rPr>
            </w:pPr>
            <w:r>
              <w:rPr>
                <w:rFonts w:ascii="Arial" w:cs="Arial" w:eastAsia="Arial" w:hAnsi="Arial"/>
                <w:sz w:val="17"/>
                <w:szCs w:val="17"/>
                <w:color w:val="auto"/>
              </w:rPr>
              <w:t>Accounts receivable</w:t>
            </w: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42</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(129,997)</w:t>
            </w:r>
          </w:p>
        </w:tc>
      </w:tr>
      <w:tr>
        <w:trPr>
          <w:trHeight w:val="212"/>
        </w:trPr>
        <w:tc>
          <w:tcPr>
            <w:tcW w:w="6800" w:type="dxa"/>
            <w:vAlign w:val="bottom"/>
            <w:shd w:val="clear" w:color="auto" w:fill="CFF0FC"/>
          </w:tcPr>
          <w:p>
            <w:pPr>
              <w:ind w:left="680"/>
              <w:spacing w:after="0"/>
              <w:rPr>
                <w:sz w:val="20"/>
                <w:szCs w:val="20"/>
                <w:color w:val="auto"/>
              </w:rPr>
            </w:pPr>
            <w:r>
              <w:rPr>
                <w:rFonts w:ascii="Arial" w:cs="Arial" w:eastAsia="Arial" w:hAnsi="Arial"/>
                <w:sz w:val="17"/>
                <w:szCs w:val="17"/>
                <w:color w:val="auto"/>
              </w:rPr>
              <w:t>Prepaid expenses and other current assets</w:t>
            </w:r>
          </w:p>
        </w:tc>
        <w:tc>
          <w:tcPr>
            <w:tcW w:w="1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1,640</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(14,957)</w:t>
            </w:r>
          </w:p>
        </w:tc>
      </w:tr>
      <w:tr>
        <w:trPr>
          <w:trHeight w:val="210"/>
        </w:trPr>
        <w:tc>
          <w:tcPr>
            <w:tcW w:w="6800" w:type="dxa"/>
            <w:vAlign w:val="bottom"/>
          </w:tcPr>
          <w:p>
            <w:pPr>
              <w:ind w:left="680"/>
              <w:spacing w:after="0"/>
              <w:rPr>
                <w:sz w:val="20"/>
                <w:szCs w:val="20"/>
                <w:color w:val="auto"/>
              </w:rPr>
            </w:pPr>
            <w:r>
              <w:rPr>
                <w:rFonts w:ascii="Arial" w:cs="Arial" w:eastAsia="Arial" w:hAnsi="Arial"/>
                <w:sz w:val="17"/>
                <w:szCs w:val="17"/>
                <w:color w:val="auto"/>
              </w:rPr>
              <w:t>Other assets</w:t>
            </w: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(74)</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636</w:t>
            </w:r>
          </w:p>
        </w:tc>
        <w:tc>
          <w:tcPr>
            <w:tcW w:w="120" w:type="dxa"/>
            <w:vAlign w:val="bottom"/>
          </w:tcPr>
          <w:p>
            <w:pPr>
              <w:spacing w:after="0"/>
              <w:rPr>
                <w:sz w:val="18"/>
                <w:szCs w:val="18"/>
                <w:color w:val="auto"/>
              </w:rPr>
            </w:pPr>
          </w:p>
        </w:tc>
      </w:tr>
      <w:tr>
        <w:trPr>
          <w:trHeight w:val="212"/>
        </w:trPr>
        <w:tc>
          <w:tcPr>
            <w:tcW w:w="6800" w:type="dxa"/>
            <w:vAlign w:val="bottom"/>
            <w:shd w:val="clear" w:color="auto" w:fill="CFF0FC"/>
          </w:tcPr>
          <w:p>
            <w:pPr>
              <w:ind w:left="680"/>
              <w:spacing w:after="0"/>
              <w:rPr>
                <w:sz w:val="20"/>
                <w:szCs w:val="20"/>
                <w:color w:val="auto"/>
              </w:rPr>
            </w:pPr>
            <w:r>
              <w:rPr>
                <w:rFonts w:ascii="Arial" w:cs="Arial" w:eastAsia="Arial" w:hAnsi="Arial"/>
                <w:sz w:val="17"/>
                <w:szCs w:val="17"/>
                <w:color w:val="auto"/>
              </w:rPr>
              <w:t>Accounts payable</w:t>
            </w:r>
          </w:p>
        </w:tc>
        <w:tc>
          <w:tcPr>
            <w:tcW w:w="1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(292)</w:t>
            </w: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w:t>
            </w:r>
          </w:p>
        </w:tc>
        <w:tc>
          <w:tcPr>
            <w:tcW w:w="120" w:type="dxa"/>
            <w:vAlign w:val="bottom"/>
            <w:shd w:val="clear" w:color="auto" w:fill="CFF0FC"/>
          </w:tcPr>
          <w:p>
            <w:pPr>
              <w:spacing w:after="0"/>
              <w:rPr>
                <w:sz w:val="18"/>
                <w:szCs w:val="18"/>
                <w:color w:val="auto"/>
              </w:rPr>
            </w:pPr>
          </w:p>
        </w:tc>
      </w:tr>
      <w:tr>
        <w:trPr>
          <w:trHeight w:val="210"/>
        </w:trPr>
        <w:tc>
          <w:tcPr>
            <w:tcW w:w="6800" w:type="dxa"/>
            <w:vAlign w:val="bottom"/>
          </w:tcPr>
          <w:p>
            <w:pPr>
              <w:ind w:left="680"/>
              <w:spacing w:after="0"/>
              <w:rPr>
                <w:sz w:val="20"/>
                <w:szCs w:val="20"/>
                <w:color w:val="auto"/>
              </w:rPr>
            </w:pPr>
            <w:r>
              <w:rPr>
                <w:rFonts w:ascii="Arial" w:cs="Arial" w:eastAsia="Arial" w:hAnsi="Arial"/>
                <w:sz w:val="17"/>
                <w:szCs w:val="17"/>
                <w:color w:val="auto"/>
              </w:rPr>
              <w:t>Accrued and other long-term liabilities</w:t>
            </w: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(5,096)</w:t>
            </w:r>
          </w:p>
        </w:tc>
        <w:tc>
          <w:tcPr>
            <w:tcW w:w="5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(3,315)</w:t>
            </w:r>
          </w:p>
        </w:tc>
      </w:tr>
      <w:tr>
        <w:trPr>
          <w:trHeight w:val="212"/>
        </w:trPr>
        <w:tc>
          <w:tcPr>
            <w:tcW w:w="6800" w:type="dxa"/>
            <w:vAlign w:val="bottom"/>
            <w:shd w:val="clear" w:color="auto" w:fill="CFF0FC"/>
          </w:tcPr>
          <w:p>
            <w:pPr>
              <w:ind w:left="680"/>
              <w:spacing w:after="0"/>
              <w:rPr>
                <w:sz w:val="20"/>
                <w:szCs w:val="20"/>
                <w:color w:val="auto"/>
              </w:rPr>
            </w:pPr>
            <w:r>
              <w:rPr>
                <w:rFonts w:ascii="Arial" w:cs="Arial" w:eastAsia="Arial" w:hAnsi="Arial"/>
                <w:sz w:val="17"/>
                <w:szCs w:val="17"/>
                <w:color w:val="auto"/>
              </w:rPr>
              <w:t>Deferred revenue</w:t>
            </w:r>
          </w:p>
        </w:tc>
        <w:tc>
          <w:tcPr>
            <w:tcW w:w="1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w w:val="94"/>
              </w:rPr>
              <w:t>(15,214)</w:t>
            </w: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80,416</w:t>
            </w:r>
          </w:p>
        </w:tc>
        <w:tc>
          <w:tcPr>
            <w:tcW w:w="120" w:type="dxa"/>
            <w:vAlign w:val="bottom"/>
            <w:shd w:val="clear" w:color="auto" w:fill="CFF0FC"/>
          </w:tcPr>
          <w:p>
            <w:pPr>
              <w:spacing w:after="0"/>
              <w:rPr>
                <w:sz w:val="18"/>
                <w:szCs w:val="18"/>
                <w:color w:val="auto"/>
              </w:rPr>
            </w:pPr>
          </w:p>
        </w:tc>
      </w:tr>
      <w:tr>
        <w:trPr>
          <w:trHeight w:val="203"/>
        </w:trPr>
        <w:tc>
          <w:tcPr>
            <w:tcW w:w="6800" w:type="dxa"/>
            <w:vAlign w:val="bottom"/>
            <w:tcBorders>
              <w:bottom w:val="single" w:sz="8" w:color="CFF0FC"/>
            </w:tcBorders>
          </w:tcPr>
          <w:p>
            <w:pPr>
              <w:ind w:left="680"/>
              <w:spacing w:after="0"/>
              <w:rPr>
                <w:sz w:val="20"/>
                <w:szCs w:val="20"/>
                <w:color w:val="auto"/>
              </w:rPr>
            </w:pPr>
            <w:r>
              <w:rPr>
                <w:rFonts w:ascii="Arial" w:cs="Arial" w:eastAsia="Arial" w:hAnsi="Arial"/>
                <w:sz w:val="17"/>
                <w:szCs w:val="17"/>
                <w:color w:val="auto"/>
              </w:rPr>
              <w:t>Net cash used in operating activities</w:t>
            </w:r>
          </w:p>
        </w:tc>
        <w:tc>
          <w:tcPr>
            <w:tcW w:w="1140" w:type="dxa"/>
            <w:vAlign w:val="bottom"/>
            <w:tcBorders>
              <w:bottom w:val="single" w:sz="8" w:color="CFF0FC"/>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5"/>
              </w:rPr>
              <w:t>(29,940)</w:t>
            </w:r>
          </w:p>
        </w:tc>
        <w:tc>
          <w:tcPr>
            <w:tcW w:w="280" w:type="dxa"/>
            <w:vAlign w:val="bottom"/>
            <w:tcBorders>
              <w:bottom w:val="single" w:sz="8" w:color="CFF0FC"/>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(49,737)</w:t>
            </w:r>
          </w:p>
        </w:tc>
        <w:tc>
          <w:tcPr>
            <w:tcW w:w="120" w:type="dxa"/>
            <w:vAlign w:val="bottom"/>
            <w:tcBorders>
              <w:bottom w:val="single" w:sz="8" w:color="CFF0FC"/>
            </w:tcBorders>
          </w:tcPr>
          <w:p>
            <w:pPr>
              <w:spacing w:after="0"/>
              <w:rPr>
                <w:sz w:val="17"/>
                <w:szCs w:val="17"/>
                <w:color w:val="auto"/>
              </w:rPr>
            </w:pPr>
          </w:p>
        </w:tc>
      </w:tr>
      <w:tr>
        <w:trPr>
          <w:trHeight w:val="204"/>
        </w:trPr>
        <w:tc>
          <w:tcPr>
            <w:tcW w:w="68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0"/>
        </w:trPr>
        <w:tc>
          <w:tcPr>
            <w:tcW w:w="6800" w:type="dxa"/>
            <w:vAlign w:val="bottom"/>
          </w:tcPr>
          <w:p>
            <w:pPr>
              <w:ind w:left="220"/>
              <w:spacing w:after="0"/>
              <w:rPr>
                <w:sz w:val="20"/>
                <w:szCs w:val="20"/>
                <w:color w:val="auto"/>
              </w:rPr>
            </w:pPr>
            <w:r>
              <w:rPr>
                <w:rFonts w:ascii="Arial" w:cs="Arial" w:eastAsia="Arial" w:hAnsi="Arial"/>
                <w:sz w:val="17"/>
                <w:szCs w:val="17"/>
                <w:color w:val="auto"/>
              </w:rPr>
              <w:t>Purchases of property and equipment</w:t>
            </w: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(982)</w:t>
            </w:r>
          </w:p>
        </w:tc>
        <w:tc>
          <w:tcPr>
            <w:tcW w:w="5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(1,049)</w:t>
            </w:r>
          </w:p>
        </w:tc>
      </w:tr>
      <w:tr>
        <w:trPr>
          <w:trHeight w:val="212"/>
        </w:trPr>
        <w:tc>
          <w:tcPr>
            <w:tcW w:w="68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Purchases of short-term investments</w:t>
            </w:r>
          </w:p>
        </w:tc>
        <w:tc>
          <w:tcPr>
            <w:tcW w:w="1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(44,707)</w:t>
            </w:r>
          </w:p>
        </w:tc>
      </w:tr>
      <w:tr>
        <w:trPr>
          <w:trHeight w:val="210"/>
        </w:trPr>
        <w:tc>
          <w:tcPr>
            <w:tcW w:w="680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Maturities of short-term investments</w:t>
            </w:r>
          </w:p>
        </w:tc>
        <w:tc>
          <w:tcPr>
            <w:tcW w:w="114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59,994</w:t>
            </w:r>
          </w:p>
        </w:tc>
        <w:tc>
          <w:tcPr>
            <w:tcW w:w="28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48,197</w:t>
            </w:r>
          </w:p>
        </w:tc>
        <w:tc>
          <w:tcPr>
            <w:tcW w:w="120" w:type="dxa"/>
            <w:vAlign w:val="bottom"/>
            <w:tcBorders>
              <w:bottom w:val="single" w:sz="8" w:color="CFF0FC"/>
            </w:tcBorders>
          </w:tcPr>
          <w:p>
            <w:pPr>
              <w:spacing w:after="0"/>
              <w:rPr>
                <w:sz w:val="18"/>
                <w:szCs w:val="18"/>
                <w:color w:val="auto"/>
              </w:rPr>
            </w:pPr>
          </w:p>
        </w:tc>
      </w:tr>
      <w:tr>
        <w:trPr>
          <w:trHeight w:val="204"/>
        </w:trPr>
        <w:tc>
          <w:tcPr>
            <w:tcW w:w="6800" w:type="dxa"/>
            <w:vAlign w:val="bottom"/>
            <w:shd w:val="clear" w:color="auto" w:fill="CFF0FC"/>
          </w:tcPr>
          <w:p>
            <w:pPr>
              <w:ind w:left="680"/>
              <w:spacing w:after="0"/>
              <w:rPr>
                <w:sz w:val="20"/>
                <w:szCs w:val="20"/>
                <w:color w:val="auto"/>
              </w:rPr>
            </w:pPr>
            <w:r>
              <w:rPr>
                <w:rFonts w:ascii="Arial" w:cs="Arial" w:eastAsia="Arial" w:hAnsi="Arial"/>
                <w:sz w:val="17"/>
                <w:szCs w:val="17"/>
                <w:color w:val="auto"/>
              </w:rPr>
              <w:t>Net cash provided by investing activities</w:t>
            </w:r>
          </w:p>
        </w:tc>
        <w:tc>
          <w:tcPr>
            <w:tcW w:w="1140" w:type="dxa"/>
            <w:vAlign w:val="bottom"/>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59,012</w:t>
            </w:r>
          </w:p>
        </w:tc>
        <w:tc>
          <w:tcPr>
            <w:tcW w:w="280" w:type="dxa"/>
            <w:vAlign w:val="bottom"/>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2,441</w:t>
            </w:r>
          </w:p>
        </w:tc>
        <w:tc>
          <w:tcPr>
            <w:tcW w:w="120" w:type="dxa"/>
            <w:vAlign w:val="bottom"/>
            <w:shd w:val="clear" w:color="auto" w:fill="CFF0FC"/>
          </w:tcPr>
          <w:p>
            <w:pPr>
              <w:spacing w:after="0"/>
              <w:rPr>
                <w:sz w:val="17"/>
                <w:szCs w:val="17"/>
                <w:color w:val="auto"/>
              </w:rPr>
            </w:pPr>
          </w:p>
        </w:tc>
      </w:tr>
      <w:tr>
        <w:trPr>
          <w:trHeight w:val="203"/>
        </w:trPr>
        <w:tc>
          <w:tcPr>
            <w:tcW w:w="680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2"/>
        </w:trPr>
        <w:tc>
          <w:tcPr>
            <w:tcW w:w="68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Proceeds from issuance of common stock, net of issuance costs</w:t>
            </w:r>
          </w:p>
        </w:tc>
        <w:tc>
          <w:tcPr>
            <w:tcW w:w="1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7"/>
              </w:rPr>
              <w:t>107,712</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r>
      <w:tr>
        <w:trPr>
          <w:trHeight w:val="210"/>
        </w:trPr>
        <w:tc>
          <w:tcPr>
            <w:tcW w:w="680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Proceeds from exercise of stock options</w:t>
            </w:r>
          </w:p>
        </w:tc>
        <w:tc>
          <w:tcPr>
            <w:tcW w:w="114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1,023</w:t>
            </w:r>
          </w:p>
        </w:tc>
        <w:tc>
          <w:tcPr>
            <w:tcW w:w="28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2,157</w:t>
            </w:r>
          </w:p>
        </w:tc>
        <w:tc>
          <w:tcPr>
            <w:tcW w:w="120" w:type="dxa"/>
            <w:vAlign w:val="bottom"/>
            <w:tcBorders>
              <w:bottom w:val="single" w:sz="8" w:color="CFF0FC"/>
            </w:tcBorders>
          </w:tcPr>
          <w:p>
            <w:pPr>
              <w:spacing w:after="0"/>
              <w:rPr>
                <w:sz w:val="18"/>
                <w:szCs w:val="18"/>
                <w:color w:val="auto"/>
              </w:rPr>
            </w:pPr>
          </w:p>
        </w:tc>
      </w:tr>
      <w:tr>
        <w:trPr>
          <w:trHeight w:val="204"/>
        </w:trPr>
        <w:tc>
          <w:tcPr>
            <w:tcW w:w="6800" w:type="dxa"/>
            <w:vAlign w:val="bottom"/>
            <w:shd w:val="clear" w:color="auto" w:fill="CFF0FC"/>
          </w:tcPr>
          <w:p>
            <w:pPr>
              <w:ind w:left="680"/>
              <w:spacing w:after="0"/>
              <w:rPr>
                <w:sz w:val="20"/>
                <w:szCs w:val="20"/>
                <w:color w:val="auto"/>
              </w:rPr>
            </w:pPr>
            <w:r>
              <w:rPr>
                <w:rFonts w:ascii="Arial" w:cs="Arial" w:eastAsia="Arial" w:hAnsi="Arial"/>
                <w:sz w:val="17"/>
                <w:szCs w:val="17"/>
                <w:color w:val="auto"/>
              </w:rPr>
              <w:t>Net cash provided by financing activities</w:t>
            </w:r>
          </w:p>
        </w:tc>
        <w:tc>
          <w:tcPr>
            <w:tcW w:w="1140" w:type="dxa"/>
            <w:vAlign w:val="bottom"/>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7"/>
              </w:rPr>
              <w:t>108,735</w:t>
            </w:r>
          </w:p>
        </w:tc>
        <w:tc>
          <w:tcPr>
            <w:tcW w:w="280" w:type="dxa"/>
            <w:vAlign w:val="bottom"/>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2,157</w:t>
            </w:r>
          </w:p>
        </w:tc>
        <w:tc>
          <w:tcPr>
            <w:tcW w:w="120" w:type="dxa"/>
            <w:vAlign w:val="bottom"/>
            <w:shd w:val="clear" w:color="auto" w:fill="CFF0FC"/>
          </w:tcPr>
          <w:p>
            <w:pPr>
              <w:spacing w:after="0"/>
              <w:rPr>
                <w:sz w:val="17"/>
                <w:szCs w:val="17"/>
                <w:color w:val="auto"/>
              </w:rPr>
            </w:pPr>
          </w:p>
        </w:tc>
      </w:tr>
      <w:tr>
        <w:trPr>
          <w:trHeight w:val="203"/>
        </w:trPr>
        <w:tc>
          <w:tcPr>
            <w:tcW w:w="6800" w:type="dxa"/>
            <w:vAlign w:val="bottom"/>
          </w:tcPr>
          <w:p>
            <w:pPr>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137,807</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(45,139)</w:t>
            </w:r>
          </w:p>
        </w:tc>
        <w:tc>
          <w:tcPr>
            <w:tcW w:w="120" w:type="dxa"/>
            <w:vAlign w:val="bottom"/>
          </w:tcPr>
          <w:p>
            <w:pPr>
              <w:spacing w:after="0"/>
              <w:rPr>
                <w:sz w:val="17"/>
                <w:szCs w:val="17"/>
                <w:color w:val="auto"/>
              </w:rPr>
            </w:pPr>
          </w:p>
        </w:tc>
      </w:tr>
      <w:tr>
        <w:trPr>
          <w:trHeight w:val="212"/>
        </w:trPr>
        <w:tc>
          <w:tcPr>
            <w:tcW w:w="6800" w:type="dxa"/>
            <w:vAlign w:val="bottom"/>
            <w:shd w:val="clear" w:color="auto" w:fill="CFF0FC"/>
          </w:tcPr>
          <w:p>
            <w:pPr>
              <w:spacing w:after="0"/>
              <w:rPr>
                <w:sz w:val="20"/>
                <w:szCs w:val="20"/>
                <w:color w:val="auto"/>
              </w:rPr>
            </w:pPr>
            <w:r>
              <w:rPr>
                <w:rFonts w:ascii="Arial" w:cs="Arial" w:eastAsia="Arial" w:hAnsi="Arial"/>
                <w:sz w:val="17"/>
                <w:szCs w:val="17"/>
                <w:color w:val="auto"/>
              </w:rPr>
              <w:t>Cash, cash equivalents and restricted cash, beginning of period</w:t>
            </w:r>
          </w:p>
        </w:tc>
        <w:tc>
          <w:tcPr>
            <w:tcW w:w="114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7"/>
              </w:rPr>
              <w:t>192,776</w:t>
            </w:r>
          </w:p>
        </w:tc>
        <w:tc>
          <w:tcPr>
            <w:tcW w:w="280" w:type="dxa"/>
            <w:vAlign w:val="bottom"/>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189,342</w:t>
            </w:r>
          </w:p>
        </w:tc>
        <w:tc>
          <w:tcPr>
            <w:tcW w:w="120" w:type="dxa"/>
            <w:vAlign w:val="bottom"/>
            <w:shd w:val="clear" w:color="auto" w:fill="CFF0FC"/>
          </w:tcPr>
          <w:p>
            <w:pPr>
              <w:spacing w:after="0"/>
              <w:rPr>
                <w:sz w:val="18"/>
                <w:szCs w:val="18"/>
                <w:color w:val="auto"/>
              </w:rPr>
            </w:pPr>
          </w:p>
        </w:tc>
      </w:tr>
      <w:tr>
        <w:trPr>
          <w:trHeight w:val="243"/>
        </w:trPr>
        <w:tc>
          <w:tcPr>
            <w:tcW w:w="68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cash equivalents and restricted cash, end of period</w:t>
            </w:r>
          </w:p>
        </w:tc>
        <w:tc>
          <w:tcPr>
            <w:tcW w:w="1140" w:type="dxa"/>
            <w:vAlign w:val="bottom"/>
            <w:tcBorders>
              <w:bottom w:val="single" w:sz="8" w:color="CFF0FC"/>
            </w:tcBorders>
          </w:tcPr>
          <w:p>
            <w:pPr>
              <w:spacing w:after="0"/>
              <w:rPr>
                <w:sz w:val="21"/>
                <w:szCs w:val="21"/>
                <w:color w:val="auto"/>
              </w:rPr>
            </w:pPr>
          </w:p>
        </w:tc>
        <w:tc>
          <w:tcPr>
            <w:tcW w:w="88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330,583</w:t>
            </w:r>
          </w:p>
        </w:tc>
        <w:tc>
          <w:tcPr>
            <w:tcW w:w="280" w:type="dxa"/>
            <w:vAlign w:val="bottom"/>
            <w:tcBorders>
              <w:bottom w:val="single" w:sz="8" w:color="CFF0FC"/>
            </w:tcBorders>
          </w:tcPr>
          <w:p>
            <w:pPr>
              <w:spacing w:after="0"/>
              <w:rPr>
                <w:sz w:val="21"/>
                <w:szCs w:val="21"/>
                <w:color w:val="auto"/>
              </w:rPr>
            </w:pPr>
          </w:p>
        </w:tc>
        <w:tc>
          <w:tcPr>
            <w:tcW w:w="5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144,203</w:t>
            </w:r>
          </w:p>
        </w:tc>
        <w:tc>
          <w:tcPr>
            <w:tcW w:w="120" w:type="dxa"/>
            <w:vAlign w:val="bottom"/>
            <w:tcBorders>
              <w:bottom w:val="single" w:sz="8" w:color="CFF0FC"/>
            </w:tcBorders>
          </w:tcPr>
          <w:p>
            <w:pPr>
              <w:spacing w:after="0"/>
              <w:rPr>
                <w:sz w:val="21"/>
                <w:szCs w:val="21"/>
                <w:color w:val="auto"/>
              </w:rPr>
            </w:pPr>
          </w:p>
        </w:tc>
      </w:tr>
      <w:tr>
        <w:trPr>
          <w:trHeight w:val="189"/>
        </w:trPr>
        <w:tc>
          <w:tcPr>
            <w:tcW w:w="68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bl>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financial statements.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CytomX Therapeutics,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(Unaudited)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the Business</w:t>
      </w:r>
    </w:p>
    <w:p>
      <w:pPr>
        <w:spacing w:after="0" w:line="107"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CytomX Therapeutics, Inc. (the “Company”) is a clinical-stage, oncology-focused biopharmaceutical company with a vision of transforming lives with safer, more effective therapies. The Company aims to build a commercial-stage enterprise to maximize its impact on the treatment of cancer. The Company is advancing potential first-in-class and best-in-class antibody-based therapeutics created using its Probody® therapeutic technology platform that could meaningfully improve outcomes for cancer patients. Its proprietary and unique Probody technology platform is designed to enable “conditional activation” of antibody-based drugs within the tumor while minimizing drug activity in healthy tissues and in circulation. The Company is located in South San Francisco, California and was incorporated in the state of Delaware in September 2010.</w:t>
      </w: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Basis of Presentation and Summary of Significant Accounting Policies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03" w:lineRule="exact"/>
        <w:rPr>
          <w:sz w:val="20"/>
          <w:szCs w:val="20"/>
          <w:color w:val="auto"/>
        </w:rPr>
      </w:pPr>
    </w:p>
    <w:p>
      <w:pPr>
        <w:ind w:right="480"/>
        <w:spacing w:after="0" w:line="368" w:lineRule="auto"/>
        <w:rPr>
          <w:sz w:val="20"/>
          <w:szCs w:val="20"/>
          <w:color w:val="auto"/>
        </w:rPr>
      </w:pPr>
      <w:r>
        <w:rPr>
          <w:rFonts w:ascii="Arial" w:cs="Arial" w:eastAsia="Arial" w:hAnsi="Arial"/>
          <w:sz w:val="14"/>
          <w:szCs w:val="14"/>
          <w:color w:val="auto"/>
        </w:rPr>
        <w:t>The accompanying interim condensed financial statements have been prepared in conformity with accounting principles generally accepted in the United States of America (“U.S. GAAP”) and applicable rules and regulations of the U.S. Securities and Exchange Commission (“SEC”) regarding interim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Interim Financial Information</w:t>
      </w:r>
    </w:p>
    <w:p>
      <w:pPr>
        <w:spacing w:after="0" w:line="103"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The accompanying interim condensed financial statements and related disclosures are unaudited, have been prepared on the same basis as the annual financial statements and, in the opinion of management, reflect all adjustments, which include only normal recurring adjustments, necessary for a fair statement of the results of operations for the periods presented.</w:t>
      </w:r>
    </w:p>
    <w:p>
      <w:pPr>
        <w:spacing w:after="0" w:line="216" w:lineRule="exact"/>
        <w:rPr>
          <w:sz w:val="20"/>
          <w:szCs w:val="20"/>
          <w:color w:val="auto"/>
        </w:rPr>
      </w:pPr>
    </w:p>
    <w:p>
      <w:pPr>
        <w:ind w:right="40"/>
        <w:spacing w:after="0" w:line="320" w:lineRule="auto"/>
        <w:rPr>
          <w:sz w:val="20"/>
          <w:szCs w:val="20"/>
          <w:color w:val="auto"/>
        </w:rPr>
      </w:pPr>
      <w:r>
        <w:rPr>
          <w:rFonts w:ascii="Arial" w:cs="Arial" w:eastAsia="Arial" w:hAnsi="Arial"/>
          <w:sz w:val="14"/>
          <w:szCs w:val="14"/>
          <w:color w:val="auto"/>
        </w:rPr>
        <w:t>The condensed balance sheet data, as of December 31, 2020, was derived from audited financial statements, but does not include all disclosures required by U.S. GAAP. The condensed results of operations for the three months ended March 31, 2021 are not necessarily indicative of the results to be expected for the full year or for any other future year or interim period. The accompanying condensed financial statements should be read in conjunction with the audited financial statements and the related notes thereto included in the Company’s Annual Report on Form 10-K for the year ended December 31, 2020 filed with the SEC.</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03"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The preparation of the financial statements in conformity with U.S. GAAP requires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considers all highly liquid investments purchased with original maturities of three months or less at the date of purchase to be cash equivalents.</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Restricted cash represents a standby letter of credit issued pursuant to an office lease entered in December 2015.</w:t>
      </w:r>
    </w:p>
    <w:p>
      <w:pPr>
        <w:spacing w:after="0" w:line="202" w:lineRule="exact"/>
        <w:rPr>
          <w:sz w:val="20"/>
          <w:szCs w:val="20"/>
          <w:color w:val="auto"/>
        </w:rPr>
      </w:pPr>
    </w:p>
    <w:p>
      <w:pPr>
        <w:ind w:right="440"/>
        <w:spacing w:after="0" w:line="261" w:lineRule="auto"/>
        <w:rPr>
          <w:sz w:val="20"/>
          <w:szCs w:val="20"/>
          <w:color w:val="auto"/>
        </w:rPr>
      </w:pPr>
      <w:r>
        <w:rPr>
          <w:rFonts w:ascii="Arial" w:cs="Arial" w:eastAsia="Arial" w:hAnsi="Arial"/>
          <w:sz w:val="17"/>
          <w:szCs w:val="17"/>
          <w:color w:val="auto"/>
        </w:rPr>
        <w:t>The following table provides a reconciliation of cash, cash equivalents, and restricted cash reported within the condensed balance sheets that sum to the total of the amounts shown in the condensed statements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b w:val="1"/>
                <w:bCs w:val="1"/>
                <w:color w:val="auto"/>
              </w:rPr>
              <w:t>March 31,</w:t>
            </w: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9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20" w:type="dxa"/>
            <w:vAlign w:val="bottom"/>
            <w:gridSpan w:val="3"/>
          </w:tcPr>
          <w:p>
            <w:pPr>
              <w:ind w:left="40"/>
              <w:spacing w:after="0"/>
              <w:rPr>
                <w:sz w:val="20"/>
                <w:szCs w:val="20"/>
                <w:color w:val="auto"/>
              </w:rPr>
            </w:pPr>
            <w:r>
              <w:rPr>
                <w:rFonts w:ascii="Arial" w:cs="Arial" w:eastAsia="Arial" w:hAnsi="Arial"/>
                <w:sz w:val="13"/>
                <w:szCs w:val="13"/>
                <w:b w:val="1"/>
                <w:bCs w:val="1"/>
                <w:color w:val="auto"/>
              </w:rPr>
              <w:t>March 31, 2021</w:t>
            </w:r>
          </w:p>
        </w:tc>
        <w:tc>
          <w:tcPr>
            <w:tcW w:w="1100" w:type="dxa"/>
            <w:vAlign w:val="bottom"/>
            <w:gridSpan w:val="2"/>
          </w:tcPr>
          <w:p>
            <w:pPr>
              <w:ind w:left="20"/>
              <w:spacing w:after="0"/>
              <w:rPr>
                <w:sz w:val="20"/>
                <w:szCs w:val="20"/>
                <w:color w:val="auto"/>
              </w:rPr>
            </w:pPr>
            <w:r>
              <w:rPr>
                <w:rFonts w:ascii="Arial" w:cs="Arial" w:eastAsia="Arial" w:hAnsi="Arial"/>
                <w:sz w:val="13"/>
                <w:szCs w:val="13"/>
                <w:b w:val="1"/>
                <w:bCs w:val="1"/>
                <w:color w:val="auto"/>
                <w:w w:val="90"/>
              </w:rPr>
              <w:t>December 31, 2020</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224"/>
              <w:spacing w:after="0"/>
              <w:rPr>
                <w:sz w:val="20"/>
                <w:szCs w:val="20"/>
                <w:color w:val="auto"/>
              </w:rPr>
            </w:pPr>
            <w:r>
              <w:rPr>
                <w:rFonts w:ascii="Arial" w:cs="Arial" w:eastAsia="Arial" w:hAnsi="Arial"/>
                <w:sz w:val="13"/>
                <w:szCs w:val="13"/>
                <w:b w:val="1"/>
                <w:bCs w:val="1"/>
                <w:color w:val="auto"/>
              </w:rPr>
              <w:t>2020</w:t>
            </w:r>
          </w:p>
        </w:tc>
        <w:tc>
          <w:tcPr>
            <w:tcW w:w="320" w:type="dxa"/>
            <w:vAlign w:val="bottom"/>
          </w:tcPr>
          <w:p>
            <w:pPr>
              <w:spacing w:after="0"/>
              <w:rPr>
                <w:sz w:val="13"/>
                <w:szCs w:val="13"/>
                <w:color w:val="auto"/>
              </w:rPr>
            </w:pPr>
          </w:p>
        </w:tc>
        <w:tc>
          <w:tcPr>
            <w:tcW w:w="1260" w:type="dxa"/>
            <w:vAlign w:val="bottom"/>
            <w:gridSpan w:val="3"/>
          </w:tcPr>
          <w:p>
            <w:pPr>
              <w:ind w:left="40"/>
              <w:spacing w:after="0"/>
              <w:rPr>
                <w:sz w:val="20"/>
                <w:szCs w:val="20"/>
                <w:color w:val="auto"/>
              </w:rPr>
            </w:pPr>
            <w:r>
              <w:rPr>
                <w:rFonts w:ascii="Arial" w:cs="Arial" w:eastAsia="Arial" w:hAnsi="Arial"/>
                <w:sz w:val="13"/>
                <w:szCs w:val="13"/>
                <w:b w:val="1"/>
                <w:bCs w:val="1"/>
                <w:color w:val="auto"/>
              </w:rPr>
              <w:t>December 31, 2019</w:t>
            </w:r>
          </w:p>
        </w:tc>
        <w:tc>
          <w:tcPr>
            <w:tcW w:w="0" w:type="dxa"/>
            <w:vAlign w:val="bottom"/>
          </w:tcPr>
          <w:p>
            <w:pPr>
              <w:spacing w:after="0"/>
              <w:rPr>
                <w:sz w:val="1"/>
                <w:szCs w:val="1"/>
                <w:color w:val="auto"/>
              </w:rPr>
            </w:pPr>
          </w:p>
        </w:tc>
      </w:tr>
      <w:tr>
        <w:trPr>
          <w:trHeight w:val="141"/>
        </w:trPr>
        <w:tc>
          <w:tcPr>
            <w:tcW w:w="39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5"/>
          </w:tcPr>
          <w:p>
            <w:pPr>
              <w:ind w:left="560"/>
              <w:spacing w:after="0" w:line="142" w:lineRule="exact"/>
              <w:rPr>
                <w:sz w:val="20"/>
                <w:szCs w:val="20"/>
                <w:color w:val="auto"/>
              </w:rPr>
            </w:pPr>
            <w:r>
              <w:rPr>
                <w:rFonts w:ascii="Arial" w:cs="Arial" w:eastAsia="Arial" w:hAnsi="Arial"/>
                <w:sz w:val="13"/>
                <w:szCs w:val="13"/>
                <w:b w:val="1"/>
                <w:bCs w:val="1"/>
                <w:color w:val="auto"/>
              </w:rPr>
              <w:t>(in thousands)</w:t>
            </w: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396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2420" w:type="dxa"/>
            <w:vAlign w:val="bottom"/>
            <w:gridSpan w:val="2"/>
            <w:shd w:val="clear" w:color="auto" w:fill="CFF0FC"/>
          </w:tcPr>
          <w:p>
            <w:pPr>
              <w:jc w:val="right"/>
              <w:ind w:right="91"/>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329,666</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191,859</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143,286</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9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188,425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Restricted cash - non-current assets</w:t>
            </w:r>
          </w:p>
        </w:tc>
        <w:tc>
          <w:tcPr>
            <w:tcW w:w="21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917</w:t>
            </w: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917</w:t>
            </w:r>
          </w:p>
        </w:tc>
        <w:tc>
          <w:tcPr>
            <w:tcW w:w="3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917</w:t>
            </w:r>
          </w:p>
        </w:tc>
        <w:tc>
          <w:tcPr>
            <w:tcW w:w="3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6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7"/>
                <w:szCs w:val="17"/>
                <w:color w:val="auto"/>
              </w:rPr>
              <w:t>Total</w:t>
            </w:r>
          </w:p>
        </w:tc>
        <w:tc>
          <w:tcPr>
            <w:tcW w:w="2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330,583</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192,776</w:t>
            </w:r>
          </w:p>
        </w:tc>
        <w:tc>
          <w:tcPr>
            <w:tcW w:w="3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144,203</w:t>
            </w:r>
          </w:p>
        </w:tc>
        <w:tc>
          <w:tcPr>
            <w:tcW w:w="3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189,342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180" w:type="dxa"/>
            <w:vAlign w:val="bottom"/>
            <w:vMerge w:val="restart"/>
          </w:tcPr>
          <w:p>
            <w:pPr>
              <w:jc w:val="right"/>
              <w:ind w:right="397"/>
              <w:spacing w:after="0"/>
              <w:rPr>
                <w:sz w:val="20"/>
                <w:szCs w:val="20"/>
                <w:color w:val="auto"/>
              </w:rPr>
            </w:pPr>
            <w:r>
              <w:rPr>
                <w:rFonts w:ascii="Arial" w:cs="Arial" w:eastAsia="Arial" w:hAnsi="Arial"/>
                <w:sz w:val="17"/>
                <w:szCs w:val="17"/>
                <w:color w:val="auto"/>
              </w:rPr>
              <w:t>9</w:t>
            </w: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396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396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i w:val="1"/>
          <w:iCs w:val="1"/>
          <w:color w:val="auto"/>
        </w:rPr>
        <w:t>Short-term Investments</w:t>
      </w:r>
    </w:p>
    <w:p>
      <w:pPr>
        <w:spacing w:after="0" w:line="103" w:lineRule="exact"/>
        <w:rPr>
          <w:sz w:val="20"/>
          <w:szCs w:val="20"/>
          <w:color w:val="auto"/>
        </w:rPr>
      </w:pPr>
    </w:p>
    <w:p>
      <w:pPr>
        <w:spacing w:after="0" w:line="320" w:lineRule="auto"/>
        <w:rPr>
          <w:sz w:val="20"/>
          <w:szCs w:val="20"/>
          <w:color w:val="auto"/>
        </w:rPr>
      </w:pPr>
      <w:r>
        <w:rPr>
          <w:rFonts w:ascii="Arial" w:cs="Arial" w:eastAsia="Arial" w:hAnsi="Arial"/>
          <w:sz w:val="14"/>
          <w:szCs w:val="14"/>
          <w:color w:val="auto"/>
        </w:rPr>
        <w:t>All investments have been classified as available-for-sale (“AFS”) and are carried at fair value as determined based upon quoted market prices or pricing models for similar securities at period end. Generally, those investments with contractual maturities less than 12 months are considered short-term investments. The amortized cost of securities is adjusted for amortization of premiums and accretion of discounts to maturity. Dividend and interest income are recognized when earned. Realized gains and losses are included in earnings and are derived using the specific identification method for determining the cost of securities sold.</w:t>
      </w:r>
    </w:p>
    <w:p>
      <w:pPr>
        <w:spacing w:after="0" w:line="13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Company assesses impairment of its AFS debt securities investments at each reporting period. Unrealized gains resulting from the excess of the fair value over the amortized cost basis of an investment are reported as a component of accumulated other comprehensive income (loss), net of tax. Unrealized losses or impairments resulting from the fair value of the AFS debt security being below the amortized cost basis are evaluated, using the discounted cash flow model, for identification of credit losses and non-credit related losses. Any credit losses are charged to earnings against the allowance for credit losses of the security, limited to the difference between the fair value and the amortized cost basis of the security. Any difference between the fair value of the security and the amortized cost basis, less the allowance for credit losses, are reported in other comprehensive income (loss). Expected cash inflows due to improvements in credit are recognized through a reversal of the allowance for credit losses subject to the total allowance previously recognized.</w:t>
      </w:r>
    </w:p>
    <w:p>
      <w:pPr>
        <w:spacing w:after="0" w:line="173"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In the event of impairment of any security, if management (i) has the intent to sell such security or (ii) will more-likely-than-not be required to sell such security before recovery of its amortized cost basis, such AFS debt security’s amortized cost basis will be written down to its fair value through earnings along with any existing allowance for credit losses.</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Income (Loss)</w:t>
      </w:r>
    </w:p>
    <w:p>
      <w:pPr>
        <w:spacing w:after="0" w:line="10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Comprehensive income (loss) represents all changes in stockholders’ equity except those resulting from distributions to stockholders. The Company’s non-credit related unrealized gains and losses on short-term investments during the period represents the component of other comprehensive income (loss) that is excluded from the reported net loss.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5" w:lineRule="exact"/>
        <w:rPr>
          <w:sz w:val="20"/>
          <w:szCs w:val="20"/>
          <w:color w:val="auto"/>
        </w:rPr>
      </w:pPr>
    </w:p>
    <w:p>
      <w:pPr>
        <w:spacing w:after="0" w:line="314" w:lineRule="auto"/>
        <w:rPr>
          <w:sz w:val="20"/>
          <w:szCs w:val="20"/>
          <w:color w:val="auto"/>
        </w:rPr>
      </w:pPr>
      <w:r>
        <w:rPr>
          <w:rFonts w:ascii="Arial" w:cs="Arial" w:eastAsia="Arial" w:hAnsi="Arial"/>
          <w:sz w:val="14"/>
          <w:szCs w:val="14"/>
          <w:color w:val="auto"/>
        </w:rPr>
        <w:t>The Company’s revenues are primarily derived through its license, research, development and commercialization agreements. The terms of these types of agreements may include (i) licenses for the Company’s technology or programs, (ii) research and development services, and (iii) services or obligations in connection with participation in research or steering committees. Payments to the Company under these arrangements typically include one or more of the following: nonrefundable upfront and license fees, research funding, milestone and other contingent payments to the Company for the achievement of defined collaboration objectives and certain preclinical, clinical, regulatory and sales-based events, as well as royalties on sales of any commercialized products.</w:t>
      </w:r>
    </w:p>
    <w:p>
      <w:pPr>
        <w:spacing w:after="0" w:line="176" w:lineRule="exact"/>
        <w:rPr>
          <w:sz w:val="20"/>
          <w:szCs w:val="20"/>
          <w:color w:val="auto"/>
        </w:rPr>
      </w:pPr>
    </w:p>
    <w:p>
      <w:pPr>
        <w:ind w:right="420"/>
        <w:spacing w:after="0" w:line="252" w:lineRule="auto"/>
        <w:rPr>
          <w:sz w:val="20"/>
          <w:szCs w:val="20"/>
          <w:color w:val="auto"/>
        </w:rPr>
      </w:pPr>
      <w:r>
        <w:rPr>
          <w:rFonts w:ascii="Arial" w:cs="Arial" w:eastAsia="Arial" w:hAnsi="Arial"/>
          <w:sz w:val="17"/>
          <w:szCs w:val="17"/>
          <w:color w:val="auto"/>
        </w:rPr>
        <w:t>The Company assesses whether the promises in its arrangements with customers are considered as distinct performance obligations that should be accounted for separately. Judgment is required to determine whether the license to the Company’s intellectual property is distinct from the research and development services or participation on steering committees.</w:t>
      </w:r>
    </w:p>
    <w:p>
      <w:pPr>
        <w:spacing w:after="0" w:line="216" w:lineRule="exact"/>
        <w:rPr>
          <w:sz w:val="20"/>
          <w:szCs w:val="20"/>
          <w:color w:val="auto"/>
        </w:rPr>
      </w:pPr>
    </w:p>
    <w:p>
      <w:pPr>
        <w:ind w:right="180"/>
        <w:spacing w:after="0" w:line="308" w:lineRule="auto"/>
        <w:rPr>
          <w:sz w:val="20"/>
          <w:szCs w:val="20"/>
          <w:color w:val="auto"/>
        </w:rPr>
      </w:pPr>
      <w:r>
        <w:rPr>
          <w:rFonts w:ascii="Arial" w:cs="Arial" w:eastAsia="Arial" w:hAnsi="Arial"/>
          <w:sz w:val="14"/>
          <w:szCs w:val="14"/>
          <w:color w:val="auto"/>
        </w:rPr>
        <w:t>The Company’s collaboration and license agreements may include contingent payments related to specified research, development and regulatory milestones. Such milestone payments are typically payable under the collaborations when the collaboration partner claims or selects a target, or initiates or advances a covered product candidate in preclinical or clinical development, upon submission for marketing approval of a covered product with regulatory authorities or upon receipt of actual marketing approvals of a covered product or for additional indications. Milestone payments that are not within the control of the Company or the licensee, such as regulatory approvals, are not considered probable of being achieved until those approvals are received. At each reporting date, the Company re-evaluates whether the milestones are considered probable of being reached and estimates the amount to be included in the transaction price by using the most likely amount method. If it is probable that a significant revenue reversal would not occur, the associated milestone value is included in the transaction price in such period of determination.</w:t>
      </w:r>
    </w:p>
    <w:p>
      <w:pPr>
        <w:spacing w:after="0" w:line="168" w:lineRule="exact"/>
        <w:rPr>
          <w:sz w:val="20"/>
          <w:szCs w:val="20"/>
          <w:color w:val="auto"/>
        </w:rPr>
      </w:pPr>
    </w:p>
    <w:p>
      <w:pPr>
        <w:ind w:right="20"/>
        <w:spacing w:after="0" w:line="320" w:lineRule="auto"/>
        <w:rPr>
          <w:sz w:val="20"/>
          <w:szCs w:val="20"/>
          <w:color w:val="auto"/>
        </w:rPr>
      </w:pPr>
      <w:r>
        <w:rPr>
          <w:rFonts w:ascii="Arial" w:cs="Arial" w:eastAsia="Arial" w:hAnsi="Arial"/>
          <w:sz w:val="14"/>
          <w:szCs w:val="14"/>
          <w:color w:val="auto"/>
        </w:rPr>
        <w:t>The Company’s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but rather, are included when the sales or usage occur.</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40"/>
          </w:cols>
          <w:pgMar w:left="320" w:top="661" w:right="439" w:bottom="1440" w:gutter="0" w:footer="0" w:header="0"/>
        </w:sectPr>
      </w:pPr>
    </w:p>
    <w:bookmarkStart w:id="10" w:name="page11"/>
    <w:bookmarkEnd w:id="10"/>
    <w:p>
      <w:pPr>
        <w:ind w:right="60"/>
        <w:spacing w:after="0" w:line="264" w:lineRule="auto"/>
        <w:rPr>
          <w:sz w:val="20"/>
          <w:szCs w:val="20"/>
          <w:color w:val="auto"/>
        </w:rPr>
      </w:pPr>
      <w:r>
        <w:rPr>
          <w:rFonts w:ascii="Arial" w:cs="Arial" w:eastAsia="Arial" w:hAnsi="Arial"/>
          <w:sz w:val="16"/>
          <w:szCs w:val="16"/>
          <w:color w:val="auto"/>
        </w:rPr>
        <w:t>The transaction price in each arrangement is allocated to the identified performance obligations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Due to the early stage of the Company’s licensed technology, the license of such technology is typically combined with research and development services and steering committee participation as one performance obligation. In the event that the Company receives non-cash consideration such as consideration in the form of a research license and research support services from the counterparty, the transaction price of a non-monetary exchange that has commercial substance is estimated based on the fair value of the non-cash consideration received, which may be determined through a valuation analysis.</w:t>
      </w:r>
    </w:p>
    <w:p>
      <w:pPr>
        <w:spacing w:after="0" w:line="197"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In certain cases, the Company’s performance creates an asset that does not have an alternative use to the customer and the Company has an enforceable right to payment at all times for performance completed to date. In these cases,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219"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AbbVie Ireland Unlimited Company (“AbbVie”), one of the Company’s collaboration partners, entered into a license agreement with Seagen Inc, formerly Seattle Genetics, Inc. (“SGEN”) to license certain intellectual property rights. As part of the Company’s collaboration agreement with AbbVie, the Company is required to pay SGEN sublicense fees for certain milestone achievements and an annual maintenance fee. These sublicense fees are treated as reductions to the transaction price and combined with the performance obligation to which they relate.</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Balances</w:t>
      </w:r>
    </w:p>
    <w:p>
      <w:pPr>
        <w:spacing w:after="0" w:line="115" w:lineRule="exact"/>
        <w:rPr>
          <w:sz w:val="20"/>
          <w:szCs w:val="20"/>
          <w:color w:val="auto"/>
        </w:rPr>
      </w:pPr>
    </w:p>
    <w:p>
      <w:pPr>
        <w:ind w:right="320"/>
        <w:spacing w:after="0" w:line="252" w:lineRule="auto"/>
        <w:rPr>
          <w:sz w:val="20"/>
          <w:szCs w:val="20"/>
          <w:color w:val="auto"/>
        </w:rPr>
      </w:pPr>
      <w:r>
        <w:rPr>
          <w:rFonts w:ascii="Arial" w:cs="Arial" w:eastAsia="Arial" w:hAnsi="Arial"/>
          <w:sz w:val="17"/>
          <w:szCs w:val="17"/>
          <w:color w:val="auto"/>
        </w:rPr>
        <w:t>Customer payments are recorded as deferred revenue upon receipt or when due and may require deferral of revenue recognition to a future period until the Company satisfies its performance obligations under these arrangements. Amounts payable to the Company are recorded as accounts receivable when the Company’s right to consideration is unconditional.</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15"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The Company records accrued liabilities for estimated costs of research and development activities conducted by third-party service providers, which include the conduct of preclinical and clinical studies, and contract manufacturing activities. The Company records the estimated costs of research and development activities based upon the estimated amount of services provided but not yet invoiced, and includes these costs in accrued liabilities in the balance sheets and within research and development expense in the statements of operations. These costs are a significant component of the Company’s research and development expenses. The Company accrues for these costs based on factors such as estimates of the work completed and in accordance with agreements established with its third-party service providers under the service agreements. The Company makes significant judgments and estimates in determining the accrued liabilities balance in each reporting period. As actual costs become known, the Company adjusts its accrued liabilities. The Company has not experienced any material differences between accrued costs and actual costs incurred. However, the status and timing of actual services performed may vary from the Company’s estimates, resulting in adjustments to expense in future periods. Changes in these estimates that result in material changes to the Company’s accruals could materially affect the Company’s results of operations.</w:t>
      </w:r>
    </w:p>
    <w:p>
      <w:pPr>
        <w:spacing w:after="0" w:line="170"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the cost of services provided by outside contractors, and the allocated portions of facility costs, such as rent, utilities, insurance, repairs and maintenance, depreciation, and general support services. All costs associated with research and development are expensed as incurred.</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5" w:lineRule="exact"/>
        <w:rPr>
          <w:sz w:val="20"/>
          <w:szCs w:val="20"/>
          <w:color w:val="auto"/>
        </w:rPr>
      </w:pPr>
    </w:p>
    <w:p>
      <w:pPr>
        <w:ind w:right="220"/>
        <w:spacing w:after="0" w:line="270" w:lineRule="auto"/>
        <w:rPr>
          <w:sz w:val="20"/>
          <w:szCs w:val="20"/>
          <w:color w:val="auto"/>
        </w:rPr>
      </w:pPr>
      <w:r>
        <w:rPr>
          <w:rFonts w:ascii="Arial" w:cs="Arial" w:eastAsia="Arial" w:hAnsi="Arial"/>
          <w:sz w:val="16"/>
          <w:szCs w:val="16"/>
          <w:color w:val="auto"/>
        </w:rPr>
        <w:t>The Company recognizes compensation costs related to stock options granted to employees based on the estimated fair value of the awards on the date of grant. The Company records forfeitures as they are incurred. The Company estimates the grant date fair value, and the resulting stock-based compensation expense, using the Black-Scholes option-pricing model. The grant date fair value of stock-based awards is expensed on a straight-line basis over the period during which the employee is required to provide service in exchange for the award (generally the vesting period).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1" w:name="page12"/>
    <w:bookmarkEnd w:id="11"/>
    <w:p>
      <w:pPr>
        <w:spacing w:after="0" w:line="261" w:lineRule="auto"/>
        <w:rPr>
          <w:sz w:val="20"/>
          <w:szCs w:val="20"/>
          <w:color w:val="auto"/>
        </w:rPr>
      </w:pPr>
      <w:r>
        <w:rPr>
          <w:rFonts w:ascii="Arial" w:cs="Arial" w:eastAsia="Arial" w:hAnsi="Arial"/>
          <w:sz w:val="17"/>
          <w:szCs w:val="17"/>
          <w:color w:val="auto"/>
        </w:rPr>
        <w:t>The Company estimates the fair value of its stock-based awards using the Black-Scholes option-pricing model, which requires the input of assumptions. The assumptions are as follows:</w:t>
      </w:r>
    </w:p>
    <w:p>
      <w:pPr>
        <w:spacing w:after="0" w:line="84" w:lineRule="exact"/>
        <w:rPr>
          <w:sz w:val="20"/>
          <w:szCs w:val="20"/>
          <w:color w:val="auto"/>
        </w:rPr>
      </w:pPr>
    </w:p>
    <w:p>
      <w:pPr>
        <w:ind w:left="1020" w:right="60" w:hanging="512"/>
        <w:spacing w:after="0" w:line="368" w:lineRule="auto"/>
        <w:tabs>
          <w:tab w:leader="none" w:pos="1020"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 xml:space="preserve">Expected term. </w:t>
      </w:r>
      <w:r>
        <w:rPr>
          <w:rFonts w:ascii="Arial" w:cs="Arial" w:eastAsia="Arial" w:hAnsi="Arial"/>
          <w:sz w:val="14"/>
          <w:szCs w:val="14"/>
          <w:color w:val="auto"/>
        </w:rPr>
        <w:t>The expected term of stock options represents the period that the stock options are expected to remain outstanding and is based on vesting</w:t>
      </w:r>
      <w:r>
        <w:rPr>
          <w:rFonts w:ascii="Arial" w:cs="Arial" w:eastAsia="Arial" w:hAnsi="Arial"/>
          <w:sz w:val="14"/>
          <w:szCs w:val="14"/>
          <w:i w:val="1"/>
          <w:iCs w:val="1"/>
          <w:color w:val="auto"/>
        </w:rPr>
        <w:t xml:space="preserve"> </w:t>
      </w:r>
      <w:r>
        <w:rPr>
          <w:rFonts w:ascii="Arial" w:cs="Arial" w:eastAsia="Arial" w:hAnsi="Arial"/>
          <w:sz w:val="14"/>
          <w:szCs w:val="14"/>
          <w:color w:val="auto"/>
        </w:rPr>
        <w:t>terms, exercise term and contractual lives of the options. The expected term of the ESPP shares is equal to the six-month look-back period.</w:t>
      </w:r>
    </w:p>
    <w:p>
      <w:pPr>
        <w:spacing w:after="0" w:line="2" w:lineRule="exact"/>
        <w:rPr>
          <w:rFonts w:ascii="Arial" w:cs="Arial" w:eastAsia="Arial" w:hAnsi="Arial"/>
          <w:sz w:val="14"/>
          <w:szCs w:val="14"/>
          <w:color w:val="auto"/>
        </w:rPr>
      </w:pPr>
    </w:p>
    <w:p>
      <w:pPr>
        <w:ind w:left="1020" w:right="200" w:hanging="512"/>
        <w:spacing w:after="0" w:line="252"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The expected stock price volatility for the Company’s stock options is based on the historical stock price volatility over the period</w:t>
      </w:r>
      <w:r>
        <w:rPr>
          <w:rFonts w:ascii="Arial" w:cs="Arial" w:eastAsia="Arial" w:hAnsi="Arial"/>
          <w:sz w:val="17"/>
          <w:szCs w:val="17"/>
          <w:i w:val="1"/>
          <w:iCs w:val="1"/>
          <w:color w:val="auto"/>
        </w:rPr>
        <w:t xml:space="preserve"> </w:t>
      </w:r>
      <w:r>
        <w:rPr>
          <w:rFonts w:ascii="Arial" w:cs="Arial" w:eastAsia="Arial" w:hAnsi="Arial"/>
          <w:sz w:val="17"/>
          <w:szCs w:val="17"/>
          <w:color w:val="auto"/>
        </w:rPr>
        <w:t>which is commensurate with the estimated expected term of the stock awards. Volatility for ESPP shares is equal to the Company’s historical volatility over a six-month offering period.</w:t>
      </w:r>
    </w:p>
    <w:p>
      <w:pPr>
        <w:spacing w:after="0" w:line="79" w:lineRule="exact"/>
        <w:rPr>
          <w:rFonts w:ascii="Arial" w:cs="Arial" w:eastAsia="Arial" w:hAnsi="Arial"/>
          <w:sz w:val="17"/>
          <w:szCs w:val="17"/>
          <w:color w:val="auto"/>
        </w:rPr>
      </w:pPr>
    </w:p>
    <w:p>
      <w:pPr>
        <w:ind w:left="1020" w:right="320" w:hanging="512"/>
        <w:spacing w:after="0" w:line="261"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U.S. Treasury yield with a maturity equal to the expected term of the stock options in</w:t>
      </w:r>
      <w:r>
        <w:rPr>
          <w:rFonts w:ascii="Arial" w:cs="Arial" w:eastAsia="Arial" w:hAnsi="Arial"/>
          <w:sz w:val="17"/>
          <w:szCs w:val="17"/>
          <w:i w:val="1"/>
          <w:iCs w:val="1"/>
          <w:color w:val="auto"/>
        </w:rPr>
        <w:t xml:space="preserve"> </w:t>
      </w:r>
      <w:r>
        <w:rPr>
          <w:rFonts w:ascii="Arial" w:cs="Arial" w:eastAsia="Arial" w:hAnsi="Arial"/>
          <w:sz w:val="17"/>
          <w:szCs w:val="17"/>
          <w:color w:val="auto"/>
        </w:rPr>
        <w:t>effect at the time of grant.</w:t>
      </w:r>
    </w:p>
    <w:p>
      <w:pPr>
        <w:spacing w:after="0" w:line="71" w:lineRule="exact"/>
        <w:rPr>
          <w:rFonts w:ascii="Arial" w:cs="Arial" w:eastAsia="Arial" w:hAnsi="Arial"/>
          <w:sz w:val="17"/>
          <w:szCs w:val="17"/>
          <w:color w:val="auto"/>
        </w:rPr>
      </w:pPr>
    </w:p>
    <w:p>
      <w:pPr>
        <w:ind w:left="1020" w:hanging="512"/>
        <w:spacing w:after="0" w:line="261"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Dividend yield. </w:t>
      </w:r>
      <w:r>
        <w:rPr>
          <w:rFonts w:ascii="Arial" w:cs="Arial" w:eastAsia="Arial" w:hAnsi="Arial"/>
          <w:sz w:val="17"/>
          <w:szCs w:val="17"/>
          <w:color w:val="auto"/>
        </w:rPr>
        <w:t>The expected dividend is assumed to be zero as the Company has never paid dividends and has no current plan to pay any dividends on its</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w:t>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03" w:lineRule="exact"/>
        <w:rPr>
          <w:sz w:val="20"/>
          <w:szCs w:val="20"/>
          <w:color w:val="auto"/>
        </w:rPr>
      </w:pPr>
    </w:p>
    <w:p>
      <w:pPr>
        <w:ind w:right="260"/>
        <w:spacing w:after="0" w:line="306" w:lineRule="auto"/>
        <w:rPr>
          <w:sz w:val="20"/>
          <w:szCs w:val="20"/>
          <w:color w:val="auto"/>
        </w:rPr>
      </w:pPr>
      <w:r>
        <w:rPr>
          <w:rFonts w:ascii="Arial" w:cs="Arial" w:eastAsia="Arial" w:hAnsi="Arial"/>
          <w:sz w:val="14"/>
          <w:szCs w:val="14"/>
          <w:color w:val="auto"/>
        </w:rPr>
        <w:t>The Company determines if an arrangement is or contains a lease at inception. Operating leases are recorded as operating lease right-of-use (“ROU”) assets and operating lease liabilities in the Company’s balance sheet. ROU assets represent the Company’s right to use an underlying asset for the lease term and lease liabilities represent its obligation to make lease payments arising from the lease. Operating lease ROU assets and liabilities are recognized at commencement date based on the present value of lease payments over the lease term. The Company uses an implicit rate when readily available, or its incremental borrowing rate based on the information available at lease commencement date in determining the present value of lease payments. The operating lease ROU assets also include any lease prepayments made and reduced by lease incentives. The Company’s lease terms may include options to extend the lease when it is reasonably certain that such option will be exercised. Lease expenses are recognized on a straight-line basis over the lease term. The Company elected the short-term lease recognition exemption. The Company’s operating lease arrangement includes lease and non-lease components which are generally accounted for separately.</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Adopted Accounting Pronouncements</w:t>
      </w:r>
    </w:p>
    <w:p>
      <w:pPr>
        <w:spacing w:after="0" w:line="115"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 xml:space="preserve">In December 2019, the FASB issued ASU 2019-12, </w:t>
      </w:r>
      <w:r>
        <w:rPr>
          <w:rFonts w:ascii="Arial" w:cs="Arial" w:eastAsia="Arial" w:hAnsi="Arial"/>
          <w:sz w:val="14"/>
          <w:szCs w:val="14"/>
          <w:i w:val="1"/>
          <w:iCs w:val="1"/>
          <w:color w:val="auto"/>
        </w:rPr>
        <w:t>Income Taxes (Topic 740): Simplifying the Accounting for Income Taxes</w:t>
      </w:r>
      <w:r>
        <w:rPr>
          <w:rFonts w:ascii="Arial" w:cs="Arial" w:eastAsia="Arial" w:hAnsi="Arial"/>
          <w:sz w:val="14"/>
          <w:szCs w:val="14"/>
          <w:color w:val="auto"/>
        </w:rPr>
        <w:t>. The amendments in this ASU simplify the accounting for income taxes by removing certain exceptions to the general principles of ASC 740 in order to reduce cost and complexity of its application. The ASU removes the exception related to the incremental approach for intraperiod tax allocation as well as two exceptions related to accounting for outside basis differences of equity method investments and foreign subsidiaries. The ASU also amends the scope of ASC 740 related to a franchise tax (or similar tax) that is partially based on income; clarifies when a step-up in the tax basis of goodwill should be considered part of the business combination in which the book goodwill was originally recognized and when it should be considered a separate transaction; specifies that an entity is not required to allocate income tax expense to a legal entity that is both not subject to tax and disregarded by the taxing authority; and clarifies that all tax effects, both deferred and current, should be accounted for in the interim period that includes the enactment date. The Company adopted this ASU on January 1, 2021, and there was no material impact on the financial statements upon adoption of this ASU.</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Net Income (Loss) Per Share</w:t>
      </w:r>
    </w:p>
    <w:p>
      <w:pPr>
        <w:spacing w:after="0" w:line="107" w:lineRule="exact"/>
        <w:rPr>
          <w:sz w:val="20"/>
          <w:szCs w:val="20"/>
          <w:color w:val="auto"/>
        </w:rPr>
      </w:pPr>
    </w:p>
    <w:p>
      <w:pPr>
        <w:ind w:right="140"/>
        <w:spacing w:after="0" w:line="332" w:lineRule="auto"/>
        <w:rPr>
          <w:sz w:val="20"/>
          <w:szCs w:val="20"/>
          <w:color w:val="auto"/>
        </w:rPr>
      </w:pPr>
      <w:r>
        <w:rPr>
          <w:rFonts w:ascii="Arial" w:cs="Arial" w:eastAsia="Arial" w:hAnsi="Arial"/>
          <w:sz w:val="14"/>
          <w:szCs w:val="14"/>
          <w:color w:val="auto"/>
        </w:rPr>
        <w:t>Basic net income (loss) per share is calculated by dividing the net income (loss) by the weighted-average number of shares of common stock outstanding for the period. Diluted net income per share is calculated using the weighted-average number of common shares outstanding, plus potential dilutive common stock during the period. Diluted net loss per share, for the comparative period, is the same as basic net loss per share since the effect of the potentially dilutive securities is anti-dilutive.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The following table presents the calculation of basic and diluted net income (loss) per share: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60" w:type="dxa"/>
            <w:vAlign w:val="bottom"/>
            <w:gridSpan w:val="3"/>
          </w:tcPr>
          <w:p>
            <w:pPr>
              <w:jc w:val="center"/>
              <w:ind w:left="523"/>
              <w:spacing w:after="0"/>
              <w:rPr>
                <w:sz w:val="20"/>
                <w:szCs w:val="20"/>
                <w:color w:val="auto"/>
              </w:rPr>
            </w:pPr>
            <w:r>
              <w:rPr>
                <w:rFonts w:ascii="Arial" w:cs="Arial" w:eastAsia="Arial" w:hAnsi="Arial"/>
                <w:sz w:val="13"/>
                <w:szCs w:val="13"/>
                <w:b w:val="1"/>
                <w:bCs w:val="1"/>
                <w:color w:val="auto"/>
                <w:w w:val="93"/>
              </w:rPr>
              <w:t>Three Months Ended</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jc w:val="center"/>
              <w:ind w:left="543"/>
              <w:spacing w:after="0"/>
              <w:rPr>
                <w:sz w:val="20"/>
                <w:szCs w:val="20"/>
                <w:color w:val="auto"/>
              </w:rPr>
            </w:pPr>
            <w:r>
              <w:rPr>
                <w:rFonts w:ascii="Arial" w:cs="Arial" w:eastAsia="Arial" w:hAnsi="Arial"/>
                <w:sz w:val="13"/>
                <w:szCs w:val="13"/>
                <w:b w:val="1"/>
                <w:bCs w:val="1"/>
                <w:color w:val="auto"/>
                <w:w w:val="96"/>
              </w:rPr>
              <w:t>March 31,</w:t>
            </w: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78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43"/>
              <w:spacing w:after="0" w:line="142" w:lineRule="exact"/>
              <w:rPr>
                <w:sz w:val="20"/>
                <w:szCs w:val="20"/>
                <w:color w:val="auto"/>
              </w:rPr>
            </w:pPr>
            <w:r>
              <w:rPr>
                <w:rFonts w:ascii="Arial" w:cs="Arial" w:eastAsia="Arial" w:hAnsi="Arial"/>
                <w:sz w:val="13"/>
                <w:szCs w:val="13"/>
                <w:b w:val="1"/>
                <w:bCs w:val="1"/>
                <w:color w:val="auto"/>
              </w:rPr>
              <w:t>2021</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39"/>
              <w:spacing w:after="0" w:line="142"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60" w:type="dxa"/>
            <w:vAlign w:val="bottom"/>
            <w:gridSpan w:val="3"/>
          </w:tcPr>
          <w:p>
            <w:pPr>
              <w:jc w:val="center"/>
              <w:ind w:left="523"/>
              <w:spacing w:after="0" w:line="142" w:lineRule="exact"/>
              <w:rPr>
                <w:sz w:val="20"/>
                <w:szCs w:val="20"/>
                <w:color w:val="auto"/>
              </w:rPr>
            </w:pPr>
            <w:r>
              <w:rPr>
                <w:rFonts w:ascii="Arial" w:cs="Arial" w:eastAsia="Arial" w:hAnsi="Arial"/>
                <w:sz w:val="13"/>
                <w:szCs w:val="13"/>
                <w:b w:val="1"/>
                <w:bCs w:val="1"/>
                <w:color w:val="auto"/>
                <w:w w:val="89"/>
              </w:rPr>
              <w:t>(in thousands)</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78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Numerator:</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880" w:type="dxa"/>
            <w:vAlign w:val="bottom"/>
          </w:tcPr>
          <w:p>
            <w:pPr>
              <w:spacing w:after="0"/>
              <w:rPr>
                <w:sz w:val="20"/>
                <w:szCs w:val="20"/>
                <w:color w:val="auto"/>
              </w:rPr>
            </w:pPr>
            <w:r>
              <w:rPr>
                <w:rFonts w:ascii="Arial" w:cs="Arial" w:eastAsia="Arial" w:hAnsi="Arial"/>
                <w:sz w:val="17"/>
                <w:szCs w:val="17"/>
                <w:color w:val="auto"/>
              </w:rPr>
              <w:t>Net income (loss)</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(15,554)</w:t>
            </w:r>
          </w:p>
        </w:tc>
        <w:tc>
          <w:tcPr>
            <w:tcW w:w="540" w:type="dxa"/>
            <w:vAlign w:val="bottom"/>
          </w:tcPr>
          <w:p>
            <w:pPr>
              <w:jc w:val="right"/>
              <w:ind w:right="38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12,205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7880" w:type="dxa"/>
            <w:vAlign w:val="bottom"/>
            <w:tcBorders>
              <w:top w:val="single" w:sz="8" w:color="CFF0FC"/>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880" w:type="dxa"/>
            <w:vAlign w:val="bottom"/>
          </w:tcPr>
          <w:p>
            <w:pPr>
              <w:spacing w:after="0"/>
              <w:rPr>
                <w:sz w:val="20"/>
                <w:szCs w:val="20"/>
                <w:color w:val="auto"/>
              </w:rPr>
            </w:pPr>
            <w:r>
              <w:rPr>
                <w:rFonts w:ascii="Arial" w:cs="Arial" w:eastAsia="Arial" w:hAnsi="Arial"/>
                <w:sz w:val="17"/>
                <w:szCs w:val="17"/>
                <w:b w:val="1"/>
                <w:bCs w:val="1"/>
                <w:color w:val="auto"/>
              </w:rPr>
              <w:t>Denominator:</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Basic</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88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Weighted-average common shares used to calculate net income (loss) per share</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60,968,111</w:t>
            </w:r>
          </w:p>
        </w:tc>
        <w:tc>
          <w:tcPr>
            <w:tcW w:w="260" w:type="dxa"/>
            <w:vAlign w:val="bottom"/>
            <w:tcBorders>
              <w:bottom w:val="single" w:sz="8" w:color="CFF0FC"/>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45,723,955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7880" w:type="dxa"/>
            <w:vAlign w:val="bottom"/>
            <w:shd w:val="clear" w:color="auto" w:fill="CFF0FC"/>
          </w:tcPr>
          <w:p>
            <w:pPr>
              <w:ind w:left="120"/>
              <w:spacing w:after="0" w:line="188" w:lineRule="exact"/>
              <w:rPr>
                <w:sz w:val="20"/>
                <w:szCs w:val="20"/>
                <w:color w:val="auto"/>
              </w:rPr>
            </w:pPr>
            <w:r>
              <w:rPr>
                <w:rFonts w:ascii="Arial" w:cs="Arial" w:eastAsia="Arial" w:hAnsi="Arial"/>
                <w:sz w:val="17"/>
                <w:szCs w:val="17"/>
                <w:color w:val="auto"/>
              </w:rPr>
              <w:t>Diluted</w:t>
            </w: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80" w:type="dxa"/>
            <w:vAlign w:val="bottom"/>
          </w:tcPr>
          <w:p>
            <w:pPr>
              <w:ind w:left="220"/>
              <w:spacing w:after="0"/>
              <w:rPr>
                <w:sz w:val="20"/>
                <w:szCs w:val="20"/>
                <w:color w:val="auto"/>
              </w:rPr>
            </w:pPr>
            <w:r>
              <w:rPr>
                <w:rFonts w:ascii="Arial" w:cs="Arial" w:eastAsia="Arial" w:hAnsi="Arial"/>
                <w:sz w:val="17"/>
                <w:szCs w:val="17"/>
                <w:color w:val="auto"/>
              </w:rPr>
              <w:t>Weighted-average common shares used to calculate net income (loss) per share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60,968,111</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45,723,955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Effect of potentially dilutive securities:</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80" w:type="dxa"/>
            <w:vAlign w:val="bottom"/>
            <w:tcBorders>
              <w:bottom w:val="single" w:sz="8" w:color="CFF0FC"/>
            </w:tcBorders>
          </w:tcPr>
          <w:p>
            <w:pPr>
              <w:ind w:left="340"/>
              <w:spacing w:after="0"/>
              <w:rPr>
                <w:sz w:val="20"/>
                <w:szCs w:val="20"/>
                <w:color w:val="auto"/>
              </w:rPr>
            </w:pPr>
            <w:r>
              <w:rPr>
                <w:rFonts w:ascii="Arial" w:cs="Arial" w:eastAsia="Arial" w:hAnsi="Arial"/>
                <w:sz w:val="17"/>
                <w:szCs w:val="17"/>
                <w:color w:val="auto"/>
              </w:rPr>
              <w:t>Stock options and ESPP shares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1,320,819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60,968,111</w:t>
            </w:r>
          </w:p>
        </w:tc>
        <w:tc>
          <w:tcPr>
            <w:tcW w:w="26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47,044,774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7"/>
                <w:szCs w:val="17"/>
                <w:color w:val="auto"/>
              </w:rPr>
              <w:t>Net income (loss) per share</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8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8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Basic</w:t>
            </w: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(0.26)</w:t>
            </w:r>
          </w:p>
        </w:tc>
        <w:tc>
          <w:tcPr>
            <w:tcW w:w="540" w:type="dxa"/>
            <w:vAlign w:val="bottom"/>
            <w:shd w:val="clear" w:color="auto" w:fill="CFF0FC"/>
          </w:tcPr>
          <w:p>
            <w:pPr>
              <w:jc w:val="right"/>
              <w:ind w:right="38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80" w:type="dxa"/>
            <w:vAlign w:val="bottom"/>
          </w:tcPr>
          <w:p>
            <w:pPr>
              <w:ind w:left="120"/>
              <w:spacing w:after="0"/>
              <w:rPr>
                <w:sz w:val="20"/>
                <w:szCs w:val="20"/>
                <w:color w:val="auto"/>
              </w:rPr>
            </w:pPr>
            <w:r>
              <w:rPr>
                <w:rFonts w:ascii="Arial" w:cs="Arial" w:eastAsia="Arial" w:hAnsi="Arial"/>
                <w:sz w:val="17"/>
                <w:szCs w:val="17"/>
                <w:color w:val="auto"/>
              </w:rPr>
              <w:t>Diluted</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(0.26)</w:t>
            </w:r>
          </w:p>
        </w:tc>
        <w:tc>
          <w:tcPr>
            <w:tcW w:w="540" w:type="dxa"/>
            <w:vAlign w:val="bottom"/>
          </w:tcPr>
          <w:p>
            <w:pPr>
              <w:jc w:val="right"/>
              <w:ind w:right="38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20"/>
        <w:spacing w:after="0" w:line="261" w:lineRule="auto"/>
        <w:rPr>
          <w:sz w:val="20"/>
          <w:szCs w:val="20"/>
          <w:color w:val="auto"/>
        </w:rPr>
      </w:pPr>
      <w:r>
        <w:rPr>
          <w:rFonts w:ascii="Arial" w:cs="Arial" w:eastAsia="Arial" w:hAnsi="Arial"/>
          <w:sz w:val="17"/>
          <w:szCs w:val="17"/>
          <w:color w:val="auto"/>
        </w:rPr>
        <w:t>The following weighted-average outstanding shares of potentially dilutive securities were excluded from the computation of diluted net income (loss) per share for the periods presented, because including them would have been anti-dilutive:</w:t>
      </w:r>
    </w:p>
    <w:p>
      <w:pPr>
        <w:spacing w:after="0" w:line="238" w:lineRule="exact"/>
        <w:rPr>
          <w:sz w:val="20"/>
          <w:szCs w:val="20"/>
          <w:color w:val="auto"/>
        </w:rPr>
      </w:pPr>
    </w:p>
    <w:p>
      <w:pPr>
        <w:jc w:val="center"/>
        <w:ind w:left="7740"/>
        <w:spacing w:after="0"/>
        <w:rPr>
          <w:sz w:val="20"/>
          <w:szCs w:val="20"/>
          <w:color w:val="auto"/>
        </w:rPr>
      </w:pPr>
      <w:r>
        <w:rPr>
          <w:rFonts w:ascii="Arial" w:cs="Arial" w:eastAsia="Arial" w:hAnsi="Arial"/>
          <w:sz w:val="13"/>
          <w:szCs w:val="13"/>
          <w:b w:val="1"/>
          <w:bCs w:val="1"/>
          <w:color w:val="auto"/>
        </w:rPr>
        <w:t>Three Months Ended</w:t>
      </w:r>
    </w:p>
    <w:p>
      <w:pPr>
        <w:spacing w:after="0" w:line="7" w:lineRule="exact"/>
        <w:rPr>
          <w:sz w:val="20"/>
          <w:szCs w:val="20"/>
          <w:color w:val="auto"/>
        </w:rPr>
      </w:pPr>
    </w:p>
    <w:p>
      <w:pPr>
        <w:jc w:val="center"/>
        <w:ind w:left="7740"/>
        <w:spacing w:after="0"/>
        <w:rPr>
          <w:sz w:val="20"/>
          <w:szCs w:val="20"/>
          <w:color w:val="auto"/>
        </w:rPr>
      </w:pPr>
      <w:r>
        <w:rPr>
          <w:rFonts w:ascii="Arial" w:cs="Arial" w:eastAsia="Arial" w:hAnsi="Arial"/>
          <w:sz w:val="13"/>
          <w:szCs w:val="13"/>
          <w:b w:val="1"/>
          <w:bCs w:val="1"/>
          <w:color w:val="auto"/>
        </w:rPr>
        <w:t>March 31,</w:t>
      </w:r>
    </w:p>
    <w:tbl>
      <w:tblPr>
        <w:tblLayout w:type="fixed"/>
        <w:tblInd w:w="0" w:type="dxa"/>
        <w:tblCellMar>
          <w:top w:w="0" w:type="dxa"/>
          <w:left w:w="0" w:type="dxa"/>
          <w:bottom w:w="0" w:type="dxa"/>
          <w:right w:w="0" w:type="dxa"/>
        </w:tblCellMar>
      </w:tblPr>
      <w:tr>
        <w:trPr>
          <w:trHeight w:val="141"/>
        </w:trPr>
        <w:tc>
          <w:tcPr>
            <w:tcW w:w="7880" w:type="dxa"/>
            <w:vAlign w:val="bottom"/>
            <w:tcBorders>
              <w:bottom w:val="single" w:sz="8" w:color="CFF0FC"/>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646"/>
              <w:spacing w:after="0" w:line="142" w:lineRule="exact"/>
              <w:rPr>
                <w:sz w:val="20"/>
                <w:szCs w:val="20"/>
                <w:color w:val="auto"/>
              </w:rPr>
            </w:pPr>
            <w:r>
              <w:rPr>
                <w:rFonts w:ascii="Arial" w:cs="Arial" w:eastAsia="Arial" w:hAnsi="Arial"/>
                <w:sz w:val="13"/>
                <w:szCs w:val="13"/>
                <w:b w:val="1"/>
                <w:bCs w:val="1"/>
                <w:color w:val="auto"/>
              </w:rPr>
              <w:t>2021</w:t>
            </w:r>
          </w:p>
        </w:tc>
        <w:tc>
          <w:tcPr>
            <w:tcW w:w="160" w:type="dxa"/>
            <w:vAlign w:val="bottom"/>
            <w:tcBorders>
              <w:top w:val="single" w:sz="8" w:color="auto"/>
              <w:bottom w:val="single" w:sz="8" w:color="CFF0FC"/>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546"/>
              <w:spacing w:after="0" w:line="142"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2"/>
                <w:szCs w:val="12"/>
                <w:color w:val="auto"/>
              </w:rPr>
            </w:pPr>
          </w:p>
        </w:tc>
      </w:tr>
      <w:tr>
        <w:trPr>
          <w:trHeight w:val="203"/>
        </w:trPr>
        <w:tc>
          <w:tcPr>
            <w:tcW w:w="7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Options and ESPP to purchase common stock</w:t>
            </w:r>
          </w:p>
        </w:tc>
        <w:tc>
          <w:tcPr>
            <w:tcW w:w="160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7"/>
                <w:szCs w:val="17"/>
                <w:color w:val="auto"/>
              </w:rPr>
              <w:t>11,554,985</w:t>
            </w:r>
          </w:p>
        </w:tc>
        <w:tc>
          <w:tcPr>
            <w:tcW w:w="160" w:type="dxa"/>
            <w:vAlign w:val="bottom"/>
            <w:tcBorders>
              <w:bottom w:val="single" w:sz="8" w:color="CFF0FC"/>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8,234,298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78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Fair Value Measurements and Short-Term Investments</w:t>
      </w:r>
    </w:p>
    <w:p>
      <w:pPr>
        <w:spacing w:after="0" w:line="107" w:lineRule="exact"/>
        <w:rPr>
          <w:sz w:val="20"/>
          <w:szCs w:val="20"/>
          <w:color w:val="auto"/>
        </w:rPr>
      </w:pPr>
    </w:p>
    <w:p>
      <w:pPr>
        <w:ind w:right="160"/>
        <w:spacing w:after="0" w:line="368" w:lineRule="auto"/>
        <w:rPr>
          <w:sz w:val="20"/>
          <w:szCs w:val="20"/>
          <w:color w:val="auto"/>
        </w:rPr>
      </w:pPr>
      <w:r>
        <w:rPr>
          <w:rFonts w:ascii="Arial" w:cs="Arial" w:eastAsia="Arial" w:hAnsi="Arial"/>
          <w:sz w:val="14"/>
          <w:szCs w:val="14"/>
          <w:color w:val="auto"/>
        </w:rPr>
        <w:t>In accordance with Accounting Standards Codification (“ASC”) 820-10, Fair Value Measurements and Disclosures, the Company determines the fair value of financial and non-financial assets and liabilities using the fair value hierarchy, which establishes three levels of inputs that may be used to measure fair value, as follows:</w:t>
      </w:r>
    </w:p>
    <w:p>
      <w:pPr>
        <w:spacing w:after="0" w:line="3" w:lineRule="exact"/>
        <w:rPr>
          <w:sz w:val="20"/>
          <w:szCs w:val="20"/>
          <w:color w:val="auto"/>
        </w:rPr>
      </w:pPr>
    </w:p>
    <w:p>
      <w:pPr>
        <w:ind w:left="1020" w:hanging="512"/>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I: Inputs which include quoted prices in active markets for identical assets and liabilities.</w:t>
      </w:r>
    </w:p>
    <w:p>
      <w:pPr>
        <w:spacing w:after="0" w:line="102" w:lineRule="exact"/>
        <w:rPr>
          <w:rFonts w:ascii="Arial" w:cs="Arial" w:eastAsia="Arial" w:hAnsi="Arial"/>
          <w:sz w:val="17"/>
          <w:szCs w:val="17"/>
          <w:color w:val="auto"/>
        </w:rPr>
      </w:pPr>
    </w:p>
    <w:p>
      <w:pPr>
        <w:ind w:left="1020" w:hanging="512"/>
        <w:spacing w:after="0" w:line="252"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9" w:lineRule="exact"/>
        <w:rPr>
          <w:rFonts w:ascii="Arial" w:cs="Arial" w:eastAsia="Arial" w:hAnsi="Arial"/>
          <w:sz w:val="17"/>
          <w:szCs w:val="17"/>
          <w:color w:val="auto"/>
        </w:rPr>
      </w:pPr>
    </w:p>
    <w:p>
      <w:pPr>
        <w:ind w:left="1020" w:hanging="512"/>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III: Unobservable inputs that are supported by little or no market activity and that are significant to the fair value of the assets or liabilities.</w:t>
      </w:r>
    </w:p>
    <w:p>
      <w:pPr>
        <w:spacing w:after="0" w:line="213"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carrying amounts of the Company’s financial instruments, including restricted cash, accounts receivable, accounts payable and accrued liabilities approximate fair value due to their relatively short maturities. The Company’s financial instruments consist of Level I assets which consist primarily of highly liquid money market funds, some of which are included in restricted cash, and U.S. government bonds that are included in short-term investments.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3" w:name="page14"/>
    <w:bookmarkEnd w:id="13"/>
    <w:p>
      <w:pPr>
        <w:ind w:right="60"/>
        <w:spacing w:after="0" w:line="261" w:lineRule="auto"/>
        <w:rPr>
          <w:sz w:val="20"/>
          <w:szCs w:val="20"/>
          <w:color w:val="auto"/>
        </w:rPr>
      </w:pPr>
      <w:r>
        <w:rPr>
          <w:rFonts w:ascii="Arial" w:cs="Arial" w:eastAsia="Arial" w:hAnsi="Arial"/>
          <w:sz w:val="17"/>
          <w:szCs w:val="17"/>
          <w:color w:val="auto"/>
        </w:rPr>
        <w:t>The following tables set forth the fair value of the Company’s short-term investments subject to fair value measurements on a recurring basis and the level of inputs used in such measurements:</w:t>
      </w:r>
    </w:p>
    <w:p>
      <w:pPr>
        <w:spacing w:after="0" w:line="238" w:lineRule="exact"/>
        <w:rPr>
          <w:sz w:val="20"/>
          <w:szCs w:val="20"/>
          <w:color w:val="auto"/>
        </w:rPr>
      </w:pPr>
    </w:p>
    <w:tbl>
      <w:tblPr>
        <w:tblLayout w:type="fixed"/>
        <w:tblInd w:w="56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95"/>
              </w:rPr>
              <w:t>March 31, 2021</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21"/>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80"/>
              <w:spacing w:after="0" w:line="121" w:lineRule="exact"/>
              <w:rPr>
                <w:sz w:val="20"/>
                <w:szCs w:val="20"/>
                <w:color w:val="auto"/>
              </w:rPr>
            </w:pPr>
            <w:r>
              <w:rPr>
                <w:rFonts w:ascii="Arial" w:cs="Arial" w:eastAsia="Arial" w:hAnsi="Arial"/>
                <w:sz w:val="13"/>
                <w:szCs w:val="13"/>
                <w:b w:val="1"/>
                <w:bCs w:val="1"/>
                <w:color w:val="auto"/>
                <w:w w:val="85"/>
              </w:rPr>
              <w:t>Gross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66"/>
              <w:spacing w:after="0" w:line="121" w:lineRule="exact"/>
              <w:rPr>
                <w:sz w:val="20"/>
                <w:szCs w:val="20"/>
                <w:color w:val="auto"/>
              </w:rPr>
            </w:pPr>
            <w:r>
              <w:rPr>
                <w:rFonts w:ascii="Arial" w:cs="Arial" w:eastAsia="Arial" w:hAnsi="Arial"/>
                <w:sz w:val="13"/>
                <w:szCs w:val="13"/>
                <w:b w:val="1"/>
                <w:bCs w:val="1"/>
                <w:color w:val="auto"/>
                <w:w w:val="85"/>
              </w:rPr>
              <w:t>Gross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7"/>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center"/>
              <w:ind w:left="97"/>
              <w:spacing w:after="0" w:line="137" w:lineRule="exact"/>
              <w:rPr>
                <w:sz w:val="20"/>
                <w:szCs w:val="20"/>
                <w:color w:val="auto"/>
              </w:rPr>
            </w:pPr>
            <w:r>
              <w:rPr>
                <w:rFonts w:ascii="Arial" w:cs="Arial" w:eastAsia="Arial" w:hAnsi="Arial"/>
                <w:sz w:val="13"/>
                <w:szCs w:val="13"/>
                <w:b w:val="1"/>
                <w:bCs w:val="1"/>
                <w:color w:val="auto"/>
                <w:w w:val="90"/>
              </w:rPr>
              <w:t>Allowance</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60"/>
              <w:spacing w:after="0" w:line="137" w:lineRule="exact"/>
              <w:rPr>
                <w:sz w:val="20"/>
                <w:szCs w:val="20"/>
                <w:color w:val="auto"/>
              </w:rPr>
            </w:pPr>
            <w:r>
              <w:rPr>
                <w:rFonts w:ascii="Arial" w:cs="Arial" w:eastAsia="Arial" w:hAnsi="Arial"/>
                <w:sz w:val="13"/>
                <w:szCs w:val="13"/>
                <w:b w:val="1"/>
                <w:bCs w:val="1"/>
                <w:color w:val="auto"/>
                <w:w w:val="94"/>
              </w:rPr>
              <w:t>Unrealized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66"/>
              <w:spacing w:after="0" w:line="137" w:lineRule="exact"/>
              <w:rPr>
                <w:sz w:val="20"/>
                <w:szCs w:val="20"/>
                <w:color w:val="auto"/>
              </w:rPr>
            </w:pPr>
            <w:r>
              <w:rPr>
                <w:rFonts w:ascii="Arial" w:cs="Arial" w:eastAsia="Arial" w:hAnsi="Arial"/>
                <w:sz w:val="13"/>
                <w:szCs w:val="13"/>
                <w:b w:val="1"/>
                <w:bCs w:val="1"/>
                <w:color w:val="auto"/>
                <w:w w:val="91"/>
              </w:rPr>
              <w:t>Unrealized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92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2"/>
              </w:rPr>
              <w:t>Valuation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63"/>
              <w:spacing w:after="0" w:line="137" w:lineRule="exact"/>
              <w:rPr>
                <w:sz w:val="20"/>
                <w:szCs w:val="20"/>
                <w:color w:val="auto"/>
              </w:rPr>
            </w:pPr>
            <w:r>
              <w:rPr>
                <w:rFonts w:ascii="Arial" w:cs="Arial" w:eastAsia="Arial" w:hAnsi="Arial"/>
                <w:sz w:val="13"/>
                <w:szCs w:val="13"/>
                <w:b w:val="1"/>
                <w:bCs w:val="1"/>
                <w:color w:val="auto"/>
                <w:w w:val="94"/>
              </w:rPr>
              <w:t>Amortized</w:t>
            </w:r>
          </w:p>
        </w:tc>
        <w:tc>
          <w:tcPr>
            <w:tcW w:w="220" w:type="dxa"/>
            <w:vAlign w:val="bottom"/>
          </w:tcPr>
          <w:p>
            <w:pPr>
              <w:spacing w:after="0"/>
              <w:rPr>
                <w:sz w:val="11"/>
                <w:szCs w:val="11"/>
                <w:color w:val="auto"/>
              </w:rPr>
            </w:pPr>
          </w:p>
        </w:tc>
        <w:tc>
          <w:tcPr>
            <w:tcW w:w="740" w:type="dxa"/>
            <w:vAlign w:val="bottom"/>
          </w:tcPr>
          <w:p>
            <w:pPr>
              <w:jc w:val="center"/>
              <w:ind w:left="97"/>
              <w:spacing w:after="0" w:line="137" w:lineRule="exact"/>
              <w:rPr>
                <w:sz w:val="20"/>
                <w:szCs w:val="20"/>
                <w:color w:val="auto"/>
              </w:rPr>
            </w:pPr>
            <w:r>
              <w:rPr>
                <w:rFonts w:ascii="Arial" w:cs="Arial" w:eastAsia="Arial" w:hAnsi="Arial"/>
                <w:sz w:val="13"/>
                <w:szCs w:val="13"/>
                <w:b w:val="1"/>
                <w:bCs w:val="1"/>
                <w:color w:val="auto"/>
                <w:w w:val="99"/>
              </w:rPr>
              <w:t>for Credit</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60"/>
              <w:spacing w:after="0" w:line="137" w:lineRule="exact"/>
              <w:rPr>
                <w:sz w:val="20"/>
                <w:szCs w:val="20"/>
                <w:color w:val="auto"/>
              </w:rPr>
            </w:pPr>
            <w:r>
              <w:rPr>
                <w:rFonts w:ascii="Arial" w:cs="Arial" w:eastAsia="Arial" w:hAnsi="Arial"/>
                <w:sz w:val="13"/>
                <w:szCs w:val="13"/>
                <w:b w:val="1"/>
                <w:bCs w:val="1"/>
                <w:color w:val="auto"/>
                <w:w w:val="94"/>
              </w:rPr>
              <w:t>Holding</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66"/>
              <w:spacing w:after="0" w:line="137" w:lineRule="exact"/>
              <w:rPr>
                <w:sz w:val="20"/>
                <w:szCs w:val="20"/>
                <w:color w:val="auto"/>
              </w:rPr>
            </w:pPr>
            <w:r>
              <w:rPr>
                <w:rFonts w:ascii="Arial" w:cs="Arial" w:eastAsia="Arial" w:hAnsi="Arial"/>
                <w:sz w:val="13"/>
                <w:szCs w:val="13"/>
                <w:b w:val="1"/>
                <w:bCs w:val="1"/>
                <w:color w:val="auto"/>
                <w:w w:val="90"/>
              </w:rPr>
              <w:t>Holding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ind w:left="60"/>
              <w:spacing w:after="0" w:line="137" w:lineRule="exact"/>
              <w:rPr>
                <w:sz w:val="20"/>
                <w:szCs w:val="20"/>
                <w:color w:val="auto"/>
              </w:rPr>
            </w:pPr>
            <w:r>
              <w:rPr>
                <w:rFonts w:ascii="Arial" w:cs="Arial" w:eastAsia="Arial" w:hAnsi="Arial"/>
                <w:sz w:val="13"/>
                <w:szCs w:val="13"/>
                <w:b w:val="1"/>
                <w:bCs w:val="1"/>
                <w:color w:val="auto"/>
              </w:rPr>
              <w:t>Aggregate</w:t>
            </w:r>
          </w:p>
        </w:tc>
      </w:tr>
      <w:tr>
        <w:trPr>
          <w:trHeight w:val="157"/>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6"/>
              </w:rPr>
              <w:t>Hierarchy</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63"/>
              <w:spacing w:after="0"/>
              <w:rPr>
                <w:sz w:val="20"/>
                <w:szCs w:val="20"/>
                <w:color w:val="auto"/>
              </w:rPr>
            </w:pPr>
            <w:r>
              <w:rPr>
                <w:rFonts w:ascii="Arial" w:cs="Arial" w:eastAsia="Arial" w:hAnsi="Arial"/>
                <w:sz w:val="13"/>
                <w:szCs w:val="13"/>
                <w:b w:val="1"/>
                <w:bCs w:val="1"/>
                <w:color w:val="auto"/>
                <w:w w:val="82"/>
              </w:rPr>
              <w:t>Cost</w:t>
            </w:r>
          </w:p>
        </w:tc>
        <w:tc>
          <w:tcPr>
            <w:tcW w:w="220" w:type="dxa"/>
            <w:vAlign w:val="bottom"/>
          </w:tcPr>
          <w:p>
            <w:pPr>
              <w:spacing w:after="0"/>
              <w:rPr>
                <w:sz w:val="13"/>
                <w:szCs w:val="13"/>
                <w:color w:val="auto"/>
              </w:rPr>
            </w:pPr>
          </w:p>
        </w:tc>
        <w:tc>
          <w:tcPr>
            <w:tcW w:w="740" w:type="dxa"/>
            <w:vAlign w:val="bottom"/>
          </w:tcPr>
          <w:p>
            <w:pPr>
              <w:jc w:val="center"/>
              <w:ind w:left="97"/>
              <w:spacing w:after="0"/>
              <w:rPr>
                <w:sz w:val="20"/>
                <w:szCs w:val="20"/>
                <w:color w:val="auto"/>
              </w:rPr>
            </w:pPr>
            <w:r>
              <w:rPr>
                <w:rFonts w:ascii="Arial" w:cs="Arial" w:eastAsia="Arial" w:hAnsi="Arial"/>
                <w:sz w:val="13"/>
                <w:szCs w:val="13"/>
                <w:b w:val="1"/>
                <w:bCs w:val="1"/>
                <w:color w:val="auto"/>
                <w:w w:val="84"/>
              </w:rPr>
              <w:t>Losses</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Gains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66"/>
              <w:spacing w:after="0"/>
              <w:rPr>
                <w:sz w:val="20"/>
                <w:szCs w:val="20"/>
                <w:color w:val="auto"/>
              </w:rPr>
            </w:pPr>
            <w:r>
              <w:rPr>
                <w:rFonts w:ascii="Arial" w:cs="Arial" w:eastAsia="Arial" w:hAnsi="Arial"/>
                <w:sz w:val="13"/>
                <w:szCs w:val="13"/>
                <w:b w:val="1"/>
                <w:bCs w:val="1"/>
                <w:color w:val="auto"/>
                <w:w w:val="80"/>
              </w:rPr>
              <w:t>Losses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Fair Value</w:t>
            </w:r>
          </w:p>
        </w:tc>
      </w:tr>
      <w:tr>
        <w:trPr>
          <w:trHeight w:val="141"/>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ind w:right="120"/>
              <w:spacing w:after="0" w:line="142" w:lineRule="exact"/>
              <w:rPr>
                <w:sz w:val="20"/>
                <w:szCs w:val="20"/>
                <w:color w:val="auto"/>
              </w:rPr>
            </w:pPr>
            <w:r>
              <w:rPr>
                <w:rFonts w:ascii="Arial" w:cs="Arial" w:eastAsia="Arial" w:hAnsi="Arial"/>
                <w:sz w:val="13"/>
                <w:szCs w:val="13"/>
                <w:b w:val="1"/>
                <w:bCs w:val="1"/>
                <w:color w:val="auto"/>
                <w:w w:val="89"/>
              </w:rPr>
              <w:t>(in thousands)</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1"/>
        </w:trPr>
        <w:tc>
          <w:tcPr>
            <w:tcW w:w="2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420" w:type="dxa"/>
            <w:vAlign w:val="bottom"/>
          </w:tcPr>
          <w:p>
            <w:pPr>
              <w:ind w:left="100"/>
              <w:spacing w:after="0"/>
              <w:rPr>
                <w:sz w:val="20"/>
                <w:szCs w:val="20"/>
                <w:color w:val="auto"/>
              </w:rPr>
            </w:pPr>
            <w:r>
              <w:rPr>
                <w:rFonts w:ascii="Arial" w:cs="Arial" w:eastAsia="Arial" w:hAnsi="Arial"/>
                <w:sz w:val="17"/>
                <w:szCs w:val="17"/>
                <w:color w:val="auto"/>
              </w:rPr>
              <w:t>Money market funds</w:t>
            </w:r>
          </w:p>
        </w:tc>
        <w:tc>
          <w:tcPr>
            <w:tcW w:w="920" w:type="dxa"/>
            <w:vAlign w:val="bottom"/>
          </w:tcPr>
          <w:p>
            <w:pPr>
              <w:jc w:val="center"/>
              <w:spacing w:after="0"/>
              <w:rPr>
                <w:sz w:val="20"/>
                <w:szCs w:val="20"/>
                <w:color w:val="auto"/>
              </w:rPr>
            </w:pPr>
            <w:r>
              <w:rPr>
                <w:rFonts w:ascii="Arial" w:cs="Arial" w:eastAsia="Arial" w:hAnsi="Arial"/>
                <w:sz w:val="17"/>
                <w:szCs w:val="17"/>
                <w:color w:val="auto"/>
                <w:w w:val="95"/>
              </w:rPr>
              <w:t>Level I</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281,201</w:t>
            </w:r>
          </w:p>
        </w:tc>
        <w:tc>
          <w:tcPr>
            <w:tcW w:w="960" w:type="dxa"/>
            <w:vAlign w:val="bottom"/>
            <w:gridSpan w:val="2"/>
          </w:tcPr>
          <w:p>
            <w:pPr>
              <w:jc w:val="right"/>
              <w:ind w:right="617"/>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ind w:left="640"/>
              <w:spacing w:after="0"/>
              <w:rPr>
                <w:sz w:val="20"/>
                <w:szCs w:val="20"/>
                <w:color w:val="auto"/>
              </w:rPr>
            </w:pPr>
            <w:r>
              <w:rPr>
                <w:rFonts w:ascii="Arial" w:cs="Arial" w:eastAsia="Arial" w:hAnsi="Arial"/>
                <w:sz w:val="17"/>
                <w:szCs w:val="17"/>
                <w:color w:val="auto"/>
                <w:w w:val="93"/>
              </w:rPr>
              <w:t>—</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281,201</w:t>
            </w:r>
          </w:p>
        </w:tc>
        <w:tc>
          <w:tcPr>
            <w:tcW w:w="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4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Restricted cash (money market funds)</w:t>
            </w:r>
          </w:p>
        </w:tc>
        <w:tc>
          <w:tcPr>
            <w:tcW w:w="9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Level I</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917</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ind w:left="64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917</w:t>
            </w:r>
          </w:p>
        </w:tc>
        <w:tc>
          <w:tcPr>
            <w:tcW w:w="80" w:type="dxa"/>
            <w:vAlign w:val="bottom"/>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420" w:type="dxa"/>
            <w:vAlign w:val="bottom"/>
            <w:tcBorders>
              <w:bottom w:val="single" w:sz="8" w:color="CFF0FC"/>
            </w:tcBorders>
          </w:tcPr>
          <w:p>
            <w:pPr>
              <w:ind w:left="100"/>
              <w:spacing w:after="0"/>
              <w:rPr>
                <w:sz w:val="20"/>
                <w:szCs w:val="20"/>
                <w:color w:val="auto"/>
              </w:rPr>
            </w:pPr>
            <w:r>
              <w:rPr>
                <w:rFonts w:ascii="Arial" w:cs="Arial" w:eastAsia="Arial" w:hAnsi="Arial"/>
                <w:sz w:val="17"/>
                <w:szCs w:val="17"/>
                <w:color w:val="auto"/>
              </w:rPr>
              <w:t>U.S. Government bonds</w:t>
            </w:r>
          </w:p>
        </w:tc>
        <w:tc>
          <w:tcPr>
            <w:tcW w:w="920" w:type="dxa"/>
            <w:vAlign w:val="bottom"/>
            <w:tcBorders>
              <w:bottom w:val="single" w:sz="8" w:color="CFF0FC"/>
            </w:tcBorders>
          </w:tcPr>
          <w:p>
            <w:pPr>
              <w:jc w:val="center"/>
              <w:spacing w:after="0"/>
              <w:rPr>
                <w:sz w:val="20"/>
                <w:szCs w:val="20"/>
                <w:color w:val="auto"/>
              </w:rPr>
            </w:pPr>
            <w:r>
              <w:rPr>
                <w:rFonts w:ascii="Arial" w:cs="Arial" w:eastAsia="Arial" w:hAnsi="Arial"/>
                <w:sz w:val="17"/>
                <w:szCs w:val="17"/>
                <w:color w:val="auto"/>
                <w:w w:val="95"/>
              </w:rPr>
              <w:t>Level I</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64,120</w:t>
            </w:r>
          </w:p>
        </w:tc>
        <w:tc>
          <w:tcPr>
            <w:tcW w:w="2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w w:val="93"/>
              </w:rPr>
              <w:t>—</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64,130</w:t>
            </w:r>
          </w:p>
        </w:tc>
        <w:tc>
          <w:tcPr>
            <w:tcW w:w="80" w:type="dxa"/>
            <w:vAlign w:val="bottom"/>
            <w:tcBorders>
              <w:bottom w:val="single" w:sz="8" w:color="CFF0FC"/>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4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7"/>
                <w:szCs w:val="17"/>
                <w:color w:val="auto"/>
              </w:rPr>
              <w:t>Total securities</w:t>
            </w:r>
          </w:p>
        </w:tc>
        <w:tc>
          <w:tcPr>
            <w:tcW w:w="9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346,238</w:t>
            </w:r>
          </w:p>
        </w:tc>
        <w:tc>
          <w:tcPr>
            <w:tcW w:w="2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617"/>
              <w:spacing w:after="0"/>
              <w:rPr>
                <w:sz w:val="20"/>
                <w:szCs w:val="20"/>
                <w:color w:val="auto"/>
              </w:rPr>
            </w:pPr>
            <w:r>
              <w:rPr>
                <w:rFonts w:ascii="Arial" w:cs="Arial" w:eastAsia="Arial" w:hAnsi="Arial"/>
                <w:sz w:val="10"/>
                <w:szCs w:val="10"/>
                <w:color w:val="auto"/>
                <w:w w:val="71"/>
              </w:rPr>
              <w:t>$</w:t>
            </w: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7"/>
                <w:szCs w:val="17"/>
                <w:color w:val="auto"/>
                <w:w w:val="93"/>
              </w:rPr>
              <w:t>—</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346,248</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0"/>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center"/>
              <w:ind w:left="3"/>
              <w:spacing w:after="0"/>
              <w:rPr>
                <w:sz w:val="20"/>
                <w:szCs w:val="20"/>
                <w:color w:val="auto"/>
              </w:rPr>
            </w:pPr>
            <w:r>
              <w:rPr>
                <w:rFonts w:ascii="Arial" w:cs="Arial" w:eastAsia="Arial" w:hAnsi="Arial"/>
                <w:sz w:val="13"/>
                <w:szCs w:val="13"/>
                <w:b w:val="1"/>
                <w:bCs w:val="1"/>
                <w:color w:val="auto"/>
                <w:w w:val="92"/>
              </w:rPr>
              <w:t>December 31, 2020</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21"/>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80"/>
              <w:spacing w:after="0" w:line="121" w:lineRule="exact"/>
              <w:rPr>
                <w:sz w:val="20"/>
                <w:szCs w:val="20"/>
                <w:color w:val="auto"/>
              </w:rPr>
            </w:pPr>
            <w:r>
              <w:rPr>
                <w:rFonts w:ascii="Arial" w:cs="Arial" w:eastAsia="Arial" w:hAnsi="Arial"/>
                <w:sz w:val="13"/>
                <w:szCs w:val="13"/>
                <w:b w:val="1"/>
                <w:bCs w:val="1"/>
                <w:color w:val="auto"/>
                <w:w w:val="85"/>
              </w:rPr>
              <w:t>Gross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66"/>
              <w:spacing w:after="0" w:line="121" w:lineRule="exact"/>
              <w:rPr>
                <w:sz w:val="20"/>
                <w:szCs w:val="20"/>
                <w:color w:val="auto"/>
              </w:rPr>
            </w:pPr>
            <w:r>
              <w:rPr>
                <w:rFonts w:ascii="Arial" w:cs="Arial" w:eastAsia="Arial" w:hAnsi="Arial"/>
                <w:sz w:val="13"/>
                <w:szCs w:val="13"/>
                <w:b w:val="1"/>
                <w:bCs w:val="1"/>
                <w:color w:val="auto"/>
                <w:w w:val="85"/>
              </w:rPr>
              <w:t>Gross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7"/>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center"/>
              <w:ind w:left="97"/>
              <w:spacing w:after="0" w:line="137" w:lineRule="exact"/>
              <w:rPr>
                <w:sz w:val="20"/>
                <w:szCs w:val="20"/>
                <w:color w:val="auto"/>
              </w:rPr>
            </w:pPr>
            <w:r>
              <w:rPr>
                <w:rFonts w:ascii="Arial" w:cs="Arial" w:eastAsia="Arial" w:hAnsi="Arial"/>
                <w:sz w:val="13"/>
                <w:szCs w:val="13"/>
                <w:b w:val="1"/>
                <w:bCs w:val="1"/>
                <w:color w:val="auto"/>
                <w:w w:val="90"/>
              </w:rPr>
              <w:t>Allowance</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60"/>
              <w:spacing w:after="0" w:line="137" w:lineRule="exact"/>
              <w:rPr>
                <w:sz w:val="20"/>
                <w:szCs w:val="20"/>
                <w:color w:val="auto"/>
              </w:rPr>
            </w:pPr>
            <w:r>
              <w:rPr>
                <w:rFonts w:ascii="Arial" w:cs="Arial" w:eastAsia="Arial" w:hAnsi="Arial"/>
                <w:sz w:val="13"/>
                <w:szCs w:val="13"/>
                <w:b w:val="1"/>
                <w:bCs w:val="1"/>
                <w:color w:val="auto"/>
                <w:w w:val="94"/>
              </w:rPr>
              <w:t>Unrealized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66"/>
              <w:spacing w:after="0" w:line="137" w:lineRule="exact"/>
              <w:rPr>
                <w:sz w:val="20"/>
                <w:szCs w:val="20"/>
                <w:color w:val="auto"/>
              </w:rPr>
            </w:pPr>
            <w:r>
              <w:rPr>
                <w:rFonts w:ascii="Arial" w:cs="Arial" w:eastAsia="Arial" w:hAnsi="Arial"/>
                <w:sz w:val="13"/>
                <w:szCs w:val="13"/>
                <w:b w:val="1"/>
                <w:bCs w:val="1"/>
                <w:color w:val="auto"/>
                <w:w w:val="91"/>
              </w:rPr>
              <w:t>Unrealized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7"/>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92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2"/>
              </w:rPr>
              <w:t>Valuation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63"/>
              <w:spacing w:after="0" w:line="137" w:lineRule="exact"/>
              <w:rPr>
                <w:sz w:val="20"/>
                <w:szCs w:val="20"/>
                <w:color w:val="auto"/>
              </w:rPr>
            </w:pPr>
            <w:r>
              <w:rPr>
                <w:rFonts w:ascii="Arial" w:cs="Arial" w:eastAsia="Arial" w:hAnsi="Arial"/>
                <w:sz w:val="13"/>
                <w:szCs w:val="13"/>
                <w:b w:val="1"/>
                <w:bCs w:val="1"/>
                <w:color w:val="auto"/>
                <w:w w:val="94"/>
              </w:rPr>
              <w:t>Amortized</w:t>
            </w:r>
          </w:p>
        </w:tc>
        <w:tc>
          <w:tcPr>
            <w:tcW w:w="220" w:type="dxa"/>
            <w:vAlign w:val="bottom"/>
          </w:tcPr>
          <w:p>
            <w:pPr>
              <w:spacing w:after="0"/>
              <w:rPr>
                <w:sz w:val="11"/>
                <w:szCs w:val="11"/>
                <w:color w:val="auto"/>
              </w:rPr>
            </w:pPr>
          </w:p>
        </w:tc>
        <w:tc>
          <w:tcPr>
            <w:tcW w:w="740" w:type="dxa"/>
            <w:vAlign w:val="bottom"/>
          </w:tcPr>
          <w:p>
            <w:pPr>
              <w:jc w:val="center"/>
              <w:ind w:left="97"/>
              <w:spacing w:after="0" w:line="137" w:lineRule="exact"/>
              <w:rPr>
                <w:sz w:val="20"/>
                <w:szCs w:val="20"/>
                <w:color w:val="auto"/>
              </w:rPr>
            </w:pPr>
            <w:r>
              <w:rPr>
                <w:rFonts w:ascii="Arial" w:cs="Arial" w:eastAsia="Arial" w:hAnsi="Arial"/>
                <w:sz w:val="13"/>
                <w:szCs w:val="13"/>
                <w:b w:val="1"/>
                <w:bCs w:val="1"/>
                <w:color w:val="auto"/>
                <w:w w:val="99"/>
              </w:rPr>
              <w:t>for Credit</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60"/>
              <w:spacing w:after="0" w:line="137" w:lineRule="exact"/>
              <w:rPr>
                <w:sz w:val="20"/>
                <w:szCs w:val="20"/>
                <w:color w:val="auto"/>
              </w:rPr>
            </w:pPr>
            <w:r>
              <w:rPr>
                <w:rFonts w:ascii="Arial" w:cs="Arial" w:eastAsia="Arial" w:hAnsi="Arial"/>
                <w:sz w:val="13"/>
                <w:szCs w:val="13"/>
                <w:b w:val="1"/>
                <w:bCs w:val="1"/>
                <w:color w:val="auto"/>
                <w:w w:val="94"/>
              </w:rPr>
              <w:t>Holding</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66"/>
              <w:spacing w:after="0" w:line="137" w:lineRule="exact"/>
              <w:rPr>
                <w:sz w:val="20"/>
                <w:szCs w:val="20"/>
                <w:color w:val="auto"/>
              </w:rPr>
            </w:pPr>
            <w:r>
              <w:rPr>
                <w:rFonts w:ascii="Arial" w:cs="Arial" w:eastAsia="Arial" w:hAnsi="Arial"/>
                <w:sz w:val="13"/>
                <w:szCs w:val="13"/>
                <w:b w:val="1"/>
                <w:bCs w:val="1"/>
                <w:color w:val="auto"/>
                <w:w w:val="90"/>
              </w:rPr>
              <w:t>Holding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ind w:left="60"/>
              <w:spacing w:after="0" w:line="137" w:lineRule="exact"/>
              <w:rPr>
                <w:sz w:val="20"/>
                <w:szCs w:val="20"/>
                <w:color w:val="auto"/>
              </w:rPr>
            </w:pPr>
            <w:r>
              <w:rPr>
                <w:rFonts w:ascii="Arial" w:cs="Arial" w:eastAsia="Arial" w:hAnsi="Arial"/>
                <w:sz w:val="13"/>
                <w:szCs w:val="13"/>
                <w:b w:val="1"/>
                <w:bCs w:val="1"/>
                <w:color w:val="auto"/>
              </w:rPr>
              <w:t>Aggregate</w:t>
            </w:r>
          </w:p>
        </w:tc>
      </w:tr>
      <w:tr>
        <w:trPr>
          <w:trHeight w:val="157"/>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6"/>
              </w:rPr>
              <w:t>Hierarchy</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63"/>
              <w:spacing w:after="0"/>
              <w:rPr>
                <w:sz w:val="20"/>
                <w:szCs w:val="20"/>
                <w:color w:val="auto"/>
              </w:rPr>
            </w:pPr>
            <w:r>
              <w:rPr>
                <w:rFonts w:ascii="Arial" w:cs="Arial" w:eastAsia="Arial" w:hAnsi="Arial"/>
                <w:sz w:val="13"/>
                <w:szCs w:val="13"/>
                <w:b w:val="1"/>
                <w:bCs w:val="1"/>
                <w:color w:val="auto"/>
                <w:w w:val="82"/>
              </w:rPr>
              <w:t>Cost</w:t>
            </w:r>
          </w:p>
        </w:tc>
        <w:tc>
          <w:tcPr>
            <w:tcW w:w="220" w:type="dxa"/>
            <w:vAlign w:val="bottom"/>
          </w:tcPr>
          <w:p>
            <w:pPr>
              <w:spacing w:after="0"/>
              <w:rPr>
                <w:sz w:val="13"/>
                <w:szCs w:val="13"/>
                <w:color w:val="auto"/>
              </w:rPr>
            </w:pPr>
          </w:p>
        </w:tc>
        <w:tc>
          <w:tcPr>
            <w:tcW w:w="740" w:type="dxa"/>
            <w:vAlign w:val="bottom"/>
          </w:tcPr>
          <w:p>
            <w:pPr>
              <w:jc w:val="center"/>
              <w:ind w:left="97"/>
              <w:spacing w:after="0"/>
              <w:rPr>
                <w:sz w:val="20"/>
                <w:szCs w:val="20"/>
                <w:color w:val="auto"/>
              </w:rPr>
            </w:pPr>
            <w:r>
              <w:rPr>
                <w:rFonts w:ascii="Arial" w:cs="Arial" w:eastAsia="Arial" w:hAnsi="Arial"/>
                <w:sz w:val="13"/>
                <w:szCs w:val="13"/>
                <w:b w:val="1"/>
                <w:bCs w:val="1"/>
                <w:color w:val="auto"/>
                <w:w w:val="84"/>
              </w:rPr>
              <w:t>Losses</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Gains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66"/>
              <w:spacing w:after="0"/>
              <w:rPr>
                <w:sz w:val="20"/>
                <w:szCs w:val="20"/>
                <w:color w:val="auto"/>
              </w:rPr>
            </w:pPr>
            <w:r>
              <w:rPr>
                <w:rFonts w:ascii="Arial" w:cs="Arial" w:eastAsia="Arial" w:hAnsi="Arial"/>
                <w:sz w:val="13"/>
                <w:szCs w:val="13"/>
                <w:b w:val="1"/>
                <w:bCs w:val="1"/>
                <w:color w:val="auto"/>
                <w:w w:val="80"/>
              </w:rPr>
              <w:t>Losses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Fair Value</w:t>
            </w:r>
          </w:p>
        </w:tc>
      </w:tr>
      <w:tr>
        <w:trPr>
          <w:trHeight w:val="141"/>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ind w:right="120"/>
              <w:spacing w:after="0" w:line="142" w:lineRule="exact"/>
              <w:rPr>
                <w:sz w:val="20"/>
                <w:szCs w:val="20"/>
                <w:color w:val="auto"/>
              </w:rPr>
            </w:pPr>
            <w:r>
              <w:rPr>
                <w:rFonts w:ascii="Arial" w:cs="Arial" w:eastAsia="Arial" w:hAnsi="Arial"/>
                <w:sz w:val="13"/>
                <w:szCs w:val="13"/>
                <w:b w:val="1"/>
                <w:bCs w:val="1"/>
                <w:color w:val="auto"/>
                <w:w w:val="89"/>
              </w:rPr>
              <w:t>(in thousands)</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1"/>
        </w:trPr>
        <w:tc>
          <w:tcPr>
            <w:tcW w:w="2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420" w:type="dxa"/>
            <w:vAlign w:val="bottom"/>
          </w:tcPr>
          <w:p>
            <w:pPr>
              <w:ind w:left="100"/>
              <w:spacing w:after="0"/>
              <w:rPr>
                <w:sz w:val="20"/>
                <w:szCs w:val="20"/>
                <w:color w:val="auto"/>
              </w:rPr>
            </w:pPr>
            <w:r>
              <w:rPr>
                <w:rFonts w:ascii="Arial" w:cs="Arial" w:eastAsia="Arial" w:hAnsi="Arial"/>
                <w:sz w:val="17"/>
                <w:szCs w:val="17"/>
                <w:color w:val="auto"/>
              </w:rPr>
              <w:t>Money market funds</w:t>
            </w:r>
          </w:p>
        </w:tc>
        <w:tc>
          <w:tcPr>
            <w:tcW w:w="920" w:type="dxa"/>
            <w:vAlign w:val="bottom"/>
          </w:tcPr>
          <w:p>
            <w:pPr>
              <w:jc w:val="center"/>
              <w:spacing w:after="0"/>
              <w:rPr>
                <w:sz w:val="20"/>
                <w:szCs w:val="20"/>
                <w:color w:val="auto"/>
              </w:rPr>
            </w:pPr>
            <w:r>
              <w:rPr>
                <w:rFonts w:ascii="Arial" w:cs="Arial" w:eastAsia="Arial" w:hAnsi="Arial"/>
                <w:sz w:val="17"/>
                <w:szCs w:val="17"/>
                <w:color w:val="auto"/>
                <w:w w:val="95"/>
              </w:rPr>
              <w:t>Level I</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131,121</w:t>
            </w:r>
          </w:p>
        </w:tc>
        <w:tc>
          <w:tcPr>
            <w:tcW w:w="960" w:type="dxa"/>
            <w:vAlign w:val="bottom"/>
            <w:gridSpan w:val="2"/>
          </w:tcPr>
          <w:p>
            <w:pPr>
              <w:jc w:val="right"/>
              <w:ind w:right="617"/>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ind w:left="640"/>
              <w:spacing w:after="0"/>
              <w:rPr>
                <w:sz w:val="20"/>
                <w:szCs w:val="20"/>
                <w:color w:val="auto"/>
              </w:rPr>
            </w:pPr>
            <w:r>
              <w:rPr>
                <w:rFonts w:ascii="Arial" w:cs="Arial" w:eastAsia="Arial" w:hAnsi="Arial"/>
                <w:sz w:val="17"/>
                <w:szCs w:val="17"/>
                <w:color w:val="auto"/>
                <w:w w:val="93"/>
              </w:rPr>
              <w:t>—</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131,121</w:t>
            </w:r>
          </w:p>
        </w:tc>
        <w:tc>
          <w:tcPr>
            <w:tcW w:w="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4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Restricted cash (money market funds)</w:t>
            </w:r>
          </w:p>
        </w:tc>
        <w:tc>
          <w:tcPr>
            <w:tcW w:w="9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Level I</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917</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ind w:left="64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917</w:t>
            </w:r>
          </w:p>
        </w:tc>
        <w:tc>
          <w:tcPr>
            <w:tcW w:w="80" w:type="dxa"/>
            <w:vAlign w:val="bottom"/>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420" w:type="dxa"/>
            <w:vAlign w:val="bottom"/>
            <w:tcBorders>
              <w:bottom w:val="single" w:sz="8" w:color="CFF0FC"/>
            </w:tcBorders>
          </w:tcPr>
          <w:p>
            <w:pPr>
              <w:ind w:left="100"/>
              <w:spacing w:after="0"/>
              <w:rPr>
                <w:sz w:val="20"/>
                <w:szCs w:val="20"/>
                <w:color w:val="auto"/>
              </w:rPr>
            </w:pPr>
            <w:r>
              <w:rPr>
                <w:rFonts w:ascii="Arial" w:cs="Arial" w:eastAsia="Arial" w:hAnsi="Arial"/>
                <w:sz w:val="17"/>
                <w:szCs w:val="17"/>
                <w:color w:val="auto"/>
              </w:rPr>
              <w:t>U.S. Government bonds</w:t>
            </w:r>
          </w:p>
        </w:tc>
        <w:tc>
          <w:tcPr>
            <w:tcW w:w="920" w:type="dxa"/>
            <w:vAlign w:val="bottom"/>
            <w:tcBorders>
              <w:bottom w:val="single" w:sz="8" w:color="CFF0FC"/>
            </w:tcBorders>
          </w:tcPr>
          <w:p>
            <w:pPr>
              <w:jc w:val="center"/>
              <w:spacing w:after="0"/>
              <w:rPr>
                <w:sz w:val="20"/>
                <w:szCs w:val="20"/>
                <w:color w:val="auto"/>
              </w:rPr>
            </w:pPr>
            <w:r>
              <w:rPr>
                <w:rFonts w:ascii="Arial" w:cs="Arial" w:eastAsia="Arial" w:hAnsi="Arial"/>
                <w:sz w:val="17"/>
                <w:szCs w:val="17"/>
                <w:color w:val="auto"/>
                <w:w w:val="95"/>
              </w:rPr>
              <w:t>Level I</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124,254</w:t>
            </w:r>
          </w:p>
        </w:tc>
        <w:tc>
          <w:tcPr>
            <w:tcW w:w="2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w w:val="93"/>
              </w:rPr>
              <w:t>—</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124,260</w:t>
            </w:r>
          </w:p>
        </w:tc>
        <w:tc>
          <w:tcPr>
            <w:tcW w:w="80" w:type="dxa"/>
            <w:vAlign w:val="bottom"/>
            <w:tcBorders>
              <w:bottom w:val="single" w:sz="8" w:color="CFF0FC"/>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4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7"/>
                <w:szCs w:val="17"/>
                <w:color w:val="auto"/>
              </w:rPr>
              <w:t>Total securities</w:t>
            </w:r>
          </w:p>
        </w:tc>
        <w:tc>
          <w:tcPr>
            <w:tcW w:w="9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256,292</w:t>
            </w:r>
          </w:p>
        </w:tc>
        <w:tc>
          <w:tcPr>
            <w:tcW w:w="2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617"/>
              <w:spacing w:after="0"/>
              <w:rPr>
                <w:sz w:val="20"/>
                <w:szCs w:val="20"/>
                <w:color w:val="auto"/>
              </w:rPr>
            </w:pPr>
            <w:r>
              <w:rPr>
                <w:rFonts w:ascii="Arial" w:cs="Arial" w:eastAsia="Arial" w:hAnsi="Arial"/>
                <w:sz w:val="10"/>
                <w:szCs w:val="10"/>
                <w:color w:val="auto"/>
                <w:w w:val="71"/>
              </w:rPr>
              <w:t>$</w:t>
            </w: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7"/>
                <w:szCs w:val="17"/>
                <w:color w:val="auto"/>
                <w:w w:val="93"/>
              </w:rPr>
              <w:t>—</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256,298</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No securities have contractual maturities of greater than twelve months.</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Accrued Liabilities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Accrued liabilities consisted of the following:</w:t>
      </w:r>
    </w:p>
    <w:p>
      <w:pPr>
        <w:spacing w:after="0" w:line="269" w:lineRule="exact"/>
        <w:rPr>
          <w:sz w:val="20"/>
          <w:szCs w:val="20"/>
          <w:color w:val="auto"/>
        </w:rPr>
      </w:pPr>
    </w:p>
    <w:tbl>
      <w:tblPr>
        <w:tblLayout w:type="fixed"/>
        <w:tblInd w:w="1680" w:type="dxa"/>
        <w:tblCellMar>
          <w:top w:w="0" w:type="dxa"/>
          <w:left w:w="0" w:type="dxa"/>
          <w:bottom w:w="0" w:type="dxa"/>
          <w:right w:w="0" w:type="dxa"/>
        </w:tblCellMar>
      </w:tblPr>
      <w:tr>
        <w:trPr>
          <w:trHeight w:val="157"/>
        </w:trPr>
        <w:tc>
          <w:tcPr>
            <w:tcW w:w="5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Arial" w:cs="Arial" w:eastAsia="Arial" w:hAnsi="Arial"/>
                <w:sz w:val="13"/>
                <w:szCs w:val="13"/>
                <w:b w:val="1"/>
                <w:bCs w:val="1"/>
                <w:color w:val="auto"/>
              </w:rPr>
              <w:t>March 31,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w:t>
            </w:r>
          </w:p>
        </w:tc>
      </w:tr>
      <w:tr>
        <w:trPr>
          <w:trHeight w:val="141"/>
        </w:trPr>
        <w:tc>
          <w:tcPr>
            <w:tcW w:w="54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43"/>
              <w:spacing w:after="0" w:line="142"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41"/>
              <w:spacing w:after="0" w:line="142" w:lineRule="exact"/>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2"/>
                <w:szCs w:val="12"/>
                <w:color w:val="auto"/>
              </w:rPr>
            </w:pPr>
          </w:p>
        </w:tc>
      </w:tr>
      <w:tr>
        <w:trPr>
          <w:trHeight w:val="141"/>
        </w:trPr>
        <w:tc>
          <w:tcPr>
            <w:tcW w:w="5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gridSpan w:val="5"/>
          </w:tcPr>
          <w:p>
            <w:pPr>
              <w:jc w:val="right"/>
              <w:ind w:right="721"/>
              <w:spacing w:after="0" w:line="142" w:lineRule="exact"/>
              <w:rPr>
                <w:sz w:val="20"/>
                <w:szCs w:val="20"/>
                <w:color w:val="auto"/>
              </w:rPr>
            </w:pPr>
            <w:r>
              <w:rPr>
                <w:rFonts w:ascii="Arial" w:cs="Arial" w:eastAsia="Arial" w:hAnsi="Arial"/>
                <w:sz w:val="13"/>
                <w:szCs w:val="13"/>
                <w:b w:val="1"/>
                <w:bCs w:val="1"/>
                <w:color w:val="auto"/>
              </w:rPr>
              <w:t>(in thousands)</w:t>
            </w:r>
          </w:p>
        </w:tc>
        <w:tc>
          <w:tcPr>
            <w:tcW w:w="80" w:type="dxa"/>
            <w:vAlign w:val="bottom"/>
          </w:tcPr>
          <w:p>
            <w:pPr>
              <w:spacing w:after="0"/>
              <w:rPr>
                <w:sz w:val="12"/>
                <w:szCs w:val="12"/>
                <w:color w:val="auto"/>
              </w:rPr>
            </w:pPr>
          </w:p>
        </w:tc>
      </w:tr>
      <w:tr>
        <w:trPr>
          <w:trHeight w:val="203"/>
        </w:trPr>
        <w:tc>
          <w:tcPr>
            <w:tcW w:w="5400" w:type="dxa"/>
            <w:vAlign w:val="bottom"/>
            <w:tcBorders>
              <w:top w:val="single" w:sz="8" w:color="CFF0FC"/>
            </w:tcBorders>
            <w:shd w:val="clear" w:color="auto" w:fill="CFF0FC"/>
          </w:tcPr>
          <w:p>
            <w:pPr>
              <w:spacing w:after="0" w:line="189" w:lineRule="exact"/>
              <w:rPr>
                <w:sz w:val="20"/>
                <w:szCs w:val="20"/>
                <w:color w:val="auto"/>
              </w:rPr>
            </w:pPr>
            <w:r>
              <w:rPr>
                <w:rFonts w:ascii="Arial" w:cs="Arial" w:eastAsia="Arial" w:hAnsi="Arial"/>
                <w:sz w:val="17"/>
                <w:szCs w:val="17"/>
                <w:color w:val="auto"/>
              </w:rPr>
              <w:t>Research and clinical expenses</w:t>
            </w:r>
          </w:p>
        </w:tc>
        <w:tc>
          <w:tcPr>
            <w:tcW w:w="160" w:type="dxa"/>
            <w:vAlign w:val="bottom"/>
            <w:tcBorders>
              <w:top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8,486</w:t>
            </w:r>
          </w:p>
        </w:tc>
        <w:tc>
          <w:tcPr>
            <w:tcW w:w="2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10,092</w:t>
            </w:r>
          </w:p>
        </w:tc>
        <w:tc>
          <w:tcPr>
            <w:tcW w:w="80" w:type="dxa"/>
            <w:vAlign w:val="bottom"/>
            <w:tcBorders>
              <w:top w:val="single" w:sz="8" w:color="CFF0FC"/>
            </w:tcBorders>
            <w:shd w:val="clear" w:color="auto" w:fill="CFF0FC"/>
          </w:tcPr>
          <w:p>
            <w:pPr>
              <w:spacing w:after="0"/>
              <w:rPr>
                <w:sz w:val="17"/>
                <w:szCs w:val="17"/>
                <w:color w:val="auto"/>
              </w:rPr>
            </w:pPr>
          </w:p>
        </w:tc>
      </w:tr>
      <w:tr>
        <w:trPr>
          <w:trHeight w:val="210"/>
        </w:trPr>
        <w:tc>
          <w:tcPr>
            <w:tcW w:w="5400" w:type="dxa"/>
            <w:vAlign w:val="bottom"/>
          </w:tcPr>
          <w:p>
            <w:pPr>
              <w:spacing w:after="0"/>
              <w:rPr>
                <w:sz w:val="20"/>
                <w:szCs w:val="20"/>
                <w:color w:val="auto"/>
              </w:rPr>
            </w:pPr>
            <w:r>
              <w:rPr>
                <w:rFonts w:ascii="Arial" w:cs="Arial" w:eastAsia="Arial" w:hAnsi="Arial"/>
                <w:sz w:val="17"/>
                <w:szCs w:val="17"/>
                <w:color w:val="auto"/>
              </w:rPr>
              <w:t>Payroll and related expenses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5,043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8,362</w:t>
            </w:r>
          </w:p>
        </w:tc>
        <w:tc>
          <w:tcPr>
            <w:tcW w:w="80" w:type="dxa"/>
            <w:vAlign w:val="bottom"/>
          </w:tcPr>
          <w:p>
            <w:pPr>
              <w:spacing w:after="0"/>
              <w:rPr>
                <w:sz w:val="18"/>
                <w:szCs w:val="18"/>
                <w:color w:val="auto"/>
              </w:rPr>
            </w:pPr>
          </w:p>
        </w:tc>
      </w:tr>
      <w:tr>
        <w:trPr>
          <w:trHeight w:val="212"/>
        </w:trPr>
        <w:tc>
          <w:tcPr>
            <w:tcW w:w="5400" w:type="dxa"/>
            <w:vAlign w:val="bottom"/>
            <w:shd w:val="clear" w:color="auto" w:fill="CFF0FC"/>
          </w:tcPr>
          <w:p>
            <w:pPr>
              <w:spacing w:after="0"/>
              <w:rPr>
                <w:sz w:val="20"/>
                <w:szCs w:val="20"/>
                <w:color w:val="auto"/>
              </w:rPr>
            </w:pPr>
            <w:r>
              <w:rPr>
                <w:rFonts w:ascii="Arial" w:cs="Arial" w:eastAsia="Arial" w:hAnsi="Arial"/>
                <w:sz w:val="17"/>
                <w:szCs w:val="17"/>
                <w:color w:val="auto"/>
              </w:rPr>
              <w:t>Legal and professional expenses</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1,189</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815</w:t>
            </w:r>
          </w:p>
        </w:tc>
        <w:tc>
          <w:tcPr>
            <w:tcW w:w="80" w:type="dxa"/>
            <w:vAlign w:val="bottom"/>
            <w:shd w:val="clear" w:color="auto" w:fill="CFF0FC"/>
          </w:tcPr>
          <w:p>
            <w:pPr>
              <w:spacing w:after="0"/>
              <w:rPr>
                <w:sz w:val="18"/>
                <w:szCs w:val="18"/>
                <w:color w:val="auto"/>
              </w:rPr>
            </w:pPr>
          </w:p>
        </w:tc>
      </w:tr>
      <w:tr>
        <w:trPr>
          <w:trHeight w:val="210"/>
        </w:trPr>
        <w:tc>
          <w:tcPr>
            <w:tcW w:w="5400" w:type="dxa"/>
            <w:vAlign w:val="bottom"/>
          </w:tcPr>
          <w:p>
            <w:pPr>
              <w:spacing w:after="0"/>
              <w:rPr>
                <w:sz w:val="20"/>
                <w:szCs w:val="20"/>
                <w:color w:val="auto"/>
              </w:rPr>
            </w:pPr>
            <w:r>
              <w:rPr>
                <w:rFonts w:ascii="Arial" w:cs="Arial" w:eastAsia="Arial" w:hAnsi="Arial"/>
                <w:sz w:val="17"/>
                <w:szCs w:val="17"/>
                <w:color w:val="auto"/>
              </w:rPr>
              <w:t>Operating lease liabilities - short term</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3,297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3,195</w:t>
            </w:r>
          </w:p>
        </w:tc>
        <w:tc>
          <w:tcPr>
            <w:tcW w:w="80" w:type="dxa"/>
            <w:vAlign w:val="bottom"/>
          </w:tcPr>
          <w:p>
            <w:pPr>
              <w:spacing w:after="0"/>
              <w:rPr>
                <w:sz w:val="18"/>
                <w:szCs w:val="18"/>
                <w:color w:val="auto"/>
              </w:rPr>
            </w:pPr>
          </w:p>
        </w:tc>
      </w:tr>
      <w:tr>
        <w:trPr>
          <w:trHeight w:val="212"/>
        </w:trPr>
        <w:tc>
          <w:tcPr>
            <w:tcW w:w="5400" w:type="dxa"/>
            <w:vAlign w:val="bottom"/>
            <w:shd w:val="clear" w:color="auto" w:fill="CFF0FC"/>
          </w:tcPr>
          <w:p>
            <w:pPr>
              <w:spacing w:after="0"/>
              <w:rPr>
                <w:sz w:val="20"/>
                <w:szCs w:val="20"/>
                <w:color w:val="auto"/>
              </w:rPr>
            </w:pPr>
            <w:r>
              <w:rPr>
                <w:rFonts w:ascii="Arial" w:cs="Arial" w:eastAsia="Arial" w:hAnsi="Arial"/>
                <w:sz w:val="17"/>
                <w:szCs w:val="17"/>
                <w:color w:val="auto"/>
              </w:rPr>
              <w:t>Other accrued expenses</w:t>
            </w: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816</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595</w:t>
            </w:r>
          </w:p>
        </w:tc>
        <w:tc>
          <w:tcPr>
            <w:tcW w:w="80" w:type="dxa"/>
            <w:vAlign w:val="bottom"/>
            <w:shd w:val="clear" w:color="auto" w:fill="CFF0FC"/>
          </w:tcPr>
          <w:p>
            <w:pPr>
              <w:spacing w:after="0"/>
              <w:rPr>
                <w:sz w:val="18"/>
                <w:szCs w:val="18"/>
                <w:color w:val="auto"/>
              </w:rPr>
            </w:pPr>
          </w:p>
        </w:tc>
      </w:tr>
      <w:tr>
        <w:trPr>
          <w:trHeight w:val="203"/>
        </w:trPr>
        <w:tc>
          <w:tcPr>
            <w:tcW w:w="5400" w:type="dxa"/>
            <w:vAlign w:val="bottom"/>
          </w:tcPr>
          <w:p>
            <w:pPr>
              <w:ind w:left="24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18,831</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23,059</w:t>
            </w:r>
          </w:p>
        </w:tc>
        <w:tc>
          <w:tcPr>
            <w:tcW w:w="80" w:type="dxa"/>
            <w:vAlign w:val="bottom"/>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Research and Collaboration Agreements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revenue by collaboration partners:</w:t>
      </w:r>
    </w:p>
    <w:p>
      <w:pPr>
        <w:spacing w:after="0" w:line="207" w:lineRule="exact"/>
        <w:rPr>
          <w:sz w:val="20"/>
          <w:szCs w:val="20"/>
          <w:color w:val="auto"/>
        </w:rPr>
      </w:pPr>
    </w:p>
    <w:p>
      <w:pPr>
        <w:jc w:val="center"/>
        <w:ind w:left="5320"/>
        <w:spacing w:after="0"/>
        <w:rPr>
          <w:sz w:val="20"/>
          <w:szCs w:val="20"/>
          <w:color w:val="auto"/>
        </w:rPr>
      </w:pPr>
      <w:r>
        <w:rPr>
          <w:rFonts w:ascii="Arial" w:cs="Arial" w:eastAsia="Arial" w:hAnsi="Arial"/>
          <w:sz w:val="13"/>
          <w:szCs w:val="13"/>
          <w:b w:val="1"/>
          <w:bCs w:val="1"/>
          <w:color w:val="auto"/>
        </w:rPr>
        <w:t>Three Months Ended</w:t>
      </w:r>
    </w:p>
    <w:p>
      <w:pPr>
        <w:jc w:val="center"/>
        <w:ind w:left="5320"/>
        <w:spacing w:after="0" w:line="230" w:lineRule="auto"/>
        <w:rPr>
          <w:sz w:val="20"/>
          <w:szCs w:val="20"/>
          <w:color w:val="auto"/>
        </w:rPr>
      </w:pPr>
      <w:r>
        <w:rPr>
          <w:rFonts w:ascii="Arial" w:cs="Arial" w:eastAsia="Arial" w:hAnsi="Arial"/>
          <w:sz w:val="13"/>
          <w:szCs w:val="13"/>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6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42"/>
              <w:spacing w:after="0" w:line="142"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40"/>
              <w:spacing w:after="0" w:line="142" w:lineRule="exact"/>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6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3"/>
          </w:tcPr>
          <w:p>
            <w:pPr>
              <w:jc w:val="right"/>
              <w:spacing w:after="0" w:line="142" w:lineRule="exact"/>
              <w:rPr>
                <w:sz w:val="20"/>
                <w:szCs w:val="20"/>
                <w:color w:val="auto"/>
              </w:rPr>
            </w:pPr>
            <w:r>
              <w:rPr>
                <w:rFonts w:ascii="Arial" w:cs="Arial" w:eastAsia="Arial" w:hAnsi="Arial"/>
                <w:sz w:val="13"/>
                <w:szCs w:val="13"/>
                <w:b w:val="1"/>
                <w:bCs w:val="1"/>
                <w:color w:val="auto"/>
              </w:rPr>
              <w:t>(in thousands)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680" w:type="dxa"/>
            <w:vAlign w:val="bottom"/>
          </w:tcPr>
          <w:p>
            <w:pPr>
              <w:spacing w:after="0"/>
              <w:rPr>
                <w:sz w:val="18"/>
                <w:szCs w:val="18"/>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7"/>
                <w:szCs w:val="17"/>
                <w:color w:val="auto"/>
              </w:rPr>
              <w:t>AbbVie</w:t>
            </w:r>
          </w:p>
        </w:tc>
        <w:tc>
          <w:tcPr>
            <w:tcW w:w="3020" w:type="dxa"/>
            <w:vAlign w:val="bottom"/>
            <w:gridSpan w:val="2"/>
            <w:shd w:val="clear" w:color="auto" w:fill="CFF0FC"/>
          </w:tcPr>
          <w:p>
            <w:pPr>
              <w:jc w:val="right"/>
              <w:ind w:right="88"/>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1,228</w:t>
            </w:r>
          </w:p>
        </w:tc>
        <w:tc>
          <w:tcPr>
            <w:tcW w:w="540" w:type="dxa"/>
            <w:vAlign w:val="bottom"/>
            <w:gridSpan w:val="2"/>
            <w:shd w:val="clear" w:color="auto" w:fill="CFF0FC"/>
          </w:tcPr>
          <w:p>
            <w:pPr>
              <w:jc w:val="right"/>
              <w:ind w:right="188"/>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30,096</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7"/>
                <w:szCs w:val="17"/>
                <w:color w:val="auto"/>
              </w:rPr>
              <w:t>Amgen</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2,582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1,695</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80" w:type="dxa"/>
            <w:vAlign w:val="bottom"/>
          </w:tcPr>
          <w:p>
            <w:pPr>
              <w:spacing w:after="0"/>
              <w:rPr>
                <w:sz w:val="18"/>
                <w:szCs w:val="18"/>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7"/>
                <w:szCs w:val="17"/>
                <w:color w:val="auto"/>
              </w:rPr>
              <w:t>Astellas</w:t>
            </w:r>
          </w:p>
        </w:tc>
        <w:tc>
          <w:tcPr>
            <w:tcW w:w="2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4,756</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387</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tcPr>
          <w:p>
            <w:pPr>
              <w:spacing w:after="0"/>
              <w:rPr>
                <w:sz w:val="18"/>
                <w:szCs w:val="18"/>
                <w:color w:val="auto"/>
              </w:rPr>
            </w:pPr>
          </w:p>
        </w:tc>
        <w:tc>
          <w:tcPr>
            <w:tcW w:w="26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Bristol Myers Squibb</w:t>
            </w:r>
          </w:p>
        </w:tc>
        <w:tc>
          <w:tcPr>
            <w:tcW w:w="27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7,405</w:t>
            </w:r>
          </w:p>
        </w:tc>
        <w:tc>
          <w:tcPr>
            <w:tcW w:w="2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17,415</w:t>
            </w:r>
          </w:p>
        </w:tc>
        <w:tc>
          <w:tcPr>
            <w:tcW w:w="80" w:type="dxa"/>
            <w:vAlign w:val="bottom"/>
            <w:tcBorders>
              <w:bottom w:val="single" w:sz="8" w:color="CFF0FC"/>
            </w:tcBorders>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26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Total revenue</w:t>
            </w:r>
          </w:p>
        </w:tc>
        <w:tc>
          <w:tcPr>
            <w:tcW w:w="27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15,971</w:t>
            </w:r>
          </w:p>
        </w:tc>
        <w:tc>
          <w:tcPr>
            <w:tcW w:w="2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49,593</w:t>
            </w:r>
          </w:p>
        </w:tc>
        <w:tc>
          <w:tcPr>
            <w:tcW w:w="80" w:type="dxa"/>
            <w:vAlign w:val="bottom"/>
            <w:tcBorders>
              <w:bottom w:val="single" w:sz="8" w:color="CFF0FC"/>
            </w:tcBorders>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780" w:type="dxa"/>
            <w:vAlign w:val="bottom"/>
            <w:vMerge w:val="restart"/>
          </w:tcPr>
          <w:p>
            <w:pPr>
              <w:jc w:val="right"/>
              <w:ind w:right="1317"/>
              <w:spacing w:after="0"/>
              <w:rPr>
                <w:sz w:val="20"/>
                <w:szCs w:val="20"/>
                <w:color w:val="auto"/>
              </w:rPr>
            </w:pPr>
            <w:r>
              <w:rPr>
                <w:rFonts w:ascii="Arial" w:cs="Arial" w:eastAsia="Arial" w:hAnsi="Arial"/>
                <w:sz w:val="17"/>
                <w:szCs w:val="17"/>
                <w:color w:val="auto"/>
              </w:rPr>
              <w:t>14</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16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680" w:type="dxa"/>
            <w:vAlign w:val="bottom"/>
            <w:tcBorders>
              <w:bottom w:val="single" w:sz="8" w:color="9A9A9A"/>
            </w:tcBorders>
          </w:tcPr>
          <w:p>
            <w:pPr>
              <w:spacing w:after="0"/>
              <w:rPr>
                <w:sz w:val="9"/>
                <w:szCs w:val="9"/>
                <w:color w:val="auto"/>
              </w:rPr>
            </w:pPr>
          </w:p>
        </w:tc>
        <w:tc>
          <w:tcPr>
            <w:tcW w:w="2640" w:type="dxa"/>
            <w:vAlign w:val="bottom"/>
            <w:tcBorders>
              <w:bottom w:val="single" w:sz="8" w:color="9A9A9A"/>
            </w:tcBorders>
          </w:tcPr>
          <w:p>
            <w:pPr>
              <w:spacing w:after="0"/>
              <w:rPr>
                <w:sz w:val="9"/>
                <w:szCs w:val="9"/>
                <w:color w:val="auto"/>
              </w:rPr>
            </w:pPr>
          </w:p>
        </w:tc>
        <w:tc>
          <w:tcPr>
            <w:tcW w:w="27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i w:val="1"/>
          <w:iCs w:val="1"/>
          <w:color w:val="auto"/>
        </w:rPr>
        <w:t>AbbVie Ireland Unlimited Company</w:t>
      </w:r>
    </w:p>
    <w:p>
      <w:pPr>
        <w:spacing w:after="0" w:line="103" w:lineRule="exact"/>
        <w:rPr>
          <w:sz w:val="20"/>
          <w:szCs w:val="20"/>
          <w:color w:val="auto"/>
        </w:rPr>
      </w:pPr>
    </w:p>
    <w:p>
      <w:pPr>
        <w:spacing w:after="0" w:line="308" w:lineRule="auto"/>
        <w:rPr>
          <w:sz w:val="20"/>
          <w:szCs w:val="20"/>
          <w:color w:val="auto"/>
        </w:rPr>
      </w:pPr>
      <w:r>
        <w:rPr>
          <w:rFonts w:ascii="Arial" w:cs="Arial" w:eastAsia="Arial" w:hAnsi="Arial"/>
          <w:sz w:val="14"/>
          <w:szCs w:val="14"/>
          <w:color w:val="auto"/>
        </w:rPr>
        <w:t>In April 2016, the Company and AbbVie entered into two agreements, a CD71 Co-Development and Licensing Agreement (the “CD71 Agreement”) and a Discovery Collaboration and Licensing Agreement (as amended and restated in June 2019, the “Discovery Agreement” and together with the CD71 Agreement the “AbbVie Agreements”). Under the terms of the CD71 Agreement, the Company and AbbVie will co-develop a conditionally activated antibody-drug conjugate (“ADC") against CD71, with the Company responsible for preclinical and early clinical development. AbbVie will be responsible for later development and commercialization, with global late-stage development costs shared between the two companies. The Company will assume 35% of the net profits or net losses related to later development and commercialization unless it opts-out. If the Company opts-out from participation of co-development of the CD71 conditionally activated ADC, which includes CX-2029, AbbVie will have sole right and responsibility for the further development, manufacturing and commercialization of such CD71 conditionally activated ADC.</w:t>
      </w:r>
    </w:p>
    <w:p>
      <w:pPr>
        <w:spacing w:after="0" w:line="168"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Under the CD71 Agreement, the Company received an upfront payment of $20.0 million in April 2016, and was eligible to initially receive up to $470.0 million in development, regulatory and commercial milestone payments, a 35% profit split on U.S. sales, and royalties on ex-U.S. sales at percentages in the high teens to low twenties if the Company participates in the co-development of the CD71 conditionally activated ADC subject to a reversion to a royalty on U.S. sales, and reduction in royalties on ex-U.S. sales, if the Company opts-out from the co-development of the CD71 conditionally activated ADC. The Company’s share of later stage co-development costs for each CD71 conditionally activated ADC is capped, provided that AbbVie may offset the Company’s co-development cost above the capped amounts from future payments such as milestone payments and royalties. In July 2017, the Company received a milestone payment of $14.0 million (net of payment of an associated sublicense fee of $1.0 million to SGEN under the Seattle Genetics Agreement) from AbbVie for achieving certain milestones required to be met to begin GLP toxicology studies under the CD71 Agreement. In May 2018, the United States Food and Drug Administration (“FDA”) cleared the IND application for CX-2029. As a result, the Company achieved the IND success criteria under the CD71 Agreement and received a $21.0 million milestone payment (net of the payment of an associated sublicense fee of $4.0 million to SGEN). In March 2020, the Company earned a $40.0 million milestone payment for satisfying the CD71 dose escalation success criteria under the CD71 Agreement.</w:t>
      </w:r>
    </w:p>
    <w:p>
      <w:pPr>
        <w:spacing w:after="0" w:line="212"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Under the terms of the Discovery Agreement, AbbVie receives exclusive worldwide rights to develop and commercialize conditionally activated ADCs against up to two targets, one of which was selected in March 2017. The Company shall perform research services to discover the Probody therapeutics and create conditionally activated ADCs for the nominated collaboration targets. From that point, AbbVie shall have sole right and responsibility for development and commercialization of products comprising or containing such conditionally activated ADCs (“Discovery Licensed Products”).</w:t>
      </w:r>
    </w:p>
    <w:p>
      <w:pPr>
        <w:spacing w:after="0" w:line="203" w:lineRule="exact"/>
        <w:rPr>
          <w:sz w:val="20"/>
          <w:szCs w:val="20"/>
          <w:color w:val="auto"/>
        </w:rPr>
      </w:pPr>
    </w:p>
    <w:p>
      <w:pPr>
        <w:ind w:right="160"/>
        <w:spacing w:after="0" w:line="248" w:lineRule="auto"/>
        <w:rPr>
          <w:sz w:val="20"/>
          <w:szCs w:val="20"/>
          <w:color w:val="auto"/>
        </w:rPr>
      </w:pPr>
      <w:r>
        <w:rPr>
          <w:rFonts w:ascii="Arial" w:cs="Arial" w:eastAsia="Arial" w:hAnsi="Arial"/>
          <w:sz w:val="17"/>
          <w:szCs w:val="17"/>
          <w:color w:val="auto"/>
        </w:rPr>
        <w:t>Under the Discovery Agreement, the Company received an upfront payment of $10.0 million in April 2016 and subsequently earned an additional $10.0 million milestone payment triggered by selection of the second target by AbbVie in June 2019. The Company is also eligible to receive up to $265.0 million for each target, in development, regulatory and commercial milestone payments and royalties at percentages in the high single to low teens from commercial sales of any resulting conditionally activated ADCs. The second target was selected under the Discovery Agreement that allows AbbVie to select a target for developing a conditionally activated ADC or a Probody.</w:t>
      </w:r>
    </w:p>
    <w:p>
      <w:pPr>
        <w:spacing w:after="0" w:line="207"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The $40.0 million milestone payment earned in March 2020 for satisfying the CD71 dose escalation success criteria under the CD71 Agreement was included as part of the transaction price as it was unconstrained during the first quarter of 2020 and $26.6 million was recognized as revenue related to this milestone reflecting the percentage completed to-date on the project as of March 2020. The remainder is being recognized as revenues over the remaining estimated research service period through September 2022.</w:t>
      </w:r>
    </w:p>
    <w:p>
      <w:pPr>
        <w:spacing w:after="0" w:line="219"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The Company determined that the remaining potential milestone payments of both agreements, if recognized, are probable of significant revenue reversal as their achievement is highly dependent on factors outside the Company’s control. Therefore, these payments continued to be fully constrained and were not included in the transaction price as of December 31, 2020.</w:t>
      </w:r>
    </w:p>
    <w:p>
      <w:pPr>
        <w:spacing w:after="0" w:line="179"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 Company recognized revenue of $1.2 million and $30.1 million for the three months ended March 31, 2021 and 2020, respectively, related to the AbbVie Agreements. As of March 31, 2021 and December 31, 2020, deferred revenue related to the CD71 Agreement performance obligation was $24.7 million and $25.2 million, respectively, and deferred revenue related to the Discovery Agreement performance obligation was $7.3 million and $8.0 million, respectively. No amounts were due from AbbVie as of March 31, 2021 and December 31, 2020.</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Amgen, Inc.</w:t>
      </w:r>
    </w:p>
    <w:p>
      <w:pPr>
        <w:spacing w:after="0" w:line="115" w:lineRule="exact"/>
        <w:rPr>
          <w:sz w:val="20"/>
          <w:szCs w:val="20"/>
          <w:color w:val="auto"/>
        </w:rPr>
      </w:pPr>
    </w:p>
    <w:p>
      <w:pPr>
        <w:ind w:right="360"/>
        <w:spacing w:after="0" w:line="261" w:lineRule="auto"/>
        <w:rPr>
          <w:sz w:val="20"/>
          <w:szCs w:val="20"/>
          <w:color w:val="auto"/>
        </w:rPr>
      </w:pPr>
      <w:r>
        <w:rPr>
          <w:rFonts w:ascii="Arial" w:cs="Arial" w:eastAsia="Arial" w:hAnsi="Arial"/>
          <w:sz w:val="17"/>
          <w:szCs w:val="17"/>
          <w:color w:val="auto"/>
        </w:rPr>
        <w:t>On September 29, 2017, the Company and Amgen, Inc. (“Amgen”) entered into a Collaboration and License Agreement (the “Amgen Agreement”). Pursuant to the Amgen Agreement, the Company received an upfront payment of $40.0 million in October 2017.</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5" w:name="page16"/>
    <w:bookmarkEnd w:id="15"/>
    <w:p>
      <w:pPr>
        <w:spacing w:after="0" w:line="320" w:lineRule="auto"/>
        <w:rPr>
          <w:sz w:val="20"/>
          <w:szCs w:val="20"/>
          <w:color w:val="auto"/>
        </w:rPr>
      </w:pPr>
      <w:r>
        <w:rPr>
          <w:rFonts w:ascii="Arial" w:cs="Arial" w:eastAsia="Arial" w:hAnsi="Arial"/>
          <w:sz w:val="14"/>
          <w:szCs w:val="14"/>
          <w:color w:val="auto"/>
        </w:rPr>
        <w:t>Concurrent with the entry into the Amgen Agreement, the Company and Amgen entered into a Share Purchase Agreement (the “Purchase Agreement”) pursuant to which Amgen purchased 1,156,069 shares of the Company’s common stock at a price of $17.30 per share (calculated based on a 20-day volume-weighted average price), for total proceeds of $20.0 million, which the Company received on October 6, 2017, the closing date of the transaction. The Company estimated a premium on the stock sold to Amgen of $0.5 million, which takes into account a discount due to the lack of marketability resulting from the six-month lockup period.</w:t>
      </w:r>
    </w:p>
    <w:p>
      <w:pPr>
        <w:spacing w:after="0" w:line="172"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Under the terms of the Amgen Agreement, the Company and Amgen will co-develop a conditionally activated T-cell engaging bi-specific therapeutic targeting epidermal growth factor receptor (the “EGFR Products”). The Company is responsible for early-stage development of EGFR Products and all related costs up to certain pre-set costs and certain limits based on clinical trial size. Amgen will be responsible for late-stage development, commercialization, and all related costs of EGFR Products. Following early-stage development, the Company will have the right to elect to participate financially in the global co-development of EGFR Products with Amgen, during which the Company would bear certain of the worldwide development costs for EGFR Products and Amgen would bear the rest of such costs (the “EGFR Co-Development Option”). If the Company exercises its EGFR Co-Development Option, the Company will share in somewhat less than 50% of the profit and losses from sales of such EGFR Products in the U.S., subject to certain caps, offsets, and deferrals. If the Company chooses not to exercise its EGFR Co-Development Option, the Company will not bear any costs of later stage development. The Company is eligible to receive up to $455.0 million in development, regulatory, and commercial milestone payments for EGFR Products, and royalties in the low-double-digit to mid-teen percentage of worldwide commercial sales, provided that if the Company exercises its EGFR Co-Development option, it shall receive a profit and loss split of sales in the United States and royalties in the low-double-digit to mid-teen percentage of commercial sales outside of the United States.</w:t>
      </w:r>
    </w:p>
    <w:p>
      <w:pPr>
        <w:spacing w:after="0" w:line="199"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Amgen also has the right to select a total of up to three targets, including the two additional targets discussed below. The Company and Amgen collaborate in the research and development of conditionally activated T-cell engaging bi-specifics products directed against such targets. Amgen has selected one such target (the “Amgen Other Product”). If Amgen exercises its option within the specified period of time, it can select two such additional targets (the “Amgen Option Products” and, together with the Amgen Other Product, the “Amgen Products”). Except with respect to preclinical activities to be conducted by CytomX, Amgen will be responsible, at its expense, for the development, manufacture, and commercialization of all Amgen Products. If Amgen exercises all of its options and advances all three of the Amgen Products, CytomX was initially eligible to receive up to $950.0 million in upfront, development, regulatory, and commercial milestones and tiered high single-digit to low-teen percentage royalties. The Company concluded that, at the inception of the agreement, Amgen’s option to select the two additional targets is not a material right and does not represent a performance obligation of the agreement.</w:t>
      </w:r>
    </w:p>
    <w:p>
      <w:pPr>
        <w:spacing w:after="0" w:line="212"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At the initiation of the collaboration, CytomX had the option to select, from programs specified in the Amgen Agreement, an existing preclinical stage T-cell engaging bispecific product from the Amgen preclinical pipeline. In March 2018, CytomX selected the program. CytomX is responsible, at its expense, for converting this program to a conditionally activated T-cell engaging bispecific product, and thereafter, will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spacing w:after="0" w:line="206"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The Company recognized revenue of $2.6 million and $1.7 million for the three months ended March 31, 2021 and 2020, respectively, related to the Amgen Agreement. As of March 31, 2021 and December 31, 2020, deferred revenue related to the EGFR Products performance obligation was $27.4 million and $29.8 million, respectively. As of March 31, 2021 and December 31, 2020, deferred revenue related to the Amgen Other Products performance obligation was $2.0 million and $2.2 million, respectively. No amounts were due from Amgen as of March 31, 2021 and December 31, 2020.</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Astellas Pharma Inc.</w:t>
      </w:r>
    </w:p>
    <w:p>
      <w:pPr>
        <w:spacing w:after="0" w:line="103"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The Company and Astellas Pharma, Inc. (“Astellas”) entered into a Collaboration and License Agreement (the “Astellas Agreement”) on March 23, 2020, the effective date, to collaborate on preclinical research activities to discover and develop certain antibody compounds for the treatment of cancer using the Company’s Probody therapeutic technology.</w:t>
      </w:r>
    </w:p>
    <w:p>
      <w:pPr>
        <w:spacing w:after="0" w:line="204"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Under the terms of the Astellas Agreement, the Company granted Astellas an exclusive, worldwide, rights to develop and commercialize Probody therapeutics for up to four collaboration targets including one initial target and three additional targets (“Additional Targets”). In addition, Astellas has the right to expand the number of Additional Targets from three up to five (the “Expansion Option”) before the third anniversary of the effective date. Furthermore, for a specified number of targets, at a pre-specified time prior to the initiation of the first pivotal study of a product against such target, the Company may elect to participate in certain development costs and share in the profits generated in the United States with respect to such product (“Cost Share Option”). The Cost Share Option, if exercised, will also provide the option for the Company to co-commercialize such product in the United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16" w:name="page17"/>
    <w:bookmarkEnd w:id="16"/>
    <w:p>
      <w:pPr>
        <w:ind w:right="320"/>
        <w:spacing w:after="0" w:line="261" w:lineRule="auto"/>
        <w:rPr>
          <w:sz w:val="20"/>
          <w:szCs w:val="20"/>
          <w:color w:val="auto"/>
        </w:rPr>
      </w:pPr>
      <w:r>
        <w:rPr>
          <w:rFonts w:ascii="Arial" w:cs="Arial" w:eastAsia="Arial" w:hAnsi="Arial"/>
          <w:sz w:val="17"/>
          <w:szCs w:val="17"/>
          <w:color w:val="auto"/>
        </w:rPr>
        <w:t>States. The Company does not consider the Cost Share Option as a performance obligation at the inception of the agreement as the participation is at the Company’s discretion.</w:t>
      </w:r>
    </w:p>
    <w:p>
      <w:pPr>
        <w:spacing w:after="0" w:line="196" w:lineRule="exact"/>
        <w:rPr>
          <w:sz w:val="20"/>
          <w:szCs w:val="20"/>
          <w:color w:val="auto"/>
        </w:rPr>
      </w:pPr>
    </w:p>
    <w:p>
      <w:pPr>
        <w:spacing w:after="0" w:line="314" w:lineRule="auto"/>
        <w:rPr>
          <w:sz w:val="20"/>
          <w:szCs w:val="20"/>
          <w:color w:val="auto"/>
        </w:rPr>
      </w:pPr>
      <w:r>
        <w:rPr>
          <w:rFonts w:ascii="Arial" w:cs="Arial" w:eastAsia="Arial" w:hAnsi="Arial"/>
          <w:sz w:val="14"/>
          <w:szCs w:val="14"/>
          <w:color w:val="auto"/>
        </w:rPr>
        <w:t>Pursuant to the Astellas Agreement, the consideration from Astellas is comprised of an upfront fee of $80.0 million and contingent payments for development, regulatory and sales milestones of up to an aggregate of approximately $1.6 billion. If Astellas exercises its Expansion Option for the two Additional Targets, the Company would be eligible to receive additional upfront and milestone payments aggregating to approximately $0.9 billion. The Company is also entitled to tiered royalties from high-single digit to mid-teen percentage royalties from potential future sales. Astellas is responsible for all preclinical research costs incurred by either party as set forth in the preclinical research plan and the Company will receive research and development service fees based on a prescribed FTE rate.</w:t>
      </w:r>
    </w:p>
    <w:p>
      <w:pPr>
        <w:spacing w:after="0" w:line="213" w:lineRule="exact"/>
        <w:rPr>
          <w:sz w:val="20"/>
          <w:szCs w:val="20"/>
          <w:color w:val="auto"/>
        </w:rPr>
      </w:pPr>
    </w:p>
    <w:p>
      <w:pPr>
        <w:ind w:right="360"/>
        <w:spacing w:after="0" w:line="275" w:lineRule="auto"/>
        <w:rPr>
          <w:sz w:val="20"/>
          <w:szCs w:val="20"/>
          <w:color w:val="auto"/>
        </w:rPr>
      </w:pPr>
      <w:r>
        <w:rPr>
          <w:rFonts w:ascii="Arial" w:cs="Arial" w:eastAsia="Arial" w:hAnsi="Arial"/>
          <w:sz w:val="16"/>
          <w:szCs w:val="16"/>
          <w:color w:val="auto"/>
        </w:rPr>
        <w:t>The Company recognized revenue of $4.8 million and $0.4 million for the three months ended March 31, 2021 and 2020, respectively. As of March 31, 2021 and December 31, 2020, deferred revenue relating to the Astellas Agreement was $63.6 million and $67.6 million, respectively. The amount due from Astellas under the Astellas Agreement was $0.8 million and $0.8 million, as of March 31, 2021 and December 31, 2020,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Bristol Myers Squibb Company</w:t>
      </w:r>
    </w:p>
    <w:p>
      <w:pPr>
        <w:spacing w:after="0" w:line="103"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On May 23, 2014, the Company and Bristol Myers Squibb Company (“Bristol Myers Squibb”) entered into a Collaboration and License Agreement (the “BMS Agreement”) to discover and develop compounds for use in human therapeutics aimed at multiple immuno-oncology targets using the Company’s Probody therapeutic technology. The effective date of the BMS Agreement was July 7, 2014.</w:t>
      </w:r>
    </w:p>
    <w:p>
      <w:pPr>
        <w:spacing w:after="0" w:line="179"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Under the terms of the BMS Agreement, the Company granted Bristol Myers Squibb exclusive worldwide rights to develop and commercialize Probody therapeutics for up to four oncology targets. Bristol Myers Squibb had additional rights to substitute up to two collaboration targets within three years of the effective date of the BMS Agreement. These rights expired in May 2017. Each collaboration target had a two-year research term and the two additional targets had to be nominated by Bristol Myers Squibb within five years of the effective date of the BMS Agreement. The research term for each collaboration target could be extended in one year increments up to three times.</w:t>
      </w:r>
    </w:p>
    <w:p>
      <w:pPr>
        <w:spacing w:after="0" w:line="182" w:lineRule="exact"/>
        <w:rPr>
          <w:sz w:val="20"/>
          <w:szCs w:val="20"/>
          <w:color w:val="auto"/>
        </w:rPr>
      </w:pPr>
    </w:p>
    <w:p>
      <w:pPr>
        <w:ind w:right="140"/>
        <w:spacing w:after="0" w:line="320" w:lineRule="auto"/>
        <w:rPr>
          <w:sz w:val="20"/>
          <w:szCs w:val="20"/>
          <w:color w:val="auto"/>
        </w:rPr>
      </w:pPr>
      <w:r>
        <w:rPr>
          <w:rFonts w:ascii="Arial" w:cs="Arial" w:eastAsia="Arial" w:hAnsi="Arial"/>
          <w:sz w:val="14"/>
          <w:szCs w:val="14"/>
          <w:color w:val="auto"/>
        </w:rPr>
        <w:t>Pursuant to the BMS Agreement, the financial consideration from Bristol Myers Squibb was comprised of an upfront payment of $50.0 million and the Company was initially entitled to receive contingent payments of up to $25.0 million for additional targets and up to an aggregate of $1,192.0 million for development, regulatory and sales milestones. In addition, the Company was entitled to royalty payments in the mid-single digits to low double-digit percentages from potential future sales. The Company also received research and development service fees based on a prescribed FTE rate that was capped.</w:t>
      </w:r>
    </w:p>
    <w:p>
      <w:pPr>
        <w:spacing w:after="0" w:line="135"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On March 17, 2017, the Company and Bristol Myers Squibb entered into Amendment Number 1 to Extend Collaboration and License Agreement (“Amendment 1”). Amendment 1 granted Bristol Myers Squibb exclusive worldwide rights to develop and commercialize Probody therapeutics for up to eight additional targets. The effective date of Amendment 1 was April 25, 2017 (“Amendment Effective Date”). Under the terms of Amendment 1, the Company continued to have obligations to Bristol Myers Squibb to discover and conduct preclinical development of Probody therapeutics against any targets they chose to select during the research period under the terms of Amendment 1.</w:t>
      </w:r>
    </w:p>
    <w:p>
      <w:pPr>
        <w:spacing w:after="0" w:line="207" w:lineRule="exact"/>
        <w:rPr>
          <w:sz w:val="20"/>
          <w:szCs w:val="20"/>
          <w:color w:val="auto"/>
        </w:rPr>
      </w:pPr>
    </w:p>
    <w:p>
      <w:pPr>
        <w:ind w:right="40"/>
        <w:spacing w:after="0" w:line="310" w:lineRule="auto"/>
        <w:rPr>
          <w:sz w:val="20"/>
          <w:szCs w:val="20"/>
          <w:color w:val="auto"/>
        </w:rPr>
      </w:pPr>
      <w:r>
        <w:rPr>
          <w:rFonts w:ascii="Arial" w:cs="Arial" w:eastAsia="Arial" w:hAnsi="Arial"/>
          <w:sz w:val="14"/>
          <w:szCs w:val="14"/>
          <w:color w:val="auto"/>
        </w:rPr>
        <w:t>Pursuant to Amendment 1, the financial consideration from Bristol Myers Squibb was comprised of an upfront payment of $200.0 million and the Company was initially eligible to receive contingent payments for development, regulatory and sales milestones of up to an aggregate of $3,586.0 million for the eight targets. The Company was also entitled to tiered mid-single to low double-digit percentage royalties from potential future sales. Amendment 1 did not change the term of the Bristol Myers Squibb’s royalty obligation under the BMS Agreement. Bristol Myers Squibb’s royalty obligation continues on a licensed-product by licensed-product basis until the later of (i) the expiration of the last claim of the licensed patents covering the licensed products in the country, (ii) the twelfth anniversary of the first commercial sale of a licensed product in a country, or (iii) the expiration of any applicable regulatory, pediatric, orphan drug or data exclusivity with respect to such product.</w:t>
      </w:r>
    </w:p>
    <w:p>
      <w:pPr>
        <w:spacing w:after="0" w:line="143"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initial transaction price for the BMS Agreement and Amendment 1, collectively, was $272.8 million consisting of the upfront fees of $250.0 million, research and development service fees of $10.8 million and milestone payments received to date of $12.0 million. The Company determined that the remaining potential milestone payments were probable of significant revenue reversal as their achievement was highly dependent on factors outside the Company’s control. Therefore, these payments were fully constrained and were not included in the transaction price upon the adoption of ASC 606 on January 1, 2018. The BMS Agreement represents an obligation to continuously make the Probody therapeutic technology platform available to Bristol Myers Squibb. Therefore, the initial transaction price is recognized over the estimated research service period, which ends on April 25, 2025.</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7" w:name="page18"/>
    <w:bookmarkEnd w:id="17"/>
    <w:p>
      <w:pPr>
        <w:spacing w:after="0" w:line="252" w:lineRule="auto"/>
        <w:rPr>
          <w:sz w:val="20"/>
          <w:szCs w:val="20"/>
          <w:color w:val="auto"/>
        </w:rPr>
      </w:pPr>
      <w:r>
        <w:rPr>
          <w:rFonts w:ascii="Arial" w:cs="Arial" w:eastAsia="Arial" w:hAnsi="Arial"/>
          <w:sz w:val="17"/>
          <w:szCs w:val="17"/>
          <w:color w:val="auto"/>
        </w:rPr>
        <w:t>In February 2020, Bristol Myers Squibb dosed the first patient in the Part 2 cohort expansion portion of its ongoing BMS-986249 clinical study for the CTLA-4 program, which triggered a $10.0 million milestone payment to the Company pursuant to the terms of the BMS Agreement. The $10.0 million milestone payment was recognized as revenue in the first quarter of 2020.</w:t>
      </w:r>
    </w:p>
    <w:p>
      <w:pPr>
        <w:spacing w:after="0" w:line="179" w:lineRule="exact"/>
        <w:rPr>
          <w:sz w:val="20"/>
          <w:szCs w:val="20"/>
          <w:color w:val="auto"/>
        </w:rPr>
      </w:pPr>
    </w:p>
    <w:p>
      <w:pPr>
        <w:ind w:right="60"/>
        <w:spacing w:after="0" w:line="308" w:lineRule="auto"/>
        <w:rPr>
          <w:sz w:val="20"/>
          <w:szCs w:val="20"/>
          <w:color w:val="auto"/>
        </w:rPr>
      </w:pPr>
      <w:r>
        <w:rPr>
          <w:rFonts w:ascii="Arial" w:cs="Arial" w:eastAsia="Arial" w:hAnsi="Arial"/>
          <w:sz w:val="14"/>
          <w:szCs w:val="14"/>
          <w:color w:val="auto"/>
        </w:rPr>
        <w:t>In February 2021, the Company and Bristol Myers Squibb entered into Amendment Number 2 to amend the Collaboration and License Agreement (“Amendment 2”), as amended by Amendment 1. Subsequent to Amendment 2, Bristol Myers Squibb has the exclusive worldwide rights to develop and commercialize Probody therapeutics for up to five oncology targets. Under the terms of Amendment 2, the period for target selection has been extended and the Company will continue to collaborate with Bristol Myers Squibb to discover and conduct preclinical development of Probody therapeutics against targets selected by Bristol Myers Squibb over the estimated research period, which ends in April 2025. Pursuant to Amendment 2, the Company is eligible to receive contingent payments for development, regulatory and sales milestones of up to an aggregate of $1,779.0 million. It is also entitled to tiered mid-single to low double-digit percentage of royalties from potential future sales. In addition, the Company will no longer be entitled to receive the research and development service fee as part of the arrangement.</w:t>
      </w:r>
    </w:p>
    <w:p>
      <w:pPr>
        <w:spacing w:after="0" w:line="143" w:lineRule="exact"/>
        <w:rPr>
          <w:sz w:val="20"/>
          <w:szCs w:val="20"/>
          <w:color w:val="auto"/>
        </w:rPr>
      </w:pPr>
    </w:p>
    <w:p>
      <w:pPr>
        <w:ind w:right="560"/>
        <w:spacing w:after="0" w:line="252" w:lineRule="auto"/>
        <w:rPr>
          <w:sz w:val="20"/>
          <w:szCs w:val="20"/>
          <w:color w:val="auto"/>
        </w:rPr>
      </w:pPr>
      <w:r>
        <w:rPr>
          <w:rFonts w:ascii="Arial" w:cs="Arial" w:eastAsia="Arial" w:hAnsi="Arial"/>
          <w:sz w:val="17"/>
          <w:szCs w:val="17"/>
          <w:color w:val="auto"/>
        </w:rPr>
        <w:t>The Company re-evaluated the remaining potential milestone payments and determined that, if recognized, significant revenue reversal was still probable as the achievement of such milestones was highly dependent on factors outside the Company’s control. As a result, these payments were fully constrained and were not included in the transaction price on March 31, 2021.</w:t>
      </w:r>
    </w:p>
    <w:p>
      <w:pPr>
        <w:spacing w:after="0" w:line="179"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The Company recognized revenue of $7.4 million and $17.4 million for the three months ended March 31, 2021 and 2020, respectively. As of March 31, 2021 and December 31, 2020, deferred revenue relating to the BMS Agreement was $120.9 million and $128.3 million, respectively. No amounts were due from Bristol Myers Squibb as of March 31, 2021 and December 31, 2020.</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ImmunoGen, Inc.</w:t>
      </w:r>
    </w:p>
    <w:p>
      <w:pPr>
        <w:spacing w:after="0" w:line="103"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color w:val="auto"/>
        </w:rPr>
        <w:t xml:space="preserve">In January 2014, the Company and ImmunoGen, Inc. (“ImmunoGen”) entered into the Research Collaboration Agreement (the “ImmunoGen Research Agreement”). The ImmunoGen Research Agreement provided the Company with the right to use ImmunoGen’s Antibody Drug Conjugate (“ADC”) technology in combination with the Company’s Probody therapeutic technology to create a conditionally activated ADC directed at one specified target under a research license, and to subsequently obtain an exclusive, worldwide development and commercialization license to use ImmunoGen’s ADC technology to develop and commercialize such conditionally activated ADCs. The Company made no upfront cash payment in connection with the execution of the agreement. Instead, the Company provided ImmunoGen with the rights to CytomX’s Probody therapeutic technology to create conditionally activated ADCs directed at two targets under the ImmunoGen Research Agreement and to subsequently obtain exclusive, worldwide development and commercialization licenses to develop and commercialize such conditionally activated ADCs. In February 2016, the Company exercised its option to obtain a development and commercialization license for praluzatamab ravtansine </w:t>
      </w:r>
      <w:r>
        <w:rPr>
          <w:rFonts w:ascii="Arial" w:cs="Arial" w:eastAsia="Arial" w:hAnsi="Arial"/>
          <w:sz w:val="12"/>
          <w:szCs w:val="12"/>
          <w:color w:val="auto"/>
        </w:rPr>
        <w:t>(</w:t>
      </w:r>
      <w:r>
        <w:rPr>
          <w:rFonts w:ascii="Arial" w:cs="Arial" w:eastAsia="Arial" w:hAnsi="Arial"/>
          <w:sz w:val="16"/>
          <w:szCs w:val="16"/>
          <w:color w:val="auto"/>
        </w:rPr>
        <w:t>CX-2009) pursuant to the terms of the ImmunoGen Research Agreement (the “CX-2009 License”).</w:t>
      </w:r>
    </w:p>
    <w:p>
      <w:pPr>
        <w:spacing w:after="0" w:line="172"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In December 2019, the parties entered into a license agreement (the “ImmunoGen 2019 License”) pursuant to which the ImmunoGen Research Agreement (the ”ImmunoGen 2017 License”) for a target in December 2017, was terminated and ImmunoGen granted a license for all of ImmunoGen’s rights under the ImmunoGen 2017 License to the Company.</w:t>
      </w:r>
    </w:p>
    <w:p>
      <w:pPr>
        <w:spacing w:after="0" w:line="216"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In February 2020, the Company dosed the first patient in the praluzatamab ravtansine Phase 2 clinical trial and triggered a $3.0 million milestone payment to ImmunoGen pursuant to the CX-2009 License which continued to remain in effect following the termination of the ImmunoGen 2017 License in December 2019. The Company recorded a $3.0 million charge to research and development expense for the three months ended March 31, 2020, in connection with this milestone payment to ImmunoGen.</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Liabilities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changes in the Company’s total contract liabilities for the three months ended March 31, 2021:</w:t>
      </w:r>
    </w:p>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ind w:left="40"/>
              <w:spacing w:after="0"/>
              <w:rPr>
                <w:sz w:val="20"/>
                <w:szCs w:val="20"/>
                <w:color w:val="auto"/>
              </w:rPr>
            </w:pPr>
            <w:r>
              <w:rPr>
                <w:rFonts w:ascii="Arial" w:cs="Arial" w:eastAsia="Arial" w:hAnsi="Arial"/>
                <w:sz w:val="13"/>
                <w:szCs w:val="13"/>
                <w:b w:val="1"/>
                <w:bCs w:val="1"/>
                <w:color w:val="auto"/>
              </w:rPr>
              <w:t>Balance at</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Balance at</w:t>
            </w:r>
          </w:p>
        </w:tc>
      </w:tr>
      <w:tr>
        <w:trPr>
          <w:trHeight w:val="157"/>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12/31/2020</w:t>
            </w: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Additions</w:t>
            </w:r>
          </w:p>
        </w:tc>
        <w:tc>
          <w:tcPr>
            <w:tcW w:w="1060" w:type="dxa"/>
            <w:vAlign w:val="bottom"/>
            <w:tcBorders>
              <w:bottom w:val="single" w:sz="8" w:color="auto"/>
            </w:tcBorders>
          </w:tcPr>
          <w:p>
            <w:pPr>
              <w:jc w:val="right"/>
              <w:ind w:right="146"/>
              <w:spacing w:after="0"/>
              <w:rPr>
                <w:sz w:val="20"/>
                <w:szCs w:val="20"/>
                <w:color w:val="auto"/>
              </w:rPr>
            </w:pPr>
            <w:r>
              <w:rPr>
                <w:rFonts w:ascii="Arial" w:cs="Arial" w:eastAsia="Arial" w:hAnsi="Arial"/>
                <w:sz w:val="13"/>
                <w:szCs w:val="13"/>
                <w:b w:val="1"/>
                <w:bCs w:val="1"/>
                <w:color w:val="auto"/>
              </w:rPr>
              <w:t>Deductions</w:t>
            </w: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w w:val="96"/>
              </w:rPr>
              <w:t>3/31/2021</w:t>
            </w:r>
          </w:p>
        </w:tc>
        <w:tc>
          <w:tcPr>
            <w:tcW w:w="100" w:type="dxa"/>
            <w:vAlign w:val="bottom"/>
          </w:tcPr>
          <w:p>
            <w:pPr>
              <w:spacing w:after="0"/>
              <w:rPr>
                <w:sz w:val="13"/>
                <w:szCs w:val="13"/>
                <w:color w:val="auto"/>
              </w:rPr>
            </w:pPr>
          </w:p>
        </w:tc>
      </w:tr>
      <w:tr>
        <w:trPr>
          <w:trHeight w:val="141"/>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80" w:type="dxa"/>
            <w:vAlign w:val="bottom"/>
            <w:gridSpan w:val="2"/>
          </w:tcPr>
          <w:p>
            <w:pPr>
              <w:jc w:val="right"/>
              <w:ind w:right="686"/>
              <w:spacing w:after="0" w:line="142" w:lineRule="exact"/>
              <w:rPr>
                <w:sz w:val="20"/>
                <w:szCs w:val="20"/>
                <w:color w:val="auto"/>
              </w:rPr>
            </w:pPr>
            <w:r>
              <w:rPr>
                <w:rFonts w:ascii="Arial" w:cs="Arial" w:eastAsia="Arial" w:hAnsi="Arial"/>
                <w:sz w:val="13"/>
                <w:szCs w:val="13"/>
                <w:b w:val="1"/>
                <w:bCs w:val="1"/>
                <w:color w:val="auto"/>
              </w:rPr>
              <w:t>(in thousands)</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1"/>
        </w:trPr>
        <w:tc>
          <w:tcPr>
            <w:tcW w:w="20" w:type="dxa"/>
            <w:vAlign w:val="bottom"/>
          </w:tcPr>
          <w:p>
            <w:pPr>
              <w:spacing w:after="0"/>
              <w:rPr>
                <w:sz w:val="18"/>
                <w:szCs w:val="18"/>
                <w:color w:val="auto"/>
              </w:rPr>
            </w:pPr>
          </w:p>
        </w:tc>
        <w:tc>
          <w:tcPr>
            <w:tcW w:w="3580" w:type="dxa"/>
            <w:vAlign w:val="bottom"/>
            <w:shd w:val="clear" w:color="auto" w:fill="CFF0FC"/>
          </w:tcPr>
          <w:p>
            <w:pPr>
              <w:jc w:val="center"/>
              <w:ind w:right="2137"/>
              <w:spacing w:after="0"/>
              <w:rPr>
                <w:sz w:val="20"/>
                <w:szCs w:val="20"/>
                <w:color w:val="auto"/>
              </w:rPr>
            </w:pPr>
            <w:r>
              <w:rPr>
                <w:rFonts w:ascii="Arial" w:cs="Arial" w:eastAsia="Arial" w:hAnsi="Arial"/>
                <w:sz w:val="17"/>
                <w:szCs w:val="17"/>
                <w:b w:val="1"/>
                <w:bCs w:val="1"/>
                <w:color w:val="auto"/>
                <w:w w:val="88"/>
              </w:rPr>
              <w:t>Contract liabilities:</w:t>
            </w:r>
          </w:p>
        </w:tc>
        <w:tc>
          <w:tcPr>
            <w:tcW w:w="2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580" w:type="dxa"/>
            <w:vAlign w:val="bottom"/>
          </w:tcPr>
          <w:p>
            <w:pPr>
              <w:jc w:val="center"/>
              <w:ind w:right="2137"/>
              <w:spacing w:after="0"/>
              <w:rPr>
                <w:sz w:val="20"/>
                <w:szCs w:val="20"/>
                <w:color w:val="auto"/>
              </w:rPr>
            </w:pPr>
            <w:r>
              <w:rPr>
                <w:rFonts w:ascii="Arial" w:cs="Arial" w:eastAsia="Arial" w:hAnsi="Arial"/>
                <w:sz w:val="17"/>
                <w:szCs w:val="17"/>
                <w:color w:val="auto"/>
                <w:w w:val="87"/>
              </w:rPr>
              <w:t>Deferred revenue</w:t>
            </w:r>
          </w:p>
        </w:tc>
        <w:tc>
          <w:tcPr>
            <w:tcW w:w="2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48"/>
              <w:spacing w:after="0"/>
              <w:rPr>
                <w:sz w:val="20"/>
                <w:szCs w:val="20"/>
                <w:color w:val="auto"/>
              </w:rPr>
            </w:pPr>
            <w:r>
              <w:rPr>
                <w:rFonts w:ascii="Arial" w:cs="Arial" w:eastAsia="Arial" w:hAnsi="Arial"/>
                <w:sz w:val="17"/>
                <w:szCs w:val="17"/>
                <w:color w:val="auto"/>
              </w:rPr>
              <w:t>261,130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ind w:left="64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6"/>
              <w:spacing w:after="0"/>
              <w:rPr>
                <w:sz w:val="20"/>
                <w:szCs w:val="20"/>
                <w:color w:val="auto"/>
              </w:rPr>
            </w:pPr>
            <w:r>
              <w:rPr>
                <w:rFonts w:ascii="Arial" w:cs="Arial" w:eastAsia="Arial" w:hAnsi="Arial"/>
                <w:sz w:val="17"/>
                <w:szCs w:val="17"/>
                <w:color w:val="auto"/>
              </w:rPr>
              <w:t>$  (15,215)</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245,916</w:t>
            </w:r>
          </w:p>
        </w:tc>
        <w:tc>
          <w:tcPr>
            <w:tcW w:w="100" w:type="dxa"/>
            <w:vAlign w:val="bottom"/>
          </w:tcPr>
          <w:p>
            <w:pPr>
              <w:spacing w:after="0"/>
              <w:rPr>
                <w:sz w:val="18"/>
                <w:szCs w:val="18"/>
                <w:color w:val="auto"/>
              </w:rPr>
            </w:pPr>
          </w:p>
        </w:tc>
      </w:tr>
    </w:tbl>
    <w:p>
      <w:pPr>
        <w:spacing w:after="0" w:line="225" w:lineRule="exact"/>
        <w:rPr>
          <w:sz w:val="20"/>
          <w:szCs w:val="20"/>
          <w:color w:val="auto"/>
        </w:rPr>
      </w:pPr>
    </w:p>
    <w:p>
      <w:pPr>
        <w:ind w:right="420"/>
        <w:spacing w:after="0" w:line="249" w:lineRule="auto"/>
        <w:rPr>
          <w:sz w:val="20"/>
          <w:szCs w:val="20"/>
          <w:color w:val="auto"/>
        </w:rPr>
      </w:pPr>
      <w:r>
        <w:rPr>
          <w:rFonts w:ascii="Arial" w:cs="Arial" w:eastAsia="Arial" w:hAnsi="Arial"/>
          <w:sz w:val="17"/>
          <w:szCs w:val="17"/>
          <w:color w:val="auto"/>
        </w:rPr>
        <w:t>The Company expects that the $245.9 million of deferred revenue related to the following contracts as of March 31, 2021 will be recognized as revenue as set forth below. However, the timing of revenue recognition could differ from the estimates depending on facts and circumstances impacting the various contracts, including progress of research and development, resources assigned to the contracts by the Company or its collaboration partners, or other factors outside of the Company’s control.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8" w:name="page19"/>
    <w:bookmarkEnd w:id="18"/>
    <w:p>
      <w:pPr>
        <w:ind w:left="1021" w:right="120" w:hanging="512"/>
        <w:spacing w:after="0" w:line="246" w:lineRule="auto"/>
        <w:tabs>
          <w:tab w:leader="none" w:pos="1021" w:val="left"/>
        </w:tabs>
        <w:numPr>
          <w:ilvl w:val="1"/>
          <w:numId w:val="8"/>
        </w:numPr>
        <w:rPr>
          <w:rFonts w:ascii="Arial" w:cs="Arial" w:eastAsia="Arial" w:hAnsi="Arial"/>
          <w:sz w:val="18"/>
          <w:szCs w:val="18"/>
          <w:color w:val="auto"/>
        </w:rPr>
      </w:pPr>
      <w:r>
        <w:rPr>
          <w:rFonts w:ascii="Arial" w:cs="Arial" w:eastAsia="Arial" w:hAnsi="Arial"/>
          <w:sz w:val="17"/>
          <w:szCs w:val="17"/>
          <w:color w:val="auto"/>
        </w:rPr>
        <w:t>The $24.7 million of deferred revenue related to the CD71 Agreement as of March 31, 2021 is expected to be recognized based on actual FTE effort and program progress until approximately September 2022.</w:t>
      </w:r>
    </w:p>
    <w:p>
      <w:pPr>
        <w:spacing w:after="0" w:line="84" w:lineRule="exact"/>
        <w:rPr>
          <w:rFonts w:ascii="Arial" w:cs="Arial" w:eastAsia="Arial" w:hAnsi="Arial"/>
          <w:sz w:val="18"/>
          <w:szCs w:val="18"/>
          <w:color w:val="auto"/>
        </w:rPr>
      </w:pPr>
    </w:p>
    <w:p>
      <w:pPr>
        <w:ind w:left="1021" w:right="120" w:hanging="512"/>
        <w:spacing w:after="0" w:line="261" w:lineRule="auto"/>
        <w:tabs>
          <w:tab w:leader="none" w:pos="1021"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$0.8 million of deferred revenue related to the first target under the Discovery Agreement as of March 31, 2021 is expected to be recognized ratably until approximately April 2022.</w:t>
      </w:r>
    </w:p>
    <w:p>
      <w:pPr>
        <w:spacing w:after="0" w:line="71" w:lineRule="exact"/>
        <w:rPr>
          <w:rFonts w:ascii="Arial" w:cs="Arial" w:eastAsia="Arial" w:hAnsi="Arial"/>
          <w:sz w:val="17"/>
          <w:szCs w:val="17"/>
          <w:color w:val="auto"/>
        </w:rPr>
      </w:pPr>
    </w:p>
    <w:p>
      <w:pPr>
        <w:ind w:left="1021" w:right="420" w:hanging="512"/>
        <w:spacing w:after="0" w:line="261" w:lineRule="auto"/>
        <w:tabs>
          <w:tab w:leader="none" w:pos="1021"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$6.5 million of deferred revenue related to the second target under the Discovery Agreement as of March 31, 2021 is expected to be recognized ratably until approximately June 2024.</w:t>
      </w:r>
    </w:p>
    <w:p>
      <w:pPr>
        <w:spacing w:after="0" w:line="71" w:lineRule="exact"/>
        <w:rPr>
          <w:rFonts w:ascii="Arial" w:cs="Arial" w:eastAsia="Arial" w:hAnsi="Arial"/>
          <w:sz w:val="17"/>
          <w:szCs w:val="17"/>
          <w:color w:val="auto"/>
        </w:rPr>
      </w:pPr>
    </w:p>
    <w:p>
      <w:pPr>
        <w:ind w:left="1021" w:hanging="512"/>
        <w:spacing w:after="0" w:line="246" w:lineRule="auto"/>
        <w:tabs>
          <w:tab w:leader="none" w:pos="1021" w:val="left"/>
        </w:tabs>
        <w:numPr>
          <w:ilvl w:val="1"/>
          <w:numId w:val="8"/>
        </w:numPr>
        <w:rPr>
          <w:rFonts w:ascii="Arial" w:cs="Arial" w:eastAsia="Arial" w:hAnsi="Arial"/>
          <w:sz w:val="18"/>
          <w:szCs w:val="18"/>
          <w:color w:val="auto"/>
        </w:rPr>
      </w:pPr>
      <w:r>
        <w:rPr>
          <w:rFonts w:ascii="Arial" w:cs="Arial" w:eastAsia="Arial" w:hAnsi="Arial"/>
          <w:sz w:val="17"/>
          <w:szCs w:val="17"/>
          <w:color w:val="auto"/>
        </w:rPr>
        <w:t>The $27.4 million of deferred revenue related to the Amgen EGFR Products as of March 31, 2021 is expected to be recognized based on actual FTE effort and program progress until approximately September 2024.</w:t>
      </w:r>
    </w:p>
    <w:p>
      <w:pPr>
        <w:spacing w:after="0" w:line="84" w:lineRule="exact"/>
        <w:rPr>
          <w:rFonts w:ascii="Arial" w:cs="Arial" w:eastAsia="Arial" w:hAnsi="Arial"/>
          <w:sz w:val="18"/>
          <w:szCs w:val="18"/>
          <w:color w:val="auto"/>
        </w:rPr>
      </w:pPr>
    </w:p>
    <w:p>
      <w:pPr>
        <w:ind w:left="1021" w:right="100" w:hanging="512"/>
        <w:spacing w:after="0" w:line="246" w:lineRule="auto"/>
        <w:tabs>
          <w:tab w:leader="none" w:pos="1021" w:val="left"/>
        </w:tabs>
        <w:numPr>
          <w:ilvl w:val="1"/>
          <w:numId w:val="8"/>
        </w:numPr>
        <w:rPr>
          <w:rFonts w:ascii="Arial" w:cs="Arial" w:eastAsia="Arial" w:hAnsi="Arial"/>
          <w:sz w:val="18"/>
          <w:szCs w:val="18"/>
          <w:color w:val="auto"/>
        </w:rPr>
      </w:pPr>
      <w:r>
        <w:rPr>
          <w:rFonts w:ascii="Arial" w:cs="Arial" w:eastAsia="Arial" w:hAnsi="Arial"/>
          <w:sz w:val="17"/>
          <w:szCs w:val="17"/>
          <w:color w:val="auto"/>
        </w:rPr>
        <w:t>The $2.0 million of deferred revenue related to the Amgen Other Products as of March 31, 2021 is expected to be recognized ratably until approximately September 2023.</w:t>
      </w:r>
    </w:p>
    <w:p>
      <w:pPr>
        <w:spacing w:after="0" w:line="84" w:lineRule="exact"/>
        <w:rPr>
          <w:rFonts w:ascii="Arial" w:cs="Arial" w:eastAsia="Arial" w:hAnsi="Arial"/>
          <w:sz w:val="18"/>
          <w:szCs w:val="18"/>
          <w:color w:val="auto"/>
        </w:rPr>
      </w:pPr>
    </w:p>
    <w:p>
      <w:pPr>
        <w:ind w:left="1021" w:right="220" w:hanging="512"/>
        <w:spacing w:after="0" w:line="246" w:lineRule="auto"/>
        <w:tabs>
          <w:tab w:leader="none" w:pos="1021" w:val="left"/>
        </w:tabs>
        <w:numPr>
          <w:ilvl w:val="1"/>
          <w:numId w:val="8"/>
        </w:numPr>
        <w:rPr>
          <w:rFonts w:ascii="Arial" w:cs="Arial" w:eastAsia="Arial" w:hAnsi="Arial"/>
          <w:sz w:val="18"/>
          <w:szCs w:val="18"/>
          <w:color w:val="auto"/>
        </w:rPr>
      </w:pPr>
      <w:r>
        <w:rPr>
          <w:rFonts w:ascii="Arial" w:cs="Arial" w:eastAsia="Arial" w:hAnsi="Arial"/>
          <w:sz w:val="17"/>
          <w:szCs w:val="17"/>
          <w:color w:val="auto"/>
        </w:rPr>
        <w:t>The $63.6 million of deferred revenue related to the Astellas Agreement as of March 31, 2021 is expected to be recognized ratably until approximately March 2025.</w:t>
      </w:r>
    </w:p>
    <w:p>
      <w:pPr>
        <w:spacing w:after="0" w:line="84" w:lineRule="exact"/>
        <w:rPr>
          <w:rFonts w:ascii="Arial" w:cs="Arial" w:eastAsia="Arial" w:hAnsi="Arial"/>
          <w:sz w:val="18"/>
          <w:szCs w:val="18"/>
          <w:color w:val="auto"/>
        </w:rPr>
      </w:pPr>
    </w:p>
    <w:p>
      <w:pPr>
        <w:ind w:left="1021" w:right="320" w:hanging="512"/>
        <w:spacing w:after="0" w:line="261" w:lineRule="auto"/>
        <w:tabs>
          <w:tab w:leader="none" w:pos="1021"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$120.9 million of deferred revenue related to the BMS Agreement as of March 31, 2021 is expected to be recognized ratably until approximately April 2025.</w:t>
      </w:r>
    </w:p>
    <w:p>
      <w:pPr>
        <w:spacing w:after="0" w:line="303" w:lineRule="exact"/>
        <w:rPr>
          <w:rFonts w:ascii="Arial" w:cs="Arial" w:eastAsia="Arial" w:hAnsi="Arial"/>
          <w:sz w:val="17"/>
          <w:szCs w:val="17"/>
          <w:color w:val="auto"/>
        </w:rPr>
      </w:pPr>
    </w:p>
    <w:p>
      <w:pPr>
        <w:ind w:left="161" w:hanging="161"/>
        <w:spacing w:after="0"/>
        <w:tabs>
          <w:tab w:leader="none" w:pos="161"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License Agreements</w:t>
      </w:r>
    </w:p>
    <w:p>
      <w:pPr>
        <w:spacing w:after="0" w:line="107"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UCSB</w:t>
      </w:r>
    </w:p>
    <w:p>
      <w:pPr>
        <w:spacing w:after="0" w:line="103" w:lineRule="exact"/>
        <w:rPr>
          <w:sz w:val="20"/>
          <w:szCs w:val="20"/>
          <w:color w:val="auto"/>
        </w:rPr>
      </w:pPr>
    </w:p>
    <w:p>
      <w:pPr>
        <w:ind w:left="1" w:right="100"/>
        <w:spacing w:after="0" w:line="368" w:lineRule="auto"/>
        <w:rPr>
          <w:sz w:val="20"/>
          <w:szCs w:val="20"/>
          <w:color w:val="auto"/>
        </w:rPr>
      </w:pPr>
      <w:r>
        <w:rPr>
          <w:rFonts w:ascii="Arial" w:cs="Arial" w:eastAsia="Arial" w:hAnsi="Arial"/>
          <w:sz w:val="14"/>
          <w:szCs w:val="14"/>
          <w:color w:val="auto"/>
        </w:rPr>
        <w:t>The Company has an exclusive, worldwide license agreement with UCSB (the “UCSB Agreement”), relating to the use of certain patents and technology relating to its core technology, including its therapeutic antibodies, and to certain patent rights the Company co-owns with UCSB covering Probody antibodies and other pro-proteins.</w:t>
      </w:r>
    </w:p>
    <w:p>
      <w:pPr>
        <w:spacing w:after="0" w:line="102" w:lineRule="exact"/>
        <w:rPr>
          <w:sz w:val="20"/>
          <w:szCs w:val="20"/>
          <w:color w:val="auto"/>
        </w:rPr>
      </w:pPr>
    </w:p>
    <w:p>
      <w:pPr>
        <w:ind w:left="1" w:right="40"/>
        <w:spacing w:after="0" w:line="320" w:lineRule="auto"/>
        <w:rPr>
          <w:sz w:val="20"/>
          <w:szCs w:val="20"/>
          <w:color w:val="auto"/>
        </w:rPr>
      </w:pPr>
      <w:r>
        <w:rPr>
          <w:rFonts w:ascii="Arial" w:cs="Arial" w:eastAsia="Arial" w:hAnsi="Arial"/>
          <w:sz w:val="14"/>
          <w:szCs w:val="14"/>
          <w:color w:val="auto"/>
        </w:rPr>
        <w:t>In February 2020, the Company recorded $0.8 million of sublicense fees triggered by the $10.0 million milestone payment from Bristol Myers Squibb’s dosing of the first patient in the Part 2 cohort expansion portion of its ongoing BMS-986249 clinical study for the CTLA-4 program. In March 2020, the Company incurred additional sublicense fees of $6.0 million related to the $80.0 million upfront fee received pursuant to the Astellas Agreement entered into in March 2020, and $1.4 million related to the $40.0 million milestone payment from AbbVie for satisfying the CD71 dose escalation success criteria under the CD71 Agreement in March 2020.</w:t>
      </w:r>
    </w:p>
    <w:p>
      <w:pPr>
        <w:spacing w:after="0" w:line="135" w:lineRule="exact"/>
        <w:rPr>
          <w:sz w:val="20"/>
          <w:szCs w:val="20"/>
          <w:color w:val="auto"/>
        </w:rPr>
      </w:pPr>
    </w:p>
    <w:p>
      <w:pPr>
        <w:ind w:left="1" w:right="80"/>
        <w:spacing w:after="0" w:line="292" w:lineRule="auto"/>
        <w:rPr>
          <w:sz w:val="20"/>
          <w:szCs w:val="20"/>
          <w:color w:val="auto"/>
        </w:rPr>
      </w:pPr>
      <w:r>
        <w:rPr>
          <w:rFonts w:ascii="Arial" w:cs="Arial" w:eastAsia="Arial" w:hAnsi="Arial"/>
          <w:sz w:val="16"/>
          <w:szCs w:val="16"/>
          <w:color w:val="auto"/>
        </w:rPr>
        <w:t>During the three months ended March 31, 2021 and 2020, the Company incurred sublicense expenses of $0.9 million and $9.1 million, respectively under the provisions of the UCSB Agreement. As of March 31, 2021 and December 31, 2020, there was no outstanding sublicense fee payable to UCSB.</w:t>
      </w:r>
    </w:p>
    <w:p>
      <w:pPr>
        <w:spacing w:after="0" w:line="293"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8. Common Stock</w:t>
      </w:r>
    </w:p>
    <w:p>
      <w:pPr>
        <w:spacing w:after="0" w:line="119" w:lineRule="exact"/>
        <w:rPr>
          <w:sz w:val="20"/>
          <w:szCs w:val="20"/>
          <w:color w:val="auto"/>
        </w:rPr>
      </w:pPr>
    </w:p>
    <w:p>
      <w:pPr>
        <w:ind w:left="1" w:right="40"/>
        <w:spacing w:after="0" w:line="267" w:lineRule="auto"/>
        <w:rPr>
          <w:sz w:val="20"/>
          <w:szCs w:val="20"/>
          <w:color w:val="auto"/>
        </w:rPr>
      </w:pPr>
      <w:r>
        <w:rPr>
          <w:rFonts w:ascii="Arial" w:cs="Arial" w:eastAsia="Arial" w:hAnsi="Arial"/>
          <w:sz w:val="16"/>
          <w:szCs w:val="16"/>
          <w:color w:val="auto"/>
        </w:rPr>
        <w:t>In January 2021, the Company completed an underwritten public offering of 14,285,714 shares of common stock at a price of $7.00 per share. The aggregate net proceeds received by the Company from the offering were approximately $93.6 million, after deducting underwriting discounts and commissions and offering expenses of $6.4 million. The Company also granted the underwriters the option, for 30 days, to purchase up to 2,142,857 additional shares of common stock at the public offering price, less the underwriting discounts and commissions. In February 2021, the underwriters exercised the option in full which resulted in additional net proceeds of $14.1 million to the Company, after deducting the underwriting discounts and commissions of $0.9 million.</w:t>
      </w: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16851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437"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9. Stock-Based Compensation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Activities under the Company’s stock option plans for the three months ended March 31, 2021 were as follows:</w:t>
      </w:r>
    </w:p>
    <w:p>
      <w:pPr>
        <w:spacing w:after="0" w:line="269" w:lineRule="exact"/>
        <w:rPr>
          <w:sz w:val="20"/>
          <w:szCs w:val="20"/>
          <w:color w:val="auto"/>
        </w:rPr>
      </w:pPr>
    </w:p>
    <w:tbl>
      <w:tblPr>
        <w:tblLayout w:type="fixed"/>
        <w:tblInd w:w="56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6940" w:type="dxa"/>
            <w:vAlign w:val="bottom"/>
          </w:tcPr>
          <w:p>
            <w:pPr>
              <w:spacing w:after="0"/>
              <w:rPr>
                <w:sz w:val="13"/>
                <w:szCs w:val="13"/>
                <w:color w:val="auto"/>
              </w:rPr>
            </w:pPr>
          </w:p>
        </w:tc>
        <w:tc>
          <w:tcPr>
            <w:tcW w:w="3160" w:type="dxa"/>
            <w:vAlign w:val="bottom"/>
            <w:gridSpan w:val="6"/>
          </w:tcPr>
          <w:p>
            <w:pPr>
              <w:ind w:left="920"/>
              <w:spacing w:after="0"/>
              <w:rPr>
                <w:sz w:val="20"/>
                <w:szCs w:val="20"/>
                <w:color w:val="auto"/>
              </w:rPr>
            </w:pPr>
            <w:r>
              <w:rPr>
                <w:rFonts w:ascii="Arial" w:cs="Arial" w:eastAsia="Arial" w:hAnsi="Arial"/>
                <w:sz w:val="13"/>
                <w:szCs w:val="13"/>
                <w:b w:val="1"/>
                <w:bCs w:val="1"/>
                <w:color w:val="auto"/>
              </w:rPr>
              <w:t>Options Outstanding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ind w:right="124"/>
              <w:spacing w:after="0" w:line="121" w:lineRule="exact"/>
              <w:rPr>
                <w:sz w:val="20"/>
                <w:szCs w:val="20"/>
                <w:color w:val="auto"/>
              </w:rPr>
            </w:pPr>
            <w:r>
              <w:rPr>
                <w:rFonts w:ascii="Arial" w:cs="Arial" w:eastAsia="Arial" w:hAnsi="Arial"/>
                <w:sz w:val="13"/>
                <w:szCs w:val="13"/>
                <w:b w:val="1"/>
                <w:bCs w:val="1"/>
                <w:color w:val="auto"/>
                <w:w w:val="92"/>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center"/>
              <w:ind w:right="300"/>
              <w:spacing w:after="0" w:line="137" w:lineRule="exact"/>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1540" w:type="dxa"/>
            <w:vAlign w:val="bottom"/>
            <w:gridSpan w:val="2"/>
          </w:tcPr>
          <w:p>
            <w:pPr>
              <w:jc w:val="right"/>
              <w:ind w:right="540"/>
              <w:spacing w:after="0" w:line="137" w:lineRule="exact"/>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center"/>
              <w:ind w:right="320"/>
              <w:spacing w:after="0" w:line="137" w:lineRule="exact"/>
              <w:rPr>
                <w:sz w:val="20"/>
                <w:szCs w:val="20"/>
                <w:color w:val="auto"/>
              </w:rPr>
            </w:pPr>
            <w:r>
              <w:rPr>
                <w:rFonts w:ascii="Arial" w:cs="Arial" w:eastAsia="Arial" w:hAnsi="Arial"/>
                <w:sz w:val="13"/>
                <w:szCs w:val="13"/>
                <w:b w:val="1"/>
                <w:bCs w:val="1"/>
                <w:color w:val="auto"/>
                <w:w w:val="89"/>
              </w:rPr>
              <w:t>Exercise Price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940" w:type="dxa"/>
            <w:vAlign w:val="bottom"/>
          </w:tcPr>
          <w:p>
            <w:pPr>
              <w:spacing w:after="0"/>
              <w:rPr>
                <w:sz w:val="13"/>
                <w:szCs w:val="13"/>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Options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Per Share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Balances at December 31, 2020</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10,929,530</w:t>
            </w: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10.77</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Pr>
          <w:p>
            <w:pPr>
              <w:ind w:left="220"/>
              <w:spacing w:after="0"/>
              <w:rPr>
                <w:sz w:val="20"/>
                <w:szCs w:val="20"/>
                <w:color w:val="auto"/>
              </w:rPr>
            </w:pPr>
            <w:r>
              <w:rPr>
                <w:rFonts w:ascii="Arial" w:cs="Arial" w:eastAsia="Arial" w:hAnsi="Arial"/>
                <w:sz w:val="17"/>
                <w:szCs w:val="17"/>
                <w:color w:val="auto"/>
              </w:rPr>
              <w:t>Options granted</w:t>
            </w:r>
          </w:p>
        </w:tc>
        <w:tc>
          <w:tcPr>
            <w:tcW w:w="1400" w:type="dxa"/>
            <w:vAlign w:val="bottom"/>
          </w:tcPr>
          <w:p>
            <w:pPr>
              <w:jc w:val="right"/>
              <w:spacing w:after="0"/>
              <w:rPr>
                <w:sz w:val="20"/>
                <w:szCs w:val="20"/>
                <w:color w:val="auto"/>
              </w:rPr>
            </w:pPr>
            <w:r>
              <w:rPr>
                <w:rFonts w:ascii="Arial" w:cs="Arial" w:eastAsia="Arial" w:hAnsi="Arial"/>
                <w:sz w:val="17"/>
                <w:szCs w:val="17"/>
                <w:color w:val="auto"/>
              </w:rPr>
              <w:t>2,792,347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Options exercised</w:t>
            </w: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(322,507)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Pr>
          <w:p>
            <w:pPr>
              <w:ind w:left="220"/>
              <w:spacing w:after="0"/>
              <w:rPr>
                <w:sz w:val="20"/>
                <w:szCs w:val="20"/>
                <w:color w:val="auto"/>
              </w:rPr>
            </w:pPr>
            <w:r>
              <w:rPr>
                <w:rFonts w:ascii="Arial" w:cs="Arial" w:eastAsia="Arial" w:hAnsi="Arial"/>
                <w:sz w:val="17"/>
                <w:szCs w:val="17"/>
                <w:color w:val="auto"/>
              </w:rPr>
              <w:t>Option forfeited/expired</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(1,535,118)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Balances at March 31, 2021</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11,864,252</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CFF0FC"/>
              <w:bottom w:val="single" w:sz="8" w:color="CFF0FC"/>
            </w:tcBorders>
            <w:gridSpan w:val="2"/>
            <w:shd w:val="clear" w:color="auto" w:fill="CFF0FC"/>
          </w:tcPr>
          <w:p>
            <w:pPr>
              <w:jc w:val="right"/>
              <w:ind w:right="28"/>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10.25</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Options exercisable at March 31, 2021</w:t>
            </w: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960" w:type="dxa"/>
            <w:vAlign w:val="bottom"/>
            <w:gridSpan w:val="2"/>
            <w:vMerge w:val="continue"/>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5,341,720</w:t>
            </w:r>
          </w:p>
        </w:tc>
        <w:tc>
          <w:tcPr>
            <w:tcW w:w="140" w:type="dxa"/>
            <w:vAlign w:val="bottom"/>
          </w:tcPr>
          <w:p>
            <w:pPr>
              <w:spacing w:after="0"/>
              <w:rPr>
                <w:sz w:val="17"/>
                <w:szCs w:val="17"/>
                <w:color w:val="auto"/>
              </w:rPr>
            </w:pPr>
          </w:p>
        </w:tc>
        <w:tc>
          <w:tcPr>
            <w:tcW w:w="300" w:type="dxa"/>
            <w:vAlign w:val="bottom"/>
            <w:gridSpan w:val="2"/>
          </w:tcPr>
          <w:p>
            <w:pPr>
              <w:jc w:val="right"/>
              <w:ind w:right="28"/>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12.11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recorded related to options granted to employees and non-employees and employee stock purchase plan was as follows:</w:t>
      </w:r>
    </w:p>
    <w:p>
      <w:pPr>
        <w:spacing w:after="0" w:line="280"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gridSpan w:val="4"/>
          </w:tcPr>
          <w:p>
            <w:pPr>
              <w:jc w:val="center"/>
              <w:spacing w:after="0"/>
              <w:rPr>
                <w:sz w:val="20"/>
                <w:szCs w:val="20"/>
                <w:color w:val="auto"/>
              </w:rPr>
            </w:pPr>
            <w:r>
              <w:rPr>
                <w:rFonts w:ascii="Arial" w:cs="Arial" w:eastAsia="Arial" w:hAnsi="Arial"/>
                <w:sz w:val="13"/>
                <w:szCs w:val="13"/>
                <w:b w:val="1"/>
                <w:bCs w:val="1"/>
                <w:color w:val="auto"/>
                <w:w w:val="93"/>
              </w:rPr>
              <w:t>Three Months Ended</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6"/>
              </w:rPr>
              <w:t>March 31,</w:t>
            </w: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1"/>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01"/>
              <w:spacing w:after="0" w:line="142"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2"/>
                <w:szCs w:val="12"/>
                <w:color w:val="auto"/>
              </w:rPr>
            </w:pPr>
          </w:p>
        </w:tc>
      </w:tr>
      <w:tr>
        <w:trPr>
          <w:trHeight w:val="141"/>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00" w:type="dxa"/>
            <w:vAlign w:val="bottom"/>
            <w:gridSpan w:val="4"/>
          </w:tcPr>
          <w:p>
            <w:pPr>
              <w:jc w:val="center"/>
              <w:spacing w:after="0" w:line="142" w:lineRule="exact"/>
              <w:rPr>
                <w:sz w:val="20"/>
                <w:szCs w:val="20"/>
                <w:color w:val="auto"/>
              </w:rPr>
            </w:pPr>
            <w:r>
              <w:rPr>
                <w:rFonts w:ascii="Arial" w:cs="Arial" w:eastAsia="Arial" w:hAnsi="Arial"/>
                <w:sz w:val="13"/>
                <w:szCs w:val="13"/>
                <w:b w:val="1"/>
                <w:bCs w:val="1"/>
                <w:color w:val="auto"/>
                <w:w w:val="89"/>
              </w:rPr>
              <w:t>(in thousands)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1"/>
        </w:trPr>
        <w:tc>
          <w:tcPr>
            <w:tcW w:w="20" w:type="dxa"/>
            <w:vAlign w:val="bottom"/>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7"/>
                <w:szCs w:val="17"/>
                <w:color w:val="auto"/>
              </w:rPr>
              <w:t>Stock-based compensation expense:</w:t>
            </w:r>
          </w:p>
        </w:tc>
        <w:tc>
          <w:tcPr>
            <w:tcW w:w="19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4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2760" w:type="dxa"/>
            <w:vAlign w:val="bottom"/>
            <w:gridSpan w:val="2"/>
          </w:tcPr>
          <w:p>
            <w:pPr>
              <w:jc w:val="right"/>
              <w:ind w:right="711"/>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1,337</w:t>
            </w:r>
          </w:p>
        </w:tc>
        <w:tc>
          <w:tcPr>
            <w:tcW w:w="240" w:type="dxa"/>
            <w:vAlign w:val="bottom"/>
          </w:tcPr>
          <w:p>
            <w:pPr>
              <w:spacing w:after="0"/>
              <w:rPr>
                <w:sz w:val="18"/>
                <w:szCs w:val="18"/>
                <w:color w:val="auto"/>
              </w:rPr>
            </w:pPr>
          </w:p>
        </w:tc>
        <w:tc>
          <w:tcPr>
            <w:tcW w:w="520" w:type="dxa"/>
            <w:vAlign w:val="bottom"/>
            <w:gridSpan w:val="2"/>
          </w:tcPr>
          <w:p>
            <w:pPr>
              <w:jc w:val="right"/>
              <w:ind w:right="348"/>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1,919</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0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General and administrative</w:t>
            </w:r>
          </w:p>
        </w:tc>
        <w:tc>
          <w:tcPr>
            <w:tcW w:w="1900" w:type="dxa"/>
            <w:vAlign w:val="bottom"/>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1,697</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2,094</w:t>
            </w:r>
          </w:p>
        </w:tc>
        <w:tc>
          <w:tcPr>
            <w:tcW w:w="100" w:type="dxa"/>
            <w:vAlign w:val="bottom"/>
            <w:shd w:val="clear" w:color="auto" w:fill="CFF0FC"/>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040" w:type="dxa"/>
            <w:vAlign w:val="bottom"/>
          </w:tcPr>
          <w:p>
            <w:pPr>
              <w:ind w:left="440"/>
              <w:spacing w:after="0"/>
              <w:rPr>
                <w:sz w:val="20"/>
                <w:szCs w:val="20"/>
                <w:color w:val="auto"/>
              </w:rPr>
            </w:pPr>
            <w:r>
              <w:rPr>
                <w:rFonts w:ascii="Arial" w:cs="Arial" w:eastAsia="Arial" w:hAnsi="Arial"/>
                <w:sz w:val="17"/>
                <w:szCs w:val="17"/>
                <w:color w:val="auto"/>
              </w:rPr>
              <w:t>Total stock-based compensation expense</w:t>
            </w:r>
          </w:p>
        </w:tc>
        <w:tc>
          <w:tcPr>
            <w:tcW w:w="1900" w:type="dxa"/>
            <w:vAlign w:val="bottom"/>
          </w:tcPr>
          <w:p>
            <w:pPr>
              <w:spacing w:after="0"/>
              <w:rPr>
                <w:sz w:val="17"/>
                <w:szCs w:val="17"/>
                <w:color w:val="auto"/>
              </w:rPr>
            </w:pPr>
          </w:p>
        </w:tc>
        <w:tc>
          <w:tcPr>
            <w:tcW w:w="86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3,034</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4,013</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Leases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w:t>
      </w:r>
    </w:p>
    <w:p>
      <w:pPr>
        <w:spacing w:after="0" w:line="103"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On December 10, 2015, the Company entered into a lease (the “2016 Lease”) with HCP Oyster Point III LLC (the “Landlord”) to lease approximately 76,000 rentable square feet of office and laboratory space located in South San Francisco, California for the Company’s new corporate headquarters.</w:t>
      </w:r>
    </w:p>
    <w:p>
      <w:pPr>
        <w:spacing w:after="0" w:line="148"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term of the Lease commenced on October 1, 2016. The 2016 Lease has an initial term of ten years from the commencement date, and the Company has an option to extend the initial term for an additional five years at the then fair rental value as determined pursuant to the 2016 Lease.</w:t>
      </w:r>
    </w:p>
    <w:p>
      <w:pPr>
        <w:spacing w:after="0" w:line="171"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The Lease provided for annual base rent of approximately $3.1 million in the first year of the lease term. The annual base rent for the second twelve months was approximately $4.3 million, which will increase on an annual basis beginning from the 25</w:t>
      </w:r>
      <w:r>
        <w:rPr>
          <w:rFonts w:ascii="Arial" w:cs="Arial" w:eastAsia="Arial" w:hAnsi="Arial"/>
          <w:sz w:val="14"/>
          <w:szCs w:val="14"/>
          <w:color w:val="auto"/>
        </w:rPr>
        <w:t>th</w:t>
      </w:r>
      <w:r>
        <w:rPr>
          <w:rFonts w:ascii="Arial" w:cs="Arial" w:eastAsia="Arial" w:hAnsi="Arial"/>
          <w:sz w:val="17"/>
          <w:szCs w:val="17"/>
          <w:color w:val="auto"/>
        </w:rPr>
        <w:t xml:space="preserve"> month to approximately $5.5 million for the tenth year of the lease. The Company utilized the full amount of the one-time improvement allowance of $12.6 million, of which $2.3 million is recoverable by the landlord through increased rent which continues through the expiration of the initial lease term.</w:t>
      </w:r>
    </w:p>
    <w:p>
      <w:pPr>
        <w:spacing w:after="0" w:line="18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addition, the Company obtained a standby letter of credit (the “Letter of Credit”) in an amount of approximately $0.9 million, which may be drawn by the Landlord to be applied for certain purposes upon the Company’s breach of any provisions under the 2016 Lease. The Company has recorded the $0.9 million Letter of Credit as non-current restricted cash on its balance sheet as of March 31, 2021 and December 31, 2020, respectively.</w:t>
      </w:r>
    </w:p>
    <w:p>
      <w:pPr>
        <w:spacing w:after="0" w:line="179" w:lineRule="exact"/>
        <w:rPr>
          <w:sz w:val="20"/>
          <w:szCs w:val="20"/>
          <w:color w:val="auto"/>
        </w:rPr>
      </w:pPr>
    </w:p>
    <w:p>
      <w:pPr>
        <w:ind w:right="180"/>
        <w:spacing w:after="0" w:line="368" w:lineRule="auto"/>
        <w:rPr>
          <w:sz w:val="20"/>
          <w:szCs w:val="20"/>
          <w:color w:val="auto"/>
        </w:rPr>
      </w:pPr>
      <w:r>
        <w:rPr>
          <w:rFonts w:ascii="Arial" w:cs="Arial" w:eastAsia="Arial" w:hAnsi="Arial"/>
          <w:sz w:val="14"/>
          <w:szCs w:val="14"/>
          <w:color w:val="auto"/>
        </w:rPr>
        <w:t>Rent expense is recognized on a straight-line basis over the term of the lease and accordingly the Company records the difference between cash rent payments and the recognition of rent expense against the operating lease ROU asset. Rent expense during each of the three months ended March 31, 2021 and 2020 was $1.3 million.</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80"/>
          </w:cols>
          <w:pgMar w:left="320" w:top="657" w:right="399" w:bottom="1440" w:gutter="0" w:footer="0" w:header="0"/>
        </w:sectPr>
      </w:pPr>
    </w:p>
    <w:bookmarkStart w:id="20" w:name="page21"/>
    <w:bookmarkEnd w:id="20"/>
    <w:p>
      <w:pPr>
        <w:spacing w:after="0"/>
        <w:rPr>
          <w:sz w:val="20"/>
          <w:szCs w:val="20"/>
          <w:color w:val="auto"/>
        </w:rPr>
      </w:pPr>
      <w:r>
        <w:rPr>
          <w:rFonts w:ascii="Arial" w:cs="Arial" w:eastAsia="Arial" w:hAnsi="Arial"/>
          <w:sz w:val="17"/>
          <w:szCs w:val="17"/>
          <w:color w:val="auto"/>
        </w:rPr>
        <w:t>Supplemental information related to leases are as follows:</w:t>
      </w:r>
    </w:p>
    <w:p>
      <w:pPr>
        <w:spacing w:after="0" w:line="281" w:lineRule="exact"/>
        <w:rPr>
          <w:sz w:val="20"/>
          <w:szCs w:val="20"/>
          <w:color w:val="auto"/>
        </w:rPr>
      </w:pPr>
    </w:p>
    <w:tbl>
      <w:tblPr>
        <w:tblLayout w:type="fixed"/>
        <w:tblInd w:w="56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320" w:type="dxa"/>
            <w:vAlign w:val="bottom"/>
            <w:tcBorders>
              <w:bottom w:val="single" w:sz="8" w:color="auto"/>
            </w:tcBorders>
            <w:gridSpan w:val="6"/>
          </w:tcPr>
          <w:p>
            <w:pPr>
              <w:jc w:val="right"/>
              <w:ind w:right="1101"/>
              <w:spacing w:after="0"/>
              <w:rPr>
                <w:sz w:val="20"/>
                <w:szCs w:val="20"/>
                <w:color w:val="auto"/>
              </w:rPr>
            </w:pPr>
            <w:r>
              <w:rPr>
                <w:rFonts w:ascii="Arial" w:cs="Arial" w:eastAsia="Arial" w:hAnsi="Arial"/>
                <w:sz w:val="13"/>
                <w:szCs w:val="13"/>
                <w:b w:val="1"/>
                <w:bCs w:val="1"/>
                <w:color w:val="auto"/>
              </w:rPr>
              <w:t>Three Months Ended</w:t>
            </w: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March 31, 2021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jc w:val="right"/>
              <w:ind w:right="520"/>
              <w:spacing w:after="0"/>
              <w:rPr>
                <w:sz w:val="20"/>
                <w:szCs w:val="20"/>
                <w:color w:val="auto"/>
              </w:rPr>
            </w:pPr>
            <w:r>
              <w:rPr>
                <w:rFonts w:ascii="Arial" w:cs="Arial" w:eastAsia="Arial" w:hAnsi="Arial"/>
                <w:sz w:val="13"/>
                <w:szCs w:val="13"/>
                <w:b w:val="1"/>
                <w:bCs w:val="1"/>
                <w:color w:val="auto"/>
              </w:rPr>
              <w:t>March 31,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gridSpan w:val="5"/>
          </w:tcPr>
          <w:p>
            <w:pPr>
              <w:jc w:val="right"/>
              <w:ind w:right="20"/>
              <w:spacing w:after="0"/>
              <w:rPr>
                <w:sz w:val="20"/>
                <w:szCs w:val="20"/>
                <w:color w:val="auto"/>
              </w:rPr>
            </w:pPr>
            <w:r>
              <w:rPr>
                <w:rFonts w:ascii="Arial" w:cs="Arial" w:eastAsia="Arial" w:hAnsi="Arial"/>
                <w:sz w:val="13"/>
                <w:szCs w:val="13"/>
                <w:b w:val="1"/>
                <w:bCs w:val="1"/>
                <w:color w:val="auto"/>
              </w:rPr>
              <w:t>(in thousands)</w:t>
            </w: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w w:val="98"/>
              </w:rPr>
              <w:t>Cash paid for amounts included in the measurement of lease liabilities</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ind w:left="100"/>
              <w:spacing w:after="0"/>
              <w:rPr>
                <w:sz w:val="20"/>
                <w:szCs w:val="20"/>
                <w:color w:val="auto"/>
              </w:rPr>
            </w:pPr>
            <w:r>
              <w:rPr>
                <w:rFonts w:ascii="Arial" w:cs="Arial" w:eastAsia="Arial" w:hAnsi="Arial"/>
                <w:sz w:val="17"/>
                <w:szCs w:val="17"/>
                <w:color w:val="auto"/>
              </w:rPr>
              <w:t>Operating cash flows from operating leases</w:t>
            </w:r>
          </w:p>
        </w:tc>
        <w:tc>
          <w:tcPr>
            <w:tcW w:w="960" w:type="dxa"/>
            <w:vAlign w:val="bottom"/>
            <w:gridSpan w:val="2"/>
          </w:tcPr>
          <w:p>
            <w:pPr>
              <w:jc w:val="right"/>
              <w:ind w:right="68"/>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1,273</w:t>
            </w:r>
          </w:p>
        </w:tc>
        <w:tc>
          <w:tcPr>
            <w:tcW w:w="220" w:type="dxa"/>
            <w:vAlign w:val="bottom"/>
          </w:tcPr>
          <w:p>
            <w:pPr>
              <w:spacing w:after="0"/>
              <w:rPr>
                <w:sz w:val="18"/>
                <w:szCs w:val="18"/>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1,239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March 31, 2021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w w:val="92"/>
              </w:rPr>
              <w:t>December 31, 2020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gridSpan w:val="5"/>
          </w:tcPr>
          <w:p>
            <w:pPr>
              <w:jc w:val="right"/>
              <w:ind w:right="20"/>
              <w:spacing w:after="0"/>
              <w:rPr>
                <w:sz w:val="20"/>
                <w:szCs w:val="20"/>
                <w:color w:val="auto"/>
              </w:rPr>
            </w:pPr>
            <w:r>
              <w:rPr>
                <w:rFonts w:ascii="Arial" w:cs="Arial" w:eastAsia="Arial" w:hAnsi="Arial"/>
                <w:sz w:val="13"/>
                <w:szCs w:val="13"/>
                <w:b w:val="1"/>
                <w:bCs w:val="1"/>
                <w:color w:val="auto"/>
              </w:rPr>
              <w:t>(in thousands)</w:t>
            </w:r>
          </w:p>
        </w:tc>
        <w:tc>
          <w:tcPr>
            <w:tcW w:w="13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Supplemental balance sheet information related to leases:</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60" w:type="dxa"/>
            <w:vAlign w:val="bottom"/>
          </w:tcPr>
          <w:p>
            <w:pPr>
              <w:ind w:left="100"/>
              <w:spacing w:after="0"/>
              <w:rPr>
                <w:sz w:val="20"/>
                <w:szCs w:val="20"/>
                <w:color w:val="auto"/>
              </w:rPr>
            </w:pPr>
            <w:r>
              <w:rPr>
                <w:rFonts w:ascii="Arial" w:cs="Arial" w:eastAsia="Arial" w:hAnsi="Arial"/>
                <w:sz w:val="17"/>
                <w:szCs w:val="17"/>
                <w:color w:val="auto"/>
              </w:rPr>
              <w:t>Operating lease right-of-use assets</w:t>
            </w:r>
          </w:p>
        </w:tc>
        <w:tc>
          <w:tcPr>
            <w:tcW w:w="960" w:type="dxa"/>
            <w:vAlign w:val="bottom"/>
            <w:gridSpan w:val="2"/>
          </w:tcPr>
          <w:p>
            <w:pPr>
              <w:jc w:val="right"/>
              <w:ind w:right="68"/>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21,736</w:t>
            </w:r>
          </w:p>
        </w:tc>
        <w:tc>
          <w:tcPr>
            <w:tcW w:w="220" w:type="dxa"/>
            <w:vAlign w:val="bottom"/>
          </w:tcPr>
          <w:p>
            <w:pPr>
              <w:spacing w:after="0"/>
              <w:rPr>
                <w:sz w:val="21"/>
                <w:szCs w:val="21"/>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22,495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tcBorders>
              <w:top w:val="single" w:sz="8" w:color="CFF0FC"/>
            </w:tcBorders>
            <w:shd w:val="clear" w:color="auto" w:fill="CFF0FC"/>
          </w:tcPr>
          <w:p>
            <w:pPr>
              <w:ind w:left="100"/>
              <w:spacing w:after="0" w:line="188" w:lineRule="exact"/>
              <w:rPr>
                <w:sz w:val="20"/>
                <w:szCs w:val="20"/>
                <w:color w:val="auto"/>
              </w:rPr>
            </w:pPr>
            <w:r>
              <w:rPr>
                <w:rFonts w:ascii="Arial" w:cs="Arial" w:eastAsia="Arial" w:hAnsi="Arial"/>
                <w:sz w:val="17"/>
                <w:szCs w:val="17"/>
                <w:color w:val="auto"/>
              </w:rPr>
              <w:t>Current operating lease liabilities</w:t>
            </w:r>
          </w:p>
        </w:tc>
        <w:tc>
          <w:tcPr>
            <w:tcW w:w="74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400" w:type="dxa"/>
            <w:vAlign w:val="bottom"/>
            <w:tcBorders>
              <w:top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3,297</w:t>
            </w:r>
          </w:p>
        </w:tc>
        <w:tc>
          <w:tcPr>
            <w:tcW w:w="2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360" w:type="dxa"/>
            <w:vAlign w:val="bottom"/>
            <w:tcBorders>
              <w:top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3,195</w:t>
            </w:r>
          </w:p>
        </w:tc>
        <w:tc>
          <w:tcPr>
            <w:tcW w:w="8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FF0FC"/>
            </w:tcBorders>
          </w:tcPr>
          <w:p>
            <w:pPr>
              <w:ind w:left="100"/>
              <w:spacing w:after="0"/>
              <w:rPr>
                <w:sz w:val="20"/>
                <w:szCs w:val="20"/>
                <w:color w:val="auto"/>
              </w:rPr>
            </w:pPr>
            <w:r>
              <w:rPr>
                <w:rFonts w:ascii="Arial" w:cs="Arial" w:eastAsia="Arial" w:hAnsi="Arial"/>
                <w:sz w:val="17"/>
                <w:szCs w:val="17"/>
                <w:color w:val="auto"/>
              </w:rPr>
              <w:t>Non-current operating lease liabilities</w:t>
            </w:r>
          </w:p>
        </w:tc>
        <w:tc>
          <w:tcPr>
            <w:tcW w:w="7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20,807</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21,675</w:t>
            </w: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7"/>
                <w:szCs w:val="17"/>
                <w:color w:val="auto"/>
              </w:rPr>
              <w:t>Total operating lease liabilities</w:t>
            </w:r>
          </w:p>
        </w:tc>
        <w:tc>
          <w:tcPr>
            <w:tcW w:w="7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24,104</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24,870</w:t>
            </w:r>
          </w:p>
        </w:tc>
        <w:tc>
          <w:tcPr>
            <w:tcW w:w="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tcPr>
          <w:p>
            <w:pPr>
              <w:spacing w:after="0"/>
              <w:rPr>
                <w:sz w:val="16"/>
                <w:szCs w:val="16"/>
                <w:color w:val="auto"/>
              </w:rPr>
            </w:pPr>
          </w:p>
        </w:tc>
        <w:tc>
          <w:tcPr>
            <w:tcW w:w="5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Weighted-average remaining lease term (in years)</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tcPr>
          <w:p>
            <w:pPr>
              <w:ind w:left="100"/>
              <w:spacing w:after="0"/>
              <w:rPr>
                <w:sz w:val="20"/>
                <w:szCs w:val="20"/>
                <w:color w:val="auto"/>
              </w:rPr>
            </w:pPr>
            <w:r>
              <w:rPr>
                <w:rFonts w:ascii="Arial" w:cs="Arial" w:eastAsia="Arial" w:hAnsi="Arial"/>
                <w:sz w:val="17"/>
                <w:szCs w:val="17"/>
                <w:color w:val="auto"/>
              </w:rPr>
              <w:t>Operating lease</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Weighted-average discount rate</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tcPr>
          <w:p>
            <w:pPr>
              <w:ind w:left="100"/>
              <w:spacing w:after="0"/>
              <w:rPr>
                <w:sz w:val="20"/>
                <w:szCs w:val="20"/>
                <w:color w:val="auto"/>
              </w:rPr>
            </w:pPr>
            <w:r>
              <w:rPr>
                <w:rFonts w:ascii="Arial" w:cs="Arial" w:eastAsia="Arial" w:hAnsi="Arial"/>
                <w:sz w:val="17"/>
                <w:szCs w:val="17"/>
                <w:color w:val="auto"/>
              </w:rPr>
              <w:t>Operating lease</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7"/>
                <w:szCs w:val="17"/>
                <w:color w:val="auto"/>
              </w:rPr>
              <w:t>8.25%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7"/>
                <w:szCs w:val="17"/>
                <w:color w:val="auto"/>
              </w:rPr>
              <w:t>8.25%</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3"/>
                <w:szCs w:val="13"/>
                <w:b w:val="1"/>
                <w:bCs w:val="1"/>
                <w:color w:val="auto"/>
              </w:rPr>
              <w:t>March 31, 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jc w:val="right"/>
              <w:ind w:right="520"/>
              <w:spacing w:after="0"/>
              <w:rPr>
                <w:sz w:val="20"/>
                <w:szCs w:val="20"/>
                <w:color w:val="auto"/>
              </w:rPr>
            </w:pPr>
            <w:r>
              <w:rPr>
                <w:rFonts w:ascii="Arial" w:cs="Arial" w:eastAsia="Arial" w:hAnsi="Arial"/>
                <w:sz w:val="13"/>
                <w:szCs w:val="13"/>
                <w:b w:val="1"/>
                <w:bCs w:val="1"/>
                <w:color w:val="auto"/>
              </w:rPr>
              <w:t>(in thousands)</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Maturity of operating lease liabilities</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tcPr>
          <w:p>
            <w:pPr>
              <w:ind w:left="100"/>
              <w:spacing w:after="0"/>
              <w:rPr>
                <w:sz w:val="20"/>
                <w:szCs w:val="20"/>
                <w:color w:val="auto"/>
              </w:rPr>
            </w:pPr>
            <w:r>
              <w:rPr>
                <w:rFonts w:ascii="Arial" w:cs="Arial" w:eastAsia="Arial" w:hAnsi="Arial"/>
                <w:sz w:val="17"/>
                <w:szCs w:val="17"/>
                <w:color w:val="auto"/>
              </w:rPr>
              <w:t>2021</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20"/>
              <w:spacing w:after="0"/>
              <w:rPr>
                <w:sz w:val="20"/>
                <w:szCs w:val="20"/>
                <w:color w:val="auto"/>
              </w:rPr>
            </w:pPr>
            <w:r>
              <w:rPr>
                <w:rFonts w:ascii="Arial" w:cs="Arial" w:eastAsia="Arial" w:hAnsi="Arial"/>
                <w:sz w:val="17"/>
                <w:szCs w:val="17"/>
                <w:color w:val="auto"/>
              </w:rPr>
              <w:t>3,856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60" w:type="dxa"/>
            <w:vAlign w:val="bottom"/>
            <w:shd w:val="clear" w:color="auto" w:fill="CFF0FC"/>
          </w:tcPr>
          <w:p>
            <w:pPr>
              <w:ind w:left="100"/>
              <w:spacing w:after="0"/>
              <w:rPr>
                <w:sz w:val="20"/>
                <w:szCs w:val="20"/>
                <w:color w:val="auto"/>
              </w:rPr>
            </w:pPr>
            <w:r>
              <w:rPr>
                <w:rFonts w:ascii="Arial" w:cs="Arial" w:eastAsia="Arial" w:hAnsi="Arial"/>
                <w:sz w:val="17"/>
                <w:szCs w:val="17"/>
                <w:color w:val="auto"/>
              </w:rPr>
              <w:t>2022</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5,273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tcPr>
          <w:p>
            <w:pPr>
              <w:ind w:left="100"/>
              <w:spacing w:after="0"/>
              <w:rPr>
                <w:sz w:val="20"/>
                <w:szCs w:val="20"/>
                <w:color w:val="auto"/>
              </w:rPr>
            </w:pPr>
            <w:r>
              <w:rPr>
                <w:rFonts w:ascii="Arial" w:cs="Arial" w:eastAsia="Arial" w:hAnsi="Arial"/>
                <w:sz w:val="17"/>
                <w:szCs w:val="17"/>
                <w:color w:val="auto"/>
              </w:rPr>
              <w:t>2023</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7"/>
                <w:szCs w:val="17"/>
                <w:color w:val="auto"/>
              </w:rPr>
              <w:t>5,420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60" w:type="dxa"/>
            <w:vAlign w:val="bottom"/>
            <w:shd w:val="clear" w:color="auto" w:fill="CFF0FC"/>
          </w:tcPr>
          <w:p>
            <w:pPr>
              <w:ind w:left="100"/>
              <w:spacing w:after="0"/>
              <w:rPr>
                <w:sz w:val="20"/>
                <w:szCs w:val="20"/>
                <w:color w:val="auto"/>
              </w:rPr>
            </w:pPr>
            <w:r>
              <w:rPr>
                <w:rFonts w:ascii="Arial" w:cs="Arial" w:eastAsia="Arial" w:hAnsi="Arial"/>
                <w:sz w:val="17"/>
                <w:szCs w:val="17"/>
                <w:color w:val="auto"/>
              </w:rPr>
              <w:t>2024</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5,572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FF0FC"/>
            </w:tcBorders>
          </w:tcPr>
          <w:p>
            <w:pPr>
              <w:ind w:left="100"/>
              <w:spacing w:after="0"/>
              <w:rPr>
                <w:sz w:val="20"/>
                <w:szCs w:val="20"/>
                <w:color w:val="auto"/>
              </w:rPr>
            </w:pPr>
            <w:r>
              <w:rPr>
                <w:rFonts w:ascii="Arial" w:cs="Arial" w:eastAsia="Arial" w:hAnsi="Arial"/>
                <w:sz w:val="17"/>
                <w:szCs w:val="17"/>
                <w:color w:val="auto"/>
              </w:rPr>
              <w:t>2025 and beyond</w:t>
            </w:r>
          </w:p>
        </w:tc>
        <w:tc>
          <w:tcPr>
            <w:tcW w:w="74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40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10,116</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Total lease payments</w:t>
            </w: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30,237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ind w:left="220"/>
              <w:spacing w:after="0"/>
              <w:rPr>
                <w:sz w:val="20"/>
                <w:szCs w:val="20"/>
                <w:color w:val="auto"/>
              </w:rPr>
            </w:pPr>
            <w:r>
              <w:rPr>
                <w:rFonts w:ascii="Arial" w:cs="Arial" w:eastAsia="Arial" w:hAnsi="Arial"/>
                <w:sz w:val="17"/>
                <w:szCs w:val="17"/>
                <w:color w:val="auto"/>
              </w:rPr>
              <w:t>Less imputed interest</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7"/>
                <w:szCs w:val="17"/>
                <w:color w:val="auto"/>
              </w:rPr>
              <w:t>(6,133)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shd w:val="clear" w:color="auto" w:fill="CFF0FC"/>
          </w:tcPr>
          <w:p>
            <w:pPr>
              <w:ind w:left="220"/>
              <w:spacing w:after="0"/>
              <w:rPr>
                <w:sz w:val="20"/>
                <w:szCs w:val="20"/>
                <w:color w:val="auto"/>
              </w:rPr>
            </w:pPr>
            <w:r>
              <w:rPr>
                <w:rFonts w:ascii="Arial" w:cs="Arial" w:eastAsia="Arial" w:hAnsi="Arial"/>
                <w:sz w:val="17"/>
                <w:szCs w:val="17"/>
                <w:color w:val="auto"/>
              </w:rPr>
              <w:t>Present value of lease liabilities</w:t>
            </w:r>
          </w:p>
        </w:tc>
        <w:tc>
          <w:tcPr>
            <w:tcW w:w="7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gridSpan w:val="2"/>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vMerge w:val="continue"/>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gridSpan w:val="3"/>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24,104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Legal Proceedings</w:t>
      </w:r>
    </w:p>
    <w:p>
      <w:pPr>
        <w:spacing w:after="0" w:line="115" w:lineRule="exact"/>
        <w:rPr>
          <w:sz w:val="20"/>
          <w:szCs w:val="20"/>
          <w:color w:val="auto"/>
        </w:rPr>
      </w:pPr>
    </w:p>
    <w:p>
      <w:pPr>
        <w:spacing w:after="0" w:line="314" w:lineRule="auto"/>
        <w:rPr>
          <w:sz w:val="20"/>
          <w:szCs w:val="20"/>
          <w:color w:val="auto"/>
        </w:rPr>
      </w:pPr>
      <w:r>
        <w:rPr>
          <w:rFonts w:ascii="Arial" w:cs="Arial" w:eastAsia="Arial" w:hAnsi="Arial"/>
          <w:sz w:val="14"/>
          <w:szCs w:val="14"/>
          <w:color w:val="auto"/>
        </w:rPr>
        <w:t>On March 4, 2020, Vytacera Bio, LLC 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The Company filed an Answer, Affirmative Defenses, and Counterclaims on May 26, 2020. Vytacera Bio, LLC filed its Answer to CytomX Therapeutics Inc.’s Counterclaims on June 5, 2020. The parties have agreed to a case schedule. Discovery is ongoing. The Company believes that the lawsuit is without merit and intends to vigorously defend itself and has not recorded any amount for claims associated with this lawsuit as of March 31, 2021.</w:t>
      </w:r>
    </w:p>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40"/>
          </w:cols>
          <w:pgMar w:left="320" w:top="524" w:right="4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12. Income Taxes</w:t>
      </w:r>
    </w:p>
    <w:p>
      <w:pPr>
        <w:spacing w:after="0" w:line="243"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color w:val="auto"/>
        </w:rPr>
        <w:t>The Company records the effect of an enacted change in a tax law in the period that includes the enactment date in accordance with ASC 740. On March 27, 2020, the Coronavirus Aid, Relief, and Economic Security Act (“CARES Act”) was enacted in response to the COVID-19 pandemic. The tax relief measures under the CARES Act for businesses include a five-year net operating loss carryback, suspension of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property.</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income tax benefit during the three months ended March 31, 2020 was generated as a result of the recognition of net operating loss carryback under the CARES Act which generated a refund of income taxes paid for 2018. The Company maintains a full valuation allowance against its net deferred tax assets due to the Company’s history of losses as of March 31, 2021 and December 31, 2020</w:t>
      </w:r>
      <w:r>
        <w:rPr>
          <w:rFonts w:ascii="Arial" w:cs="Arial" w:eastAsia="Arial" w:hAnsi="Arial"/>
          <w:sz w:val="17"/>
          <w:szCs w:val="17"/>
          <w:i w:val="1"/>
          <w:iCs w:val="1"/>
          <w:color w:val="auto"/>
        </w:rPr>
        <w:t>.</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80"/>
          </w:cols>
          <w:pgMar w:left="320" w:top="657" w:right="399" w:bottom="1440" w:gutter="0" w:footer="0" w:header="0"/>
        </w:sectPr>
      </w:pPr>
    </w:p>
    <w:bookmarkStart w:id="22" w:name="page23"/>
    <w:bookmarkEnd w:id="22"/>
    <w:p>
      <w:pPr>
        <w:spacing w:after="0"/>
        <w:tabs>
          <w:tab w:leader="none" w:pos="10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07" w:lineRule="exact"/>
        <w:rPr>
          <w:sz w:val="20"/>
          <w:szCs w:val="20"/>
          <w:color w:val="auto"/>
        </w:rPr>
      </w:pPr>
    </w:p>
    <w:p>
      <w:pPr>
        <w:ind w:right="60"/>
        <w:spacing w:after="0" w:line="308" w:lineRule="auto"/>
        <w:rPr>
          <w:sz w:val="20"/>
          <w:szCs w:val="20"/>
          <w:color w:val="auto"/>
        </w:rPr>
      </w:pPr>
      <w:r>
        <w:rPr>
          <w:rFonts w:ascii="Arial" w:cs="Arial" w:eastAsia="Arial" w:hAnsi="Arial"/>
          <w:sz w:val="14"/>
          <w:szCs w:val="14"/>
          <w:i w:val="1"/>
          <w:iCs w:val="1"/>
          <w:color w:val="auto"/>
        </w:rPr>
        <w:t>You should read the following management’s discussion and analysis of our financial condition and results of operations in conjunction with our unaudited condensed financial statements and notes thereto included in Part I, Item 1 of this Quarterly Report on Form 10-Q and with our audited financial statements and notes thereto for the year ended December 31, 2020, included in our Annual Report on Forms 10-K as filed with the U.S. Securities and Exchange Commission (“SEC”) on February 24, 2021. This discussion and other parts of this report contain forward-looking statements that involve risks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titled “Risk Factors.” Except as may be required by law, we assume no obligation to update these forward-looking statements or the reasons that results could differ from these forward-looking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07" w:lineRule="exact"/>
        <w:rPr>
          <w:sz w:val="20"/>
          <w:szCs w:val="20"/>
          <w:color w:val="auto"/>
        </w:rPr>
      </w:pPr>
    </w:p>
    <w:p>
      <w:pPr>
        <w:ind w:right="40"/>
        <w:spacing w:after="0" w:line="304" w:lineRule="auto"/>
        <w:rPr>
          <w:sz w:val="20"/>
          <w:szCs w:val="20"/>
          <w:color w:val="auto"/>
        </w:rPr>
      </w:pPr>
      <w:r>
        <w:rPr>
          <w:rFonts w:ascii="Arial" w:cs="Arial" w:eastAsia="Arial" w:hAnsi="Arial"/>
          <w:sz w:val="14"/>
          <w:szCs w:val="14"/>
          <w:color w:val="auto"/>
        </w:rPr>
        <w:t>We are a clinical-stage, oncology-focused biopharmaceutical company with a vision of transforming lives with safer, more effective therapies. We are advancing a robust pipeline of novel, potential first-in-class antibody-based therapeutics created using our Probody® technology platform. Probody therapeutics are designed to be conditionally activated in the tumor microenvironment, effectively enabling the targeting of cancer tissues more specifically, while minimizing deleterious activity in healthy tissues and in circulation. We achieve this “conditional activation” by modifying our Probody therapeutics with a mask that is designed to block binding to target until the mask is removed by proteases. Proteases are enzymes that are more abundant in the tumor microenvironment than in normal tissue, potentially leading to an enrichment of therapeutic activity in the tumor. We believe this innovative approach, that we have pioneered, has the promise to improve cancer treatments in three ways by: (1) enhancing a product candidate’s therapeutic window, the balance between tolerability and activity; (2) allowing the pursuit of targets that were previously considered “undruggable,” due to their presence on normal tissues; and (3) improving combination therapies that are, otherwise, poorly tolerated. We have successfully applied our Probody technology to a variety of biologic modalities including antibodies, antibody drug conjugates (“ADCs”), T-cell bispecifics and cytokines; all of which are in various stages spanning discovery through clinical development.</w:t>
      </w:r>
    </w:p>
    <w:p>
      <w:pPr>
        <w:spacing w:after="0" w:line="350"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Our lead product candidates, praluzatamab ravtansine (CX-2009) and CX-2029, are two conditionally activated ADCs against the previously undruggable targets CD166 and CD71, respectively. These cancer targets were considered inaccessible to conventional ADCs due to their ubiquitous expression in many healthy tissues, but we believe they are potentially addressable with our Probody technology. Having demonstrated favorable tolerability and encouraging anti-tumor activity in separate dose-escalation Phase 1 studies, praluzatamab ravtansine, our wholly-owned conditionally activated ADC, and CX-2029, a conditionally activated ADC partnered with AbbVie, are currently in Phase 2 clinical studies.</w:t>
      </w:r>
    </w:p>
    <w:p>
      <w:pPr>
        <w:spacing w:after="0" w:line="182"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We are currently enrolling patients into a three-arm study of praluzatamab ravtansine in patients with human epidermal growth factor receptor 2 (“HER2”)-non-amplified breast cancer. Arms A and B will evaluate praluzatamab ravtansine monotherapy at 7 mg/kg administered every three weeks in patients with hormone receptor-positive (“HR+”)/HER2-non-amplified breast cancer and triple-negative breast cancer (“TNBC”), respectively. Arm C will evaluate praluzatamab ravtansine in combination with pacmilimab (CX-072), our wholly-owned PD-L1 inhibitor, in patients with TNBC. Approximately 40 evaluable patients will be enrolled into each arm of the study. Additionally, CX-2029 is being evaluated in four cohorts as a treatment for patients with squamous non-small cell lung cancer, head and neck squamous cell carcinoma, esophageal and gastro-esophageal junction cancers, and diffuse large B-cell lymphoma. Twenty-five evaluable patients are targeted for each cohort. We expect initial data from both studies to be available in the fourth quarter of 2021.</w:t>
      </w:r>
    </w:p>
    <w:p>
      <w:pPr>
        <w:spacing w:after="0" w:line="173" w:lineRule="exact"/>
        <w:rPr>
          <w:sz w:val="20"/>
          <w:szCs w:val="20"/>
          <w:color w:val="auto"/>
        </w:rPr>
      </w:pPr>
    </w:p>
    <w:p>
      <w:pPr>
        <w:ind w:right="40"/>
        <w:spacing w:after="0" w:line="314" w:lineRule="auto"/>
        <w:rPr>
          <w:sz w:val="20"/>
          <w:szCs w:val="20"/>
          <w:color w:val="auto"/>
        </w:rPr>
      </w:pPr>
      <w:r>
        <w:rPr>
          <w:rFonts w:ascii="Arial" w:cs="Arial" w:eastAsia="Arial" w:hAnsi="Arial"/>
          <w:sz w:val="14"/>
          <w:szCs w:val="14"/>
          <w:color w:val="auto"/>
        </w:rPr>
        <w:t>Our clinical-stage pipeline also includes cancer immunotherapeutic candidates against validated targets such as CTLA-4. Our partner, Bristol Myers Squibb, is conducting a randomized Phase 2 study evaluating BMS-986249, a Probody version of the CTLA-4-targeting antibody, ipilimumab, in combination with the anti PD-1 antibody, nivolumab, in patients with metastatic melanoma. In addition, BMS-986249 is being studied in combination with nivolumab in three additional indications: advanced hepatocellular carcinoma, metastatic castration-resistant prostate cancer and advanced TNBC. Bristol Myers Squibb also continues to evaluate BMS-986288, a Probody version of non-fucosylated ipilimumab, as monotherapy or in combination with nivolumab in a Phase 1 clinical trial.</w:t>
      </w:r>
    </w:p>
    <w:p>
      <w:pPr>
        <w:spacing w:after="0" w:line="139"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We also have two preclinical agents in investigational new drug application (“IND”)-enabling studies, including CX-2043, our third conditionally activated ADC targeting the epithelial cell adhesion molecule (“EpCAM”), a widely expressed tumor antigen. CX-2043 has demonstrated potent anti-tumor activity across multiple cancer types and superior tolerability in animal models compared to the corresponding unmasked ADC. As a result of recent manufacturing delays, we no longer expect to submit an IND for CX-2043 in 2021. Pursuant to our partnership with Amgen, we have also recently advanced CX-904, a conditionally activated T-cell-engaging bispecific antibody candidate against the epidermal growth factor receptor (“EGFR”) on tumor cells and CD3 on T cells, into IND-enabling studies. We plan to file an IND for CX-904 in late 2021. We are also engaged in broad drug discovery efforts towards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sectPr>
      </w:pPr>
    </w:p>
    <w:bookmarkStart w:id="23" w:name="page24"/>
    <w:bookmarkEnd w:id="23"/>
    <w:p>
      <w:pPr>
        <w:ind w:left="1" w:right="380"/>
        <w:spacing w:after="0" w:line="261" w:lineRule="auto"/>
        <w:rPr>
          <w:sz w:val="20"/>
          <w:szCs w:val="20"/>
          <w:color w:val="auto"/>
        </w:rPr>
      </w:pPr>
      <w:r>
        <w:rPr>
          <w:rFonts w:ascii="Arial" w:cs="Arial" w:eastAsia="Arial" w:hAnsi="Arial"/>
          <w:sz w:val="17"/>
          <w:szCs w:val="17"/>
          <w:color w:val="auto"/>
        </w:rPr>
        <w:t>generation of new clinical candidates for the treatment of cancer, including the application of our conditional activation platform to the engineering of novel, locally active cytokines, including interferon-alpha-2a.</w:t>
      </w:r>
    </w:p>
    <w:p>
      <w:pPr>
        <w:spacing w:after="0" w:line="171" w:lineRule="exact"/>
        <w:rPr>
          <w:sz w:val="20"/>
          <w:szCs w:val="20"/>
          <w:color w:val="auto"/>
        </w:rPr>
      </w:pPr>
    </w:p>
    <w:p>
      <w:pPr>
        <w:ind w:left="1" w:right="80"/>
        <w:spacing w:after="0" w:line="248" w:lineRule="auto"/>
        <w:rPr>
          <w:sz w:val="20"/>
          <w:szCs w:val="20"/>
          <w:color w:val="auto"/>
        </w:rPr>
      </w:pPr>
      <w:r>
        <w:rPr>
          <w:rFonts w:ascii="Arial" w:cs="Arial" w:eastAsia="Arial" w:hAnsi="Arial"/>
          <w:sz w:val="17"/>
          <w:szCs w:val="17"/>
          <w:color w:val="auto"/>
        </w:rPr>
        <w:t>On January 25, 2021, we completed an underwritten public offering of 14,285,714 shares of common stock at a price of $7.00 per share. The aggregate net proceeds received by us from the offering were $93.6 million, after deducting underwriting discounts and commissions and offering expenses of $6.4 million. We also granted the underwriters the option, for 30 days, to purchase up to 2,142,857 additional shares of common stock at the public offering price, less the underwriting discounts and commissions. In February 2021, the underwriters exercised the option in full which resulted in additional net proceeds of $14.1 million to us, after deducting the underwriting discounts and commissions of $0.9 million.</w:t>
      </w:r>
    </w:p>
    <w:p>
      <w:pPr>
        <w:spacing w:after="0" w:line="182" w:lineRule="exact"/>
        <w:rPr>
          <w:sz w:val="20"/>
          <w:szCs w:val="20"/>
          <w:color w:val="auto"/>
        </w:rPr>
      </w:pPr>
    </w:p>
    <w:p>
      <w:pPr>
        <w:jc w:val="both"/>
        <w:ind w:left="1" w:right="80"/>
        <w:spacing w:after="0" w:line="310" w:lineRule="auto"/>
        <w:rPr>
          <w:sz w:val="20"/>
          <w:szCs w:val="20"/>
          <w:color w:val="auto"/>
        </w:rPr>
      </w:pPr>
      <w:r>
        <w:rPr>
          <w:rFonts w:ascii="Arial" w:cs="Arial" w:eastAsia="Arial" w:hAnsi="Arial"/>
          <w:sz w:val="14"/>
          <w:szCs w:val="14"/>
          <w:color w:val="auto"/>
        </w:rPr>
        <w:t>We do not have any product candidates approved for sale, and we continue to incur significant research and development and general administrative expenses related to our operations. We are not profitable and have incurred losses in each year since our founding in 2008. Our net loss was $15.6 million and net income was $12.2 million and for the three months ended March 31, 2021 and 2020, respectively. The net income for the three months ended March 31, 2020 was a result of an income tax benefit generated as a result of the Coronavirus Aid, Relief, and Economic Security Act (“CARES Act”) enacted in March 2020 in response to the COVID-19 pandemic, which allowed us to carryback net operating losses to generate a refund of income taxes paid for 2018. As of March 31, 2021 and December 31, 2020, we had an accumulated deficit of $465.7 million and $450.1 million, respectively. We expect to continue to incur significant losses for the foreseeable future.</w:t>
      </w:r>
    </w:p>
    <w:p>
      <w:pPr>
        <w:spacing w:after="0" w:line="143" w:lineRule="exact"/>
        <w:rPr>
          <w:sz w:val="20"/>
          <w:szCs w:val="20"/>
          <w:color w:val="auto"/>
        </w:rPr>
      </w:pPr>
    </w:p>
    <w:p>
      <w:pPr>
        <w:ind w:left="1" w:right="160"/>
        <w:spacing w:after="0" w:line="247" w:lineRule="auto"/>
        <w:rPr>
          <w:sz w:val="20"/>
          <w:szCs w:val="20"/>
          <w:color w:val="auto"/>
        </w:rPr>
      </w:pPr>
      <w:r>
        <w:rPr>
          <w:rFonts w:ascii="Arial" w:cs="Arial" w:eastAsia="Arial" w:hAnsi="Arial"/>
          <w:sz w:val="17"/>
          <w:szCs w:val="17"/>
          <w:color w:val="auto"/>
        </w:rPr>
        <w:t>Global health authorities, including the FDA, regulate many aspects of a product candidate’s life cycle, including research and development and preclinical and clinical testing. We will need to commit significant time, resources, and funding to develop our wholly-owned and partnered product candidates in clinical trials, including praluzatamab ravtansine, CX-2029, and pacmilimab, as well as any additional product candidates for which we initiate clinical studies in the future. We are unable to provide the nature, timing, and estimated costs of the efforts necessary to complete the development of our product candidates because, among other reasons, of regulatory uncertainty, manufacturing limitations, and the pace of enrollment of our clinical trials, which is a function of many factors, including the availability and proximity of patients with the relevant condition.</w:t>
      </w:r>
    </w:p>
    <w:p>
      <w:pPr>
        <w:spacing w:after="0" w:line="184" w:lineRule="exact"/>
        <w:rPr>
          <w:sz w:val="20"/>
          <w:szCs w:val="20"/>
          <w:color w:val="auto"/>
        </w:rPr>
      </w:pPr>
    </w:p>
    <w:p>
      <w:pPr>
        <w:ind w:left="1" w:right="240"/>
        <w:spacing w:after="0" w:line="252" w:lineRule="auto"/>
        <w:rPr>
          <w:sz w:val="20"/>
          <w:szCs w:val="20"/>
          <w:color w:val="auto"/>
        </w:rPr>
      </w:pPr>
      <w:r>
        <w:rPr>
          <w:rFonts w:ascii="Arial" w:cs="Arial" w:eastAsia="Arial" w:hAnsi="Arial"/>
          <w:sz w:val="17"/>
          <w:szCs w:val="17"/>
          <w:color w:val="auto"/>
        </w:rPr>
        <w:t>We currently have no manufacturing capabilities and do not intend to establish any such capabilities in the near term. As such, we are dependent on third parties to supply our product candidates according to our specifications, in sufficient quantities, on time, in compliance with appropriate regulatory standards and at competitive prices.</w:t>
      </w:r>
    </w:p>
    <w:p>
      <w:pPr>
        <w:spacing w:after="0" w:line="274"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Impact of COVID-19</w:t>
      </w:r>
    </w:p>
    <w:p>
      <w:pPr>
        <w:spacing w:after="0" w:line="107" w:lineRule="exact"/>
        <w:rPr>
          <w:sz w:val="20"/>
          <w:szCs w:val="20"/>
          <w:color w:val="auto"/>
        </w:rPr>
      </w:pPr>
    </w:p>
    <w:p>
      <w:pPr>
        <w:ind w:left="1" w:right="60"/>
        <w:spacing w:after="0" w:line="320" w:lineRule="auto"/>
        <w:rPr>
          <w:sz w:val="20"/>
          <w:szCs w:val="20"/>
          <w:color w:val="auto"/>
        </w:rPr>
      </w:pPr>
      <w:r>
        <w:rPr>
          <w:rFonts w:ascii="Arial" w:cs="Arial" w:eastAsia="Arial" w:hAnsi="Arial"/>
          <w:sz w:val="14"/>
          <w:szCs w:val="14"/>
          <w:color w:val="auto"/>
        </w:rPr>
        <w:t>In December 2019, a strain of novel coronavirus-caused disease (now commonly known as COVID-19) was reported to have surfaced in Wuhan, China. COVID-19 has since spread rapidly throughout many countries and has been declared to be a pandemic. In an effort to contain and mitigate the spread of COVID-19, many countries, including the United States, Canada and countries in Europe and Asia, have imposed unprecedented restrictions on travel, business operations and public gatherings, and there have been business closures and limitations on business operations, which have resulted in a substantial reduction in economic activity.</w:t>
      </w:r>
    </w:p>
    <w:p>
      <w:pPr>
        <w:spacing w:after="0" w:line="135" w:lineRule="exact"/>
        <w:rPr>
          <w:sz w:val="20"/>
          <w:szCs w:val="20"/>
          <w:color w:val="auto"/>
        </w:rPr>
      </w:pPr>
    </w:p>
    <w:p>
      <w:pPr>
        <w:ind w:left="1"/>
        <w:spacing w:after="0" w:line="304" w:lineRule="auto"/>
        <w:rPr>
          <w:sz w:val="20"/>
          <w:szCs w:val="20"/>
          <w:color w:val="auto"/>
        </w:rPr>
      </w:pPr>
      <w:r>
        <w:rPr>
          <w:rFonts w:ascii="Arial" w:cs="Arial" w:eastAsia="Arial" w:hAnsi="Arial"/>
          <w:sz w:val="14"/>
          <w:szCs w:val="14"/>
          <w:color w:val="auto"/>
        </w:rPr>
        <w:t>In March 2020, we announced the temporary pause in new patient enrollment and new site activation in our Phase 2 clinical trial of praluzatamab ravtansine as a result of the COVID-19 pandemic, primarily due to delays in patient enrollment and clinical site initiations, and the termination of the Phase 2 clinical trial of pacmilimab (CX-</w:t>
      </w:r>
    </w:p>
    <w:p>
      <w:pPr>
        <w:ind w:left="1" w:right="60" w:hanging="1"/>
        <w:spacing w:after="0" w:line="352" w:lineRule="auto"/>
        <w:tabs>
          <w:tab w:leader="none" w:pos="345" w:val="left"/>
        </w:tabs>
        <w:numPr>
          <w:ilvl w:val="0"/>
          <w:numId w:val="9"/>
        </w:numPr>
        <w:rPr>
          <w:rFonts w:ascii="Arial" w:cs="Arial" w:eastAsia="Arial" w:hAnsi="Arial"/>
          <w:sz w:val="14"/>
          <w:szCs w:val="14"/>
          <w:color w:val="auto"/>
        </w:rPr>
      </w:pPr>
      <w:r>
        <w:rPr>
          <w:rFonts w:ascii="Arial" w:cs="Arial" w:eastAsia="Arial" w:hAnsi="Arial"/>
          <w:sz w:val="14"/>
          <w:szCs w:val="14"/>
          <w:color w:val="auto"/>
        </w:rPr>
        <w:t>after a re-evaluation of the evolving clinical, competitive and commercial landscapes in immuno-oncology, taken together with impact of the COVID-19 pandemic. Since then, we have revised our strategy for developing praluzatamab ravtansine, and have initiated our Phase 2 clinical trial for praluzatamab ravtansine.</w:t>
      </w:r>
    </w:p>
    <w:p>
      <w:pPr>
        <w:spacing w:after="0" w:line="113" w:lineRule="exact"/>
        <w:rPr>
          <w:sz w:val="20"/>
          <w:szCs w:val="20"/>
          <w:color w:val="auto"/>
        </w:rPr>
      </w:pPr>
    </w:p>
    <w:p>
      <w:pPr>
        <w:ind w:left="1" w:right="80"/>
        <w:spacing w:after="0" w:line="305" w:lineRule="auto"/>
        <w:rPr>
          <w:sz w:val="20"/>
          <w:szCs w:val="20"/>
          <w:color w:val="auto"/>
        </w:rPr>
      </w:pPr>
      <w:r>
        <w:rPr>
          <w:rFonts w:ascii="Arial" w:cs="Arial" w:eastAsia="Arial" w:hAnsi="Arial"/>
          <w:sz w:val="14"/>
          <w:szCs w:val="14"/>
          <w:color w:val="auto"/>
        </w:rPr>
        <w:t>The COVID-19 outbreak and any preventative or protective actions that we, our collaboration partners or others may take in respect of the virus may result in further disruption for our clinical trials, including clinical trials for praluzatamab ravtansine and CX-2029, manufacturing, research, financial reporting capabilities and operations generally and could potentially impact our patients, partners, employees and third parties. Any resulting financial impact cannot be reasonably estimated at this time but may materially affect the business and our financial condition and results of operations. The extent to which the COVID-19 pandemic continues to impact our results will depend on future developments, which are highly uncertain and cannot be predicted, including new information which may emerge concerning the severity of COVID-19 and the actions necessary to contain the virus or treat its impact, among others. Although our operations have been modified, they are continuing at a reduced operational rate. Currently, it is not possible to predict how long the pandemic will last or the time that it will take for economic activity to return to its prior levels. We do not yet know the full extent of any impact or delay on our business or our operations, including clinical trial activity, however, we will continue to monitor the COVID-19 situation closely and operate in accordance with all relevant health and safety guidelines as they evolve.</w:t>
      </w: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16851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524"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07"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The preparation of our Condensed Financial Statements requires us to make estimates and judgments that affect the reported amounts in the financial statements and related disclosures. On an ongoing basis, management evaluates its significant accounting policies and estimates.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 Estimates are assessed each period and updated to reflect current information. A summary of our critical accounting policies and estimates is presented in Part II, Item 7 of our Annual Report on Form 10-K for the year ended December 31, 2020. There have been no material changes to our critical accounting policies and estimates during the three months ended March 31, 2021.</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15" w:lineRule="exact"/>
        <w:rPr>
          <w:sz w:val="20"/>
          <w:szCs w:val="20"/>
          <w:color w:val="auto"/>
        </w:rPr>
      </w:pPr>
    </w:p>
    <w:p>
      <w:pPr>
        <w:spacing w:after="0" w:line="310" w:lineRule="auto"/>
        <w:rPr>
          <w:sz w:val="20"/>
          <w:szCs w:val="20"/>
          <w:color w:val="auto"/>
        </w:rPr>
      </w:pPr>
      <w:r>
        <w:rPr>
          <w:rFonts w:ascii="Arial" w:cs="Arial" w:eastAsia="Arial" w:hAnsi="Arial"/>
          <w:sz w:val="14"/>
          <w:szCs w:val="14"/>
          <w:color w:val="auto"/>
        </w:rPr>
        <w:t>Our revenue to date has been primarily derived from non-refundable license payments, milestone payments and reimbursements for research and development expenses under our research, collaboration, and license agreements. We recognize revenue from upfront payments over the term of our estimated period of performance under the agreement using a cost-based input method or a common measure of progress for the entire performance obligation. In addition to receiving upfront payments, we may also be entitled to milestone and other contingent payments upon achieving predefined objectives. Revenue from milestones and other contingent payments, when it is probable that there will not be a significant revenue reversal, is also recognized over the performance period based on a similar method. Reimbursements from Astellas and Bristol Myers Squibb for research and development costs when incurred under our research, collaboration and license agreements with them are classified as revenue.</w:t>
      </w:r>
    </w:p>
    <w:p>
      <w:pPr>
        <w:spacing w:after="0" w:line="168" w:lineRule="exact"/>
        <w:rPr>
          <w:sz w:val="20"/>
          <w:szCs w:val="20"/>
          <w:color w:val="auto"/>
        </w:rPr>
      </w:pPr>
    </w:p>
    <w:p>
      <w:pPr>
        <w:jc w:val="both"/>
        <w:ind w:right="220"/>
        <w:spacing w:after="0" w:line="320" w:lineRule="auto"/>
        <w:rPr>
          <w:sz w:val="20"/>
          <w:szCs w:val="20"/>
          <w:color w:val="auto"/>
        </w:rPr>
      </w:pPr>
      <w:r>
        <w:rPr>
          <w:rFonts w:ascii="Arial" w:cs="Arial" w:eastAsia="Arial" w:hAnsi="Arial"/>
          <w:sz w:val="14"/>
          <w:szCs w:val="14"/>
          <w:color w:val="auto"/>
        </w:rPr>
        <w:t>For the foreseeable future, we do not expect to generate any revenue from the sale of products unless and until such time as our product candidates have advanced through clinical development and obtained regulatory approval. We expect that any revenue we generate in the foreseeable future will fluctuate from year to year as a result of the timing and amount of milestones and other payments from our collaboration agreements with AbbVie, Amgen, Astellas, Bristol Myers Squibb and any other collaboration partners, and as a result of the fluctuations in the research and development expenses we incur in the performance of assigned activities under these agreements.</w:t>
      </w:r>
    </w:p>
    <w:p>
      <w:pPr>
        <w:spacing w:after="0" w:line="135" w:lineRule="exact"/>
        <w:rPr>
          <w:sz w:val="20"/>
          <w:szCs w:val="20"/>
          <w:color w:val="auto"/>
        </w:rPr>
      </w:pPr>
    </w:p>
    <w:p>
      <w:pPr>
        <w:spacing w:after="0" w:line="320" w:lineRule="auto"/>
        <w:rPr>
          <w:sz w:val="20"/>
          <w:szCs w:val="20"/>
          <w:color w:val="auto"/>
        </w:rPr>
      </w:pPr>
      <w:r>
        <w:rPr>
          <w:rFonts w:ascii="Arial" w:cs="Arial" w:eastAsia="Arial" w:hAnsi="Arial"/>
          <w:sz w:val="14"/>
          <w:szCs w:val="14"/>
          <w:color w:val="auto"/>
        </w:rPr>
        <w:t>AbbVie, one of our collaboration partners, entered into a license agreement with Seagen Inc. (“SGEN”) to license certain intellectual property rights. As part of our collaboration agreement with AbbVie, we received a sublicense to these intellectual property rights and therefore pay SGEN sublicense fees. These sublicense fees are treated as reductions to the transaction price and combined with the performance obligation to which they relate. Milestone payments, when considered probable of being reached and when a significant revenue reversal would not be probable of occurring, are also recorded net of the associated sublicense fees and included in the transaction price.</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03" w:lineRule="exact"/>
        <w:rPr>
          <w:sz w:val="20"/>
          <w:szCs w:val="20"/>
          <w:color w:val="auto"/>
        </w:rPr>
      </w:pPr>
    </w:p>
    <w:p>
      <w:pPr>
        <w:ind w:right="120"/>
        <w:spacing w:after="0" w:line="314" w:lineRule="auto"/>
        <w:rPr>
          <w:sz w:val="20"/>
          <w:szCs w:val="20"/>
          <w:color w:val="auto"/>
        </w:rPr>
      </w:pPr>
      <w:r>
        <w:rPr>
          <w:rFonts w:ascii="Arial" w:cs="Arial" w:eastAsia="Arial" w:hAnsi="Arial"/>
          <w:sz w:val="14"/>
          <w:szCs w:val="14"/>
          <w:color w:val="auto"/>
        </w:rPr>
        <w:t>Our research and development expenses consist primarily of costs incurred to conduct research, such as the discovery and development of our product candidates, clinical development including activities with third parties, such as contract research organizations (“CRO”) and contract development and manufacturing organizations (“CMO”), the manufacture of drug products used in clinical trials, as well as the development of product candidates pursuant to our research, collaboration and license agreements. Research and development expenses include personnel costs, including stock-based compensation expense, contractor services, laboratory materials and supplies, depreciation and maintenance of research equipment, and an allocation of related facilities costs. We expense research and development costs as incurred.</w:t>
      </w:r>
    </w:p>
    <w:p>
      <w:pPr>
        <w:spacing w:after="0" w:line="139" w:lineRule="exact"/>
        <w:rPr>
          <w:sz w:val="20"/>
          <w:szCs w:val="20"/>
          <w:color w:val="auto"/>
        </w:rPr>
      </w:pPr>
    </w:p>
    <w:p>
      <w:pPr>
        <w:ind w:right="20"/>
        <w:spacing w:after="0" w:line="306" w:lineRule="auto"/>
        <w:rPr>
          <w:sz w:val="20"/>
          <w:szCs w:val="20"/>
          <w:color w:val="auto"/>
        </w:rPr>
      </w:pPr>
      <w:r>
        <w:rPr>
          <w:rFonts w:ascii="Arial" w:cs="Arial" w:eastAsia="Arial" w:hAnsi="Arial"/>
          <w:sz w:val="14"/>
          <w:szCs w:val="14"/>
          <w:color w:val="auto"/>
        </w:rPr>
        <w:t>We expect our research and development expenses to increase substantially in absolute dollars in the future as we advance our product candidates through clinical trials, initiate additional clinical trials, and pursue regulatory approval of our product candidates. Examples include our Phase 2 clinical trials for praluzatamab ravtansine (CX-2009) and CX-2029 and potential future clinical trials for CX-2029 and for praluzatamab ravtansine in combination with pacmilimab (CX-072).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 or when and to what extent we will generate revenue from the commercialization and sale of our product candidates.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03"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General and administrative expenses include personnel costs, expenses for outside professional services and other allocated expenses. Personnel costs consist of salaries, bonuses, benefits and stock-based compensation. Outside professional services consist of accounting and audit services, legal and other consulting fees. Allocated expenses primarily consist of rent expense related to our office and information technology related costs.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103"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Interest income primarily consists of interest income from our cash equivalents and short-term investments, and accretion of discounts or amortization of premiums on our short-term investments.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Net</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Other income, net consists primarily of gains and losses resulting from changes to currency exchange rates.</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(Benefit from) Income Taxes</w:t>
      </w:r>
    </w:p>
    <w:p>
      <w:pPr>
        <w:spacing w:after="0" w:line="103" w:lineRule="exact"/>
        <w:rPr>
          <w:sz w:val="20"/>
          <w:szCs w:val="20"/>
          <w:color w:val="auto"/>
        </w:rPr>
      </w:pPr>
    </w:p>
    <w:p>
      <w:pPr>
        <w:ind w:right="240"/>
        <w:spacing w:after="0" w:line="314" w:lineRule="auto"/>
        <w:rPr>
          <w:sz w:val="20"/>
          <w:szCs w:val="20"/>
          <w:color w:val="auto"/>
        </w:rPr>
      </w:pPr>
      <w:r>
        <w:rPr>
          <w:rFonts w:ascii="Arial" w:cs="Arial" w:eastAsia="Arial" w:hAnsi="Arial"/>
          <w:sz w:val="14"/>
          <w:szCs w:val="14"/>
          <w:color w:val="auto"/>
        </w:rPr>
        <w:t>Income taxes are recorded in accordance with ASC 740, Accounting for Income Taxes, or ASC 740, which provides for deferred taxes using an asset and liability approach. We recognize deferred tax assets and liabilities for the expected future tax consequences of events that have been included in our financial statements or tax returns. We determine our deferred tax assets and liabilities based on differences between the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of the deferred tax assets will not be realized.</w:t>
      </w:r>
    </w:p>
    <w:p>
      <w:pPr>
        <w:spacing w:after="0" w:line="176"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We also account for uncertain tax positions in accordance with the provisions of ASC 740.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spacing w:after="0" w:line="204"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On March 27, 2020, the Coronavirus Aid, Relief, and Economic Security Act (CARES Act) was enacted in response to the COVID-19 pandemic. The tax relief measures under the CARES Act for businesses include a five-year net operating loss carryback, suspension of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property. We record the effect of an enacted change in a tax law in the period that includes the enactment date in accordance with ASC 740.</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 the Three Months Ended March 31, 2021 and 2020</w:t>
      </w: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Three Months Ended</w:t>
            </w: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32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230"/>
              <w:spacing w:after="0"/>
              <w:rPr>
                <w:sz w:val="20"/>
                <w:szCs w:val="20"/>
                <w:color w:val="auto"/>
              </w:rPr>
            </w:pPr>
            <w:r>
              <w:rPr>
                <w:rFonts w:ascii="Arial" w:cs="Arial" w:eastAsia="Arial" w:hAnsi="Arial"/>
                <w:sz w:val="13"/>
                <w:szCs w:val="13"/>
                <w:b w:val="1"/>
                <w:bCs w:val="1"/>
                <w:color w:val="auto"/>
                <w:w w:val="96"/>
              </w:rPr>
              <w:t>March 31,</w:t>
            </w: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1"/>
        </w:trPr>
        <w:tc>
          <w:tcPr>
            <w:tcW w:w="32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86"/>
              <w:spacing w:after="0" w:line="142" w:lineRule="exact"/>
              <w:rPr>
                <w:sz w:val="20"/>
                <w:szCs w:val="20"/>
                <w:color w:val="auto"/>
              </w:rPr>
            </w:pPr>
            <w:r>
              <w:rPr>
                <w:rFonts w:ascii="Arial" w:cs="Arial" w:eastAsia="Arial" w:hAnsi="Arial"/>
                <w:sz w:val="13"/>
                <w:szCs w:val="13"/>
                <w:b w:val="1"/>
                <w:bCs w:val="1"/>
                <w:color w:val="auto"/>
              </w:rPr>
              <w:t>2021</w:t>
            </w:r>
          </w:p>
        </w:tc>
        <w:tc>
          <w:tcPr>
            <w:tcW w:w="3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230"/>
              <w:spacing w:after="0" w:line="142" w:lineRule="exact"/>
              <w:rPr>
                <w:sz w:val="20"/>
                <w:szCs w:val="20"/>
                <w:color w:val="auto"/>
              </w:rPr>
            </w:pPr>
            <w:r>
              <w:rPr>
                <w:rFonts w:ascii="Arial" w:cs="Arial" w:eastAsia="Arial" w:hAnsi="Arial"/>
                <w:sz w:val="13"/>
                <w:szCs w:val="13"/>
                <w:b w:val="1"/>
                <w:bCs w:val="1"/>
                <w:color w:val="auto"/>
                <w:w w:val="89"/>
              </w:rPr>
              <w:t>2020</w:t>
            </w:r>
          </w:p>
        </w:tc>
        <w:tc>
          <w:tcPr>
            <w:tcW w:w="4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2"/>
                <w:szCs w:val="12"/>
                <w:color w:val="auto"/>
              </w:rPr>
            </w:pPr>
          </w:p>
        </w:tc>
      </w:tr>
      <w:tr>
        <w:trPr>
          <w:trHeight w:val="141"/>
        </w:trPr>
        <w:tc>
          <w:tcPr>
            <w:tcW w:w="32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jc w:val="center"/>
              <w:ind w:right="210"/>
              <w:spacing w:after="0" w:line="142" w:lineRule="exact"/>
              <w:rPr>
                <w:sz w:val="20"/>
                <w:szCs w:val="20"/>
                <w:color w:val="auto"/>
              </w:rPr>
            </w:pPr>
            <w:r>
              <w:rPr>
                <w:rFonts w:ascii="Arial" w:cs="Arial" w:eastAsia="Arial" w:hAnsi="Arial"/>
                <w:sz w:val="13"/>
                <w:szCs w:val="13"/>
                <w:b w:val="1"/>
                <w:bCs w:val="1"/>
                <w:color w:val="auto"/>
                <w:w w:val="89"/>
              </w:rPr>
              <w:t>(in thousands)</w:t>
            </w: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1"/>
        </w:trPr>
        <w:tc>
          <w:tcPr>
            <w:tcW w:w="3260" w:type="dxa"/>
            <w:vAlign w:val="bottom"/>
            <w:shd w:val="clear" w:color="auto" w:fill="CFF0FC"/>
          </w:tcPr>
          <w:p>
            <w:pPr>
              <w:spacing w:after="0"/>
              <w:rPr>
                <w:sz w:val="20"/>
                <w:szCs w:val="20"/>
                <w:color w:val="auto"/>
              </w:rPr>
            </w:pPr>
            <w:r>
              <w:rPr>
                <w:rFonts w:ascii="Arial" w:cs="Arial" w:eastAsia="Arial" w:hAnsi="Arial"/>
                <w:sz w:val="17"/>
                <w:szCs w:val="17"/>
                <w:color w:val="auto"/>
              </w:rPr>
              <w:t>Total revenues</w:t>
            </w:r>
          </w:p>
        </w:tc>
        <w:tc>
          <w:tcPr>
            <w:tcW w:w="36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FF0FC"/>
          </w:tcPr>
          <w:p>
            <w:pPr>
              <w:jc w:val="right"/>
              <w:ind w:right="66"/>
              <w:spacing w:after="0"/>
              <w:rPr>
                <w:sz w:val="20"/>
                <w:szCs w:val="20"/>
                <w:color w:val="auto"/>
              </w:rPr>
            </w:pPr>
            <w:r>
              <w:rPr>
                <w:rFonts w:ascii="Arial" w:cs="Arial" w:eastAsia="Arial" w:hAnsi="Arial"/>
                <w:sz w:val="17"/>
                <w:szCs w:val="17"/>
                <w:color w:val="auto"/>
              </w:rPr>
              <w:t>15,971</w:t>
            </w:r>
          </w:p>
        </w:tc>
        <w:tc>
          <w:tcPr>
            <w:tcW w:w="300" w:type="dxa"/>
            <w:vAlign w:val="bottom"/>
            <w:shd w:val="clear" w:color="auto" w:fill="CFF0FC"/>
          </w:tcPr>
          <w:p>
            <w:pPr>
              <w:jc w:val="right"/>
              <w:ind w:right="6"/>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ind w:right="70"/>
              <w:spacing w:after="0"/>
              <w:rPr>
                <w:sz w:val="20"/>
                <w:szCs w:val="20"/>
                <w:color w:val="auto"/>
              </w:rPr>
            </w:pPr>
            <w:r>
              <w:rPr>
                <w:rFonts w:ascii="Arial" w:cs="Arial" w:eastAsia="Arial" w:hAnsi="Arial"/>
                <w:sz w:val="17"/>
                <w:szCs w:val="17"/>
                <w:color w:val="auto"/>
              </w:rPr>
              <w:t>49,593</w:t>
            </w:r>
          </w:p>
        </w:tc>
        <w:tc>
          <w:tcPr>
            <w:tcW w:w="400" w:type="dxa"/>
            <w:vAlign w:val="bottom"/>
            <w:shd w:val="clear" w:color="auto" w:fill="CFF0FC"/>
          </w:tcPr>
          <w:p>
            <w:pPr>
              <w:jc w:val="right"/>
              <w:ind w:right="97"/>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(33,622)</w:t>
            </w:r>
          </w:p>
        </w:tc>
      </w:tr>
      <w:tr>
        <w:trPr>
          <w:trHeight w:val="594"/>
        </w:trPr>
        <w:tc>
          <w:tcPr>
            <w:tcW w:w="3260" w:type="dxa"/>
            <w:vAlign w:val="bottom"/>
          </w:tcPr>
          <w:p>
            <w:pPr>
              <w:spacing w:after="0"/>
              <w:rPr>
                <w:sz w:val="24"/>
                <w:szCs w:val="24"/>
                <w:color w:val="auto"/>
              </w:rPr>
            </w:pPr>
          </w:p>
        </w:tc>
        <w:tc>
          <w:tcPr>
            <w:tcW w:w="3380" w:type="dxa"/>
            <w:vAlign w:val="bottom"/>
          </w:tcPr>
          <w:p>
            <w:pPr>
              <w:jc w:val="right"/>
              <w:ind w:right="857"/>
              <w:spacing w:after="0"/>
              <w:rPr>
                <w:sz w:val="20"/>
                <w:szCs w:val="20"/>
                <w:color w:val="auto"/>
              </w:rPr>
            </w:pPr>
            <w:r>
              <w:rPr>
                <w:rFonts w:ascii="Arial" w:cs="Arial" w:eastAsia="Arial" w:hAnsi="Arial"/>
                <w:sz w:val="17"/>
                <w:szCs w:val="17"/>
                <w:color w:val="auto"/>
              </w:rPr>
              <w:t>26</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6"/>
        </w:trPr>
        <w:tc>
          <w:tcPr>
            <w:tcW w:w="3260" w:type="dxa"/>
            <w:vAlign w:val="bottom"/>
            <w:tcBorders>
              <w:bottom w:val="single" w:sz="8" w:color="9A9A9A"/>
            </w:tcBorders>
          </w:tcPr>
          <w:p>
            <w:pPr>
              <w:spacing w:after="0"/>
              <w:rPr>
                <w:sz w:val="9"/>
                <w:szCs w:val="9"/>
                <w:color w:val="auto"/>
              </w:rPr>
            </w:pPr>
          </w:p>
        </w:tc>
        <w:tc>
          <w:tcPr>
            <w:tcW w:w="33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26" w:name="page27"/>
    <w:bookmarkEnd w:id="26"/>
    <w:p>
      <w:pPr>
        <w:ind w:left="1"/>
        <w:spacing w:after="0"/>
        <w:rPr>
          <w:sz w:val="20"/>
          <w:szCs w:val="20"/>
          <w:color w:val="auto"/>
        </w:rPr>
      </w:pPr>
      <w:r>
        <w:rPr>
          <w:rFonts w:ascii="Arial" w:cs="Arial" w:eastAsia="Arial" w:hAnsi="Arial"/>
          <w:sz w:val="17"/>
          <w:szCs w:val="17"/>
          <w:color w:val="auto"/>
        </w:rPr>
        <w:t>The following table summarizes our revenue by collaboration partner during the respective periods:</w:t>
      </w:r>
    </w:p>
    <w:p>
      <w:pPr>
        <w:spacing w:after="0" w:line="194"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6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3"/>
              </w:rPr>
              <w:t>Three Months Ended</w:t>
            </w: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64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3"/>
                <w:szCs w:val="13"/>
                <w:b w:val="1"/>
                <w:bCs w:val="1"/>
                <w:color w:val="auto"/>
                <w:w w:val="96"/>
              </w:rPr>
              <w:t>March 31,</w:t>
            </w: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1"/>
        </w:trPr>
        <w:tc>
          <w:tcPr>
            <w:tcW w:w="664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2021</w:t>
            </w:r>
          </w:p>
        </w:tc>
        <w:tc>
          <w:tcPr>
            <w:tcW w:w="5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123"/>
              <w:spacing w:after="0" w:line="142" w:lineRule="exact"/>
              <w:rPr>
                <w:sz w:val="20"/>
                <w:szCs w:val="20"/>
                <w:color w:val="auto"/>
              </w:rPr>
            </w:pPr>
            <w:r>
              <w:rPr>
                <w:rFonts w:ascii="Arial" w:cs="Arial" w:eastAsia="Arial" w:hAnsi="Arial"/>
                <w:sz w:val="13"/>
                <w:szCs w:val="13"/>
                <w:b w:val="1"/>
                <w:bCs w:val="1"/>
                <w:color w:val="auto"/>
                <w:w w:val="89"/>
              </w:rPr>
              <w:t>2020</w:t>
            </w:r>
          </w:p>
        </w:tc>
        <w:tc>
          <w:tcPr>
            <w:tcW w:w="2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80"/>
              <w:spacing w:after="0" w:line="142" w:lineRule="exact"/>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2"/>
                <w:szCs w:val="12"/>
                <w:color w:val="auto"/>
              </w:rPr>
            </w:pPr>
          </w:p>
        </w:tc>
      </w:tr>
      <w:tr>
        <w:trPr>
          <w:trHeight w:val="141"/>
        </w:trPr>
        <w:tc>
          <w:tcPr>
            <w:tcW w:w="6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440"/>
              <w:spacing w:after="0" w:line="142" w:lineRule="exact"/>
              <w:rPr>
                <w:sz w:val="20"/>
                <w:szCs w:val="20"/>
                <w:color w:val="auto"/>
              </w:rPr>
            </w:pPr>
            <w:r>
              <w:rPr>
                <w:rFonts w:ascii="Arial" w:cs="Arial" w:eastAsia="Arial" w:hAnsi="Arial"/>
                <w:sz w:val="13"/>
                <w:szCs w:val="13"/>
                <w:b w:val="1"/>
                <w:bCs w:val="1"/>
                <w:color w:val="auto"/>
                <w:w w:val="89"/>
              </w:rPr>
              <w:t>(in thousands)</w:t>
            </w: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1"/>
        </w:trPr>
        <w:tc>
          <w:tcPr>
            <w:tcW w:w="66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AbbVie</w:t>
            </w:r>
          </w:p>
        </w:tc>
        <w:tc>
          <w:tcPr>
            <w:tcW w:w="820" w:type="dxa"/>
            <w:vAlign w:val="bottom"/>
            <w:shd w:val="clear" w:color="auto" w:fill="CFF0FC"/>
          </w:tcPr>
          <w:p>
            <w:pPr>
              <w:jc w:val="right"/>
              <w:ind w:right="670"/>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1,228</w:t>
            </w:r>
          </w:p>
        </w:tc>
        <w:tc>
          <w:tcPr>
            <w:tcW w:w="440" w:type="dxa"/>
            <w:vAlign w:val="bottom"/>
            <w:gridSpan w:val="2"/>
            <w:shd w:val="clear" w:color="auto" w:fill="CFF0FC"/>
          </w:tcPr>
          <w:p>
            <w:pPr>
              <w:jc w:val="right"/>
              <w:ind w:right="31"/>
              <w:spacing w:after="0"/>
              <w:rPr>
                <w:sz w:val="20"/>
                <w:szCs w:val="20"/>
                <w:color w:val="auto"/>
              </w:rPr>
            </w:pPr>
            <w:r>
              <w:rPr>
                <w:rFonts w:ascii="Arial" w:cs="Arial" w:eastAsia="Arial" w:hAnsi="Arial"/>
                <w:sz w:val="17"/>
                <w:szCs w:val="17"/>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30,096</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7"/>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(28,868)</w:t>
            </w:r>
          </w:p>
        </w:tc>
      </w:tr>
      <w:tr>
        <w:trPr>
          <w:trHeight w:val="210"/>
        </w:trPr>
        <w:tc>
          <w:tcPr>
            <w:tcW w:w="6640" w:type="dxa"/>
            <w:vAlign w:val="bottom"/>
          </w:tcPr>
          <w:p>
            <w:pPr>
              <w:ind w:left="220"/>
              <w:spacing w:after="0"/>
              <w:rPr>
                <w:sz w:val="20"/>
                <w:szCs w:val="20"/>
                <w:color w:val="auto"/>
              </w:rPr>
            </w:pPr>
            <w:r>
              <w:rPr>
                <w:rFonts w:ascii="Arial" w:cs="Arial" w:eastAsia="Arial" w:hAnsi="Arial"/>
                <w:sz w:val="17"/>
                <w:szCs w:val="17"/>
                <w:color w:val="auto"/>
              </w:rPr>
              <w:t>Amgen</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2,582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1,695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887</w:t>
            </w:r>
          </w:p>
        </w:tc>
        <w:tc>
          <w:tcPr>
            <w:tcW w:w="100" w:type="dxa"/>
            <w:vAlign w:val="bottom"/>
          </w:tcPr>
          <w:p>
            <w:pPr>
              <w:spacing w:after="0"/>
              <w:rPr>
                <w:sz w:val="18"/>
                <w:szCs w:val="18"/>
                <w:color w:val="auto"/>
              </w:rPr>
            </w:pPr>
          </w:p>
        </w:tc>
      </w:tr>
      <w:tr>
        <w:trPr>
          <w:trHeight w:val="212"/>
        </w:trPr>
        <w:tc>
          <w:tcPr>
            <w:tcW w:w="66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Astellas</w:t>
            </w: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4,756</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387</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4,369</w:t>
            </w:r>
          </w:p>
        </w:tc>
        <w:tc>
          <w:tcPr>
            <w:tcW w:w="100" w:type="dxa"/>
            <w:vAlign w:val="bottom"/>
            <w:shd w:val="clear" w:color="auto" w:fill="CFF0FC"/>
          </w:tcPr>
          <w:p>
            <w:pPr>
              <w:spacing w:after="0"/>
              <w:rPr>
                <w:sz w:val="18"/>
                <w:szCs w:val="18"/>
                <w:color w:val="auto"/>
              </w:rPr>
            </w:pPr>
          </w:p>
        </w:tc>
      </w:tr>
      <w:tr>
        <w:trPr>
          <w:trHeight w:val="210"/>
        </w:trPr>
        <w:tc>
          <w:tcPr>
            <w:tcW w:w="6640" w:type="dxa"/>
            <w:vAlign w:val="bottom"/>
          </w:tcPr>
          <w:p>
            <w:pPr>
              <w:ind w:left="220"/>
              <w:spacing w:after="0"/>
              <w:rPr>
                <w:sz w:val="20"/>
                <w:szCs w:val="20"/>
                <w:color w:val="auto"/>
              </w:rPr>
            </w:pPr>
            <w:r>
              <w:rPr>
                <w:rFonts w:ascii="Arial" w:cs="Arial" w:eastAsia="Arial" w:hAnsi="Arial"/>
                <w:sz w:val="17"/>
                <w:szCs w:val="17"/>
                <w:color w:val="auto"/>
              </w:rPr>
              <w:t>Bristol Myers Squibb</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7,405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17,415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(10,010)</w:t>
            </w:r>
          </w:p>
        </w:tc>
      </w:tr>
      <w:tr>
        <w:trPr>
          <w:trHeight w:val="203"/>
        </w:trPr>
        <w:tc>
          <w:tcPr>
            <w:tcW w:w="6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Revenue</w:t>
            </w:r>
          </w:p>
        </w:tc>
        <w:tc>
          <w:tcPr>
            <w:tcW w:w="820" w:type="dxa"/>
            <w:vAlign w:val="bottom"/>
            <w:tcBorders>
              <w:top w:val="single" w:sz="8" w:color="auto"/>
              <w:bottom w:val="single" w:sz="8" w:color="auto"/>
            </w:tcBorders>
            <w:shd w:val="clear" w:color="auto" w:fill="CFF0FC"/>
          </w:tcPr>
          <w:p>
            <w:pPr>
              <w:jc w:val="right"/>
              <w:ind w:right="670"/>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8"/>
              </w:rPr>
              <w:t>15,971</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49,593</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97"/>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(33,622)</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decrease in revenue of $33.6 million for the three months ended March 31, 2021 compared to the corresponding period of 2020 was primarily due to:</w:t>
      </w:r>
    </w:p>
    <w:p>
      <w:pPr>
        <w:spacing w:after="0" w:line="114" w:lineRule="exact"/>
        <w:rPr>
          <w:sz w:val="20"/>
          <w:szCs w:val="20"/>
          <w:color w:val="auto"/>
        </w:rPr>
      </w:pPr>
    </w:p>
    <w:p>
      <w:pPr>
        <w:ind w:left="501" w:right="140" w:hanging="501"/>
        <w:spacing w:after="0" w:line="332" w:lineRule="auto"/>
        <w:tabs>
          <w:tab w:leader="none" w:pos="501" w:val="left"/>
        </w:tabs>
        <w:numPr>
          <w:ilvl w:val="0"/>
          <w:numId w:val="10"/>
        </w:numPr>
        <w:rPr>
          <w:rFonts w:ascii="Arial" w:cs="Arial" w:eastAsia="Arial" w:hAnsi="Arial"/>
          <w:sz w:val="14"/>
          <w:szCs w:val="14"/>
          <w:color w:val="auto"/>
        </w:rPr>
      </w:pPr>
      <w:r>
        <w:rPr>
          <w:rFonts w:ascii="Arial" w:cs="Arial" w:eastAsia="Arial" w:hAnsi="Arial"/>
          <w:sz w:val="14"/>
          <w:szCs w:val="14"/>
          <w:color w:val="auto"/>
        </w:rPr>
        <w:t>a decrease in revenue of $28.9 million from AbbVie primarily due to the $40.0 million milestone payment earned in the three months ended March 31, 2020 for satisfying the CD71 dose escalation success criteria milestone under the CD71 Co-Development and Licensing Agreement (the “CD71 Agreement”), of which $26.6 million was recognized in the three months ended March 31, 2020 reflecting the percentage completed to-date of the project;</w:t>
      </w:r>
    </w:p>
    <w:p>
      <w:pPr>
        <w:spacing w:after="0" w:line="27" w:lineRule="exact"/>
        <w:rPr>
          <w:rFonts w:ascii="Arial" w:cs="Arial" w:eastAsia="Arial" w:hAnsi="Arial"/>
          <w:sz w:val="14"/>
          <w:szCs w:val="14"/>
          <w:color w:val="auto"/>
        </w:rPr>
      </w:pPr>
    </w:p>
    <w:p>
      <w:pPr>
        <w:ind w:left="501" w:right="140" w:hanging="501"/>
        <w:spacing w:after="0" w:line="368" w:lineRule="auto"/>
        <w:tabs>
          <w:tab w:leader="none" w:pos="501" w:val="left"/>
        </w:tabs>
        <w:numPr>
          <w:ilvl w:val="0"/>
          <w:numId w:val="10"/>
        </w:numPr>
        <w:rPr>
          <w:rFonts w:ascii="Arial" w:cs="Arial" w:eastAsia="Arial" w:hAnsi="Arial"/>
          <w:sz w:val="14"/>
          <w:szCs w:val="14"/>
          <w:color w:val="auto"/>
        </w:rPr>
      </w:pPr>
      <w:r>
        <w:rPr>
          <w:rFonts w:ascii="Arial" w:cs="Arial" w:eastAsia="Arial" w:hAnsi="Arial"/>
          <w:sz w:val="14"/>
          <w:szCs w:val="14"/>
          <w:color w:val="auto"/>
        </w:rPr>
        <w:t>an increase in revenue from Astellas of $4.4 million primarily due to a full quarter recognition of the $80.0 million upfront payment over the estimated research service period of five years under the Collaboration and License Agreement with Astellas (the “Astellas Agreement”) entered into in March 2020; and</w:t>
      </w:r>
    </w:p>
    <w:p>
      <w:pPr>
        <w:spacing w:after="0" w:line="2" w:lineRule="exact"/>
        <w:rPr>
          <w:rFonts w:ascii="Arial" w:cs="Arial" w:eastAsia="Arial" w:hAnsi="Arial"/>
          <w:sz w:val="14"/>
          <w:szCs w:val="14"/>
          <w:color w:val="auto"/>
        </w:rPr>
      </w:pPr>
    </w:p>
    <w:p>
      <w:pPr>
        <w:ind w:left="501" w:right="420" w:hanging="501"/>
        <w:spacing w:after="0" w:line="368" w:lineRule="auto"/>
        <w:tabs>
          <w:tab w:leader="none" w:pos="501" w:val="left"/>
        </w:tabs>
        <w:numPr>
          <w:ilvl w:val="0"/>
          <w:numId w:val="10"/>
        </w:numPr>
        <w:rPr>
          <w:rFonts w:ascii="Arial" w:cs="Arial" w:eastAsia="Arial" w:hAnsi="Arial"/>
          <w:sz w:val="14"/>
          <w:szCs w:val="14"/>
          <w:color w:val="auto"/>
        </w:rPr>
      </w:pPr>
      <w:r>
        <w:rPr>
          <w:rFonts w:ascii="Arial" w:cs="Arial" w:eastAsia="Arial" w:hAnsi="Arial"/>
          <w:sz w:val="14"/>
          <w:szCs w:val="14"/>
          <w:color w:val="auto"/>
        </w:rPr>
        <w:t>a decrease in revenue from Bristol Myers Squibb of $10.0 million primarily due to the recognition in full of the $10.0 million milestone payment earned for achieving the dosing of first patient in the Part 2 cohort expansion of the ongoing CTLA-4 program by Bristol Myers Squibb in February 2020.</w:t>
      </w:r>
    </w:p>
    <w:p>
      <w:pPr>
        <w:spacing w:after="0" w:line="202"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Operating Costs and Expenses</w:t>
      </w:r>
    </w:p>
    <w:p>
      <w:pPr>
        <w:spacing w:after="0" w:line="103"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Research and Development Expenses</w:t>
      </w:r>
    </w:p>
    <w:p>
      <w:pPr>
        <w:spacing w:after="0" w:line="194"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6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Three Months Ended</w:t>
            </w: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664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230"/>
              <w:spacing w:after="0"/>
              <w:rPr>
                <w:sz w:val="20"/>
                <w:szCs w:val="20"/>
                <w:color w:val="auto"/>
              </w:rPr>
            </w:pPr>
            <w:r>
              <w:rPr>
                <w:rFonts w:ascii="Arial" w:cs="Arial" w:eastAsia="Arial" w:hAnsi="Arial"/>
                <w:sz w:val="13"/>
                <w:szCs w:val="13"/>
                <w:b w:val="1"/>
                <w:bCs w:val="1"/>
                <w:color w:val="auto"/>
                <w:w w:val="96"/>
              </w:rPr>
              <w:t>March 31,</w:t>
            </w: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1"/>
        </w:trPr>
        <w:tc>
          <w:tcPr>
            <w:tcW w:w="664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2021</w:t>
            </w:r>
          </w:p>
        </w:tc>
        <w:tc>
          <w:tcPr>
            <w:tcW w:w="6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230"/>
              <w:spacing w:after="0" w:line="142" w:lineRule="exact"/>
              <w:rPr>
                <w:sz w:val="20"/>
                <w:szCs w:val="20"/>
                <w:color w:val="auto"/>
              </w:rPr>
            </w:pPr>
            <w:r>
              <w:rPr>
                <w:rFonts w:ascii="Arial" w:cs="Arial" w:eastAsia="Arial" w:hAnsi="Arial"/>
                <w:sz w:val="13"/>
                <w:szCs w:val="13"/>
                <w:b w:val="1"/>
                <w:bCs w:val="1"/>
                <w:color w:val="auto"/>
                <w:w w:val="89"/>
              </w:rPr>
              <w:t>2020</w:t>
            </w:r>
          </w:p>
        </w:tc>
        <w:tc>
          <w:tcPr>
            <w:tcW w:w="4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2"/>
                <w:szCs w:val="12"/>
                <w:color w:val="auto"/>
              </w:rPr>
            </w:pPr>
          </w:p>
        </w:tc>
      </w:tr>
      <w:tr>
        <w:trPr>
          <w:trHeight w:val="141"/>
        </w:trPr>
        <w:tc>
          <w:tcPr>
            <w:tcW w:w="6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jc w:val="center"/>
              <w:ind w:right="210"/>
              <w:spacing w:after="0" w:line="142" w:lineRule="exact"/>
              <w:rPr>
                <w:sz w:val="20"/>
                <w:szCs w:val="20"/>
                <w:color w:val="auto"/>
              </w:rPr>
            </w:pPr>
            <w:r>
              <w:rPr>
                <w:rFonts w:ascii="Arial" w:cs="Arial" w:eastAsia="Arial" w:hAnsi="Arial"/>
                <w:sz w:val="13"/>
                <w:szCs w:val="13"/>
                <w:b w:val="1"/>
                <w:bCs w:val="1"/>
                <w:color w:val="auto"/>
                <w:w w:val="89"/>
              </w:rPr>
              <w:t>(in thousands)</w:t>
            </w: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1"/>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Research and development expenses</w:t>
            </w:r>
          </w:p>
        </w:tc>
        <w:tc>
          <w:tcPr>
            <w:tcW w:w="820" w:type="dxa"/>
            <w:vAlign w:val="bottom"/>
            <w:shd w:val="clear" w:color="auto" w:fill="CFF0FC"/>
          </w:tcPr>
          <w:p>
            <w:pPr>
              <w:jc w:val="right"/>
              <w:ind w:right="671"/>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ind w:right="57"/>
              <w:spacing w:after="0"/>
              <w:rPr>
                <w:sz w:val="20"/>
                <w:szCs w:val="20"/>
                <w:color w:val="auto"/>
              </w:rPr>
            </w:pPr>
            <w:r>
              <w:rPr>
                <w:rFonts w:ascii="Arial" w:cs="Arial" w:eastAsia="Arial" w:hAnsi="Arial"/>
                <w:sz w:val="17"/>
                <w:szCs w:val="17"/>
                <w:color w:val="auto"/>
                <w:w w:val="88"/>
              </w:rPr>
              <w:t>22,371</w:t>
            </w:r>
          </w:p>
        </w:tc>
        <w:tc>
          <w:tcPr>
            <w:tcW w:w="300" w:type="dxa"/>
            <w:vAlign w:val="bottom"/>
            <w:shd w:val="clear" w:color="auto" w:fill="CFF0FC"/>
          </w:tcPr>
          <w:p>
            <w:pPr>
              <w:jc w:val="right"/>
              <w:ind w:right="6"/>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ind w:right="70"/>
              <w:spacing w:after="0"/>
              <w:rPr>
                <w:sz w:val="20"/>
                <w:szCs w:val="20"/>
                <w:color w:val="auto"/>
              </w:rPr>
            </w:pPr>
            <w:r>
              <w:rPr>
                <w:rFonts w:ascii="Arial" w:cs="Arial" w:eastAsia="Arial" w:hAnsi="Arial"/>
                <w:sz w:val="17"/>
                <w:szCs w:val="17"/>
                <w:color w:val="auto"/>
              </w:rPr>
              <w:t>42,814</w:t>
            </w:r>
          </w:p>
        </w:tc>
        <w:tc>
          <w:tcPr>
            <w:tcW w:w="400" w:type="dxa"/>
            <w:vAlign w:val="bottom"/>
            <w:shd w:val="clear" w:color="auto" w:fill="CFF0FC"/>
          </w:tcPr>
          <w:p>
            <w:pPr>
              <w:jc w:val="right"/>
              <w:ind w:right="97"/>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(20,443)</w:t>
            </w:r>
          </w:p>
        </w:tc>
      </w:tr>
    </w:tbl>
    <w:p>
      <w:pPr>
        <w:spacing w:after="0" w:line="223" w:lineRule="exact"/>
        <w:rPr>
          <w:sz w:val="20"/>
          <w:szCs w:val="20"/>
          <w:color w:val="auto"/>
        </w:rPr>
      </w:pPr>
    </w:p>
    <w:p>
      <w:pPr>
        <w:ind w:left="1" w:right="400"/>
        <w:spacing w:after="0" w:line="261" w:lineRule="auto"/>
        <w:rPr>
          <w:sz w:val="20"/>
          <w:szCs w:val="20"/>
          <w:color w:val="auto"/>
        </w:rPr>
      </w:pPr>
      <w:r>
        <w:rPr>
          <w:rFonts w:ascii="Arial" w:cs="Arial" w:eastAsia="Arial" w:hAnsi="Arial"/>
          <w:sz w:val="17"/>
          <w:szCs w:val="17"/>
          <w:color w:val="auto"/>
        </w:rPr>
        <w:t>Research and development expenses decreased by $20.4 million during the three months ended March 31, 2021 compared to the corresponding period in 2020. The decrease was primarily attributable to the following:</w:t>
      </w:r>
    </w:p>
    <w:p>
      <w:pPr>
        <w:spacing w:after="0" w:line="72" w:lineRule="exact"/>
        <w:rPr>
          <w:sz w:val="20"/>
          <w:szCs w:val="20"/>
          <w:color w:val="auto"/>
        </w:rPr>
      </w:pPr>
    </w:p>
    <w:p>
      <w:pPr>
        <w:ind w:left="501" w:hanging="501"/>
        <w:spacing w:after="0" w:line="249" w:lineRule="auto"/>
        <w:tabs>
          <w:tab w:leader="none" w:pos="501"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decrease of $11.2 million in licensing expenses, of which $8.2 million related to UCSB in sublicense fees incurred on payments to us from various collaboration partners upon the achievements of certain milestones as well as the upfront payment from Astellas pursuant to the Astellas Agreement; and $3.0 million to ImmunoGen pursuant to the CX-2009 License as we initiated the first dosing of a patient in the praluzatamab ravtansine (CX-2009) Phase 2 clinical trial in February 2020;</w:t>
      </w:r>
    </w:p>
    <w:p>
      <w:pPr>
        <w:spacing w:after="0" w:line="82" w:lineRule="exact"/>
        <w:rPr>
          <w:rFonts w:ascii="Arial" w:cs="Arial" w:eastAsia="Arial" w:hAnsi="Arial"/>
          <w:sz w:val="17"/>
          <w:szCs w:val="17"/>
          <w:color w:val="auto"/>
        </w:rPr>
      </w:pPr>
    </w:p>
    <w:p>
      <w:pPr>
        <w:ind w:left="501" w:right="420" w:hanging="501"/>
        <w:spacing w:after="0" w:line="261" w:lineRule="auto"/>
        <w:tabs>
          <w:tab w:leader="none" w:pos="501"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decrease of $8.5 million in laboratory contracts and services as well as clinical trial related expenses primarily due to decreased clinical trial activities and timing of manufacturing activities;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16851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562" w:right="339" w:bottom="1440" w:gutter="0" w:footer="0" w:header="0"/>
        </w:sectPr>
      </w:pPr>
    </w:p>
    <w:bookmarkStart w:id="27" w:name="page28"/>
    <w:bookmarkEnd w:id="27"/>
    <w:p>
      <w:pPr>
        <w:ind w:left="1"/>
        <w:spacing w:after="0"/>
        <w:rPr>
          <w:sz w:val="20"/>
          <w:szCs w:val="20"/>
          <w:color w:val="auto"/>
        </w:rPr>
      </w:pPr>
      <w:r>
        <w:rPr>
          <w:rFonts w:ascii="Arial" w:cs="Arial" w:eastAsia="Arial" w:hAnsi="Arial"/>
          <w:sz w:val="17"/>
          <w:szCs w:val="17"/>
          <w:color w:val="auto"/>
        </w:rPr>
        <w:t>The following table summarizes our research and development expenses by program incurred during the respective periods:</w:t>
      </w:r>
    </w:p>
    <w:p>
      <w:pPr>
        <w:spacing w:after="0" w:line="194"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6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4"/>
              </w:rPr>
              <w:t>Three Months Ended</w:t>
            </w: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6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3"/>
                <w:szCs w:val="13"/>
                <w:b w:val="1"/>
                <w:bCs w:val="1"/>
                <w:color w:val="auto"/>
                <w:w w:val="96"/>
              </w:rPr>
              <w:t>March 31,</w:t>
            </w: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1"/>
        </w:trPr>
        <w:tc>
          <w:tcPr>
            <w:tcW w:w="66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122"/>
              <w:spacing w:after="0" w:line="142" w:lineRule="exact"/>
              <w:rPr>
                <w:sz w:val="20"/>
                <w:szCs w:val="20"/>
                <w:color w:val="auto"/>
              </w:rPr>
            </w:pPr>
            <w:r>
              <w:rPr>
                <w:rFonts w:ascii="Arial" w:cs="Arial" w:eastAsia="Arial" w:hAnsi="Arial"/>
                <w:sz w:val="13"/>
                <w:szCs w:val="13"/>
                <w:b w:val="1"/>
                <w:bCs w:val="1"/>
                <w:color w:val="auto"/>
                <w:w w:val="89"/>
              </w:rPr>
              <w:t>2020</w:t>
            </w:r>
          </w:p>
        </w:tc>
        <w:tc>
          <w:tcPr>
            <w:tcW w:w="2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79"/>
              <w:spacing w:after="0" w:line="142" w:lineRule="exact"/>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2"/>
                <w:szCs w:val="12"/>
                <w:color w:val="auto"/>
              </w:rPr>
            </w:pPr>
          </w:p>
        </w:tc>
      </w:tr>
      <w:tr>
        <w:trPr>
          <w:trHeight w:val="141"/>
        </w:trPr>
        <w:tc>
          <w:tcPr>
            <w:tcW w:w="6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440"/>
              <w:spacing w:after="0" w:line="142" w:lineRule="exact"/>
              <w:rPr>
                <w:sz w:val="20"/>
                <w:szCs w:val="20"/>
                <w:color w:val="auto"/>
              </w:rPr>
            </w:pPr>
            <w:r>
              <w:rPr>
                <w:rFonts w:ascii="Arial" w:cs="Arial" w:eastAsia="Arial" w:hAnsi="Arial"/>
                <w:sz w:val="13"/>
                <w:szCs w:val="13"/>
                <w:b w:val="1"/>
                <w:bCs w:val="1"/>
                <w:color w:val="auto"/>
                <w:w w:val="91"/>
              </w:rPr>
              <w:t>(in thousands)</w:t>
            </w: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1"/>
        </w:trPr>
        <w:tc>
          <w:tcPr>
            <w:tcW w:w="66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External costs incurred by product candidate (target):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6620" w:type="dxa"/>
            <w:vAlign w:val="bottom"/>
          </w:tcPr>
          <w:p>
            <w:pPr>
              <w:spacing w:after="0"/>
              <w:rPr>
                <w:sz w:val="20"/>
                <w:szCs w:val="20"/>
                <w:color w:val="auto"/>
              </w:rPr>
            </w:pPr>
            <w:r>
              <w:rPr>
                <w:rFonts w:ascii="Arial" w:cs="Arial" w:eastAsia="Arial" w:hAnsi="Arial"/>
                <w:sz w:val="17"/>
                <w:szCs w:val="17"/>
                <w:color w:val="auto"/>
              </w:rPr>
              <w:t>Praluzatamab ravtansine, CX-2009 (CD166)</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3,052</w:t>
            </w:r>
          </w:p>
        </w:tc>
        <w:tc>
          <w:tcPr>
            <w:tcW w:w="160" w:type="dxa"/>
            <w:vAlign w:val="bottom"/>
          </w:tcPr>
          <w:p>
            <w:pPr>
              <w:spacing w:after="0"/>
              <w:rPr>
                <w:sz w:val="18"/>
                <w:szCs w:val="18"/>
                <w:color w:val="auto"/>
              </w:rPr>
            </w:pPr>
          </w:p>
        </w:tc>
        <w:tc>
          <w:tcPr>
            <w:tcW w:w="280" w:type="dxa"/>
            <w:vAlign w:val="bottom"/>
            <w:gridSpan w:val="2"/>
          </w:tcPr>
          <w:p>
            <w:pPr>
              <w:jc w:val="right"/>
              <w:ind w:right="31"/>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6,339</w:t>
            </w:r>
          </w:p>
        </w:tc>
        <w:tc>
          <w:tcPr>
            <w:tcW w:w="280" w:type="dxa"/>
            <w:vAlign w:val="bottom"/>
          </w:tcPr>
          <w:p>
            <w:pPr>
              <w:spacing w:after="0"/>
              <w:rPr>
                <w:sz w:val="18"/>
                <w:szCs w:val="18"/>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(3,287)</w:t>
            </w:r>
          </w:p>
        </w:tc>
      </w:tr>
      <w:tr>
        <w:trPr>
          <w:trHeight w:val="212"/>
        </w:trPr>
        <w:tc>
          <w:tcPr>
            <w:tcW w:w="6620" w:type="dxa"/>
            <w:vAlign w:val="bottom"/>
            <w:shd w:val="clear" w:color="auto" w:fill="CFF0FC"/>
          </w:tcPr>
          <w:p>
            <w:pPr>
              <w:spacing w:after="0"/>
              <w:rPr>
                <w:sz w:val="20"/>
                <w:szCs w:val="20"/>
                <w:color w:val="auto"/>
              </w:rPr>
            </w:pPr>
            <w:r>
              <w:rPr>
                <w:rFonts w:ascii="Arial" w:cs="Arial" w:eastAsia="Arial" w:hAnsi="Arial"/>
                <w:sz w:val="17"/>
                <w:szCs w:val="17"/>
                <w:color w:val="auto"/>
              </w:rPr>
              <w:t>CX-2029 (CD71)</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1,538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3,066</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(1,528)</w:t>
            </w:r>
          </w:p>
        </w:tc>
      </w:tr>
      <w:tr>
        <w:trPr>
          <w:trHeight w:val="210"/>
        </w:trPr>
        <w:tc>
          <w:tcPr>
            <w:tcW w:w="6620" w:type="dxa"/>
            <w:vAlign w:val="bottom"/>
          </w:tcPr>
          <w:p>
            <w:pPr>
              <w:spacing w:after="0"/>
              <w:rPr>
                <w:sz w:val="20"/>
                <w:szCs w:val="20"/>
                <w:color w:val="auto"/>
              </w:rPr>
            </w:pPr>
            <w:r>
              <w:rPr>
                <w:rFonts w:ascii="Arial" w:cs="Arial" w:eastAsia="Arial" w:hAnsi="Arial"/>
                <w:sz w:val="17"/>
                <w:szCs w:val="17"/>
                <w:color w:val="auto"/>
              </w:rPr>
              <w:t>Pacmilimab, CX-072 (PD-L1)</w:t>
            </w: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(202)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7,562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(7,764)</w:t>
            </w:r>
          </w:p>
        </w:tc>
      </w:tr>
      <w:tr>
        <w:trPr>
          <w:trHeight w:val="212"/>
        </w:trPr>
        <w:tc>
          <w:tcPr>
            <w:tcW w:w="6620" w:type="dxa"/>
            <w:vAlign w:val="bottom"/>
            <w:shd w:val="clear" w:color="auto" w:fill="CFF0FC"/>
          </w:tcPr>
          <w:p>
            <w:pPr>
              <w:spacing w:after="0"/>
              <w:rPr>
                <w:sz w:val="20"/>
                <w:szCs w:val="20"/>
                <w:color w:val="auto"/>
              </w:rPr>
            </w:pPr>
            <w:r>
              <w:rPr>
                <w:rFonts w:ascii="Arial" w:cs="Arial" w:eastAsia="Arial" w:hAnsi="Arial"/>
                <w:sz w:val="17"/>
                <w:szCs w:val="17"/>
                <w:color w:val="auto"/>
              </w:rPr>
              <w:t>Other wholly owned and partnered programs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1,753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9,048</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(7,295)</w:t>
            </w:r>
          </w:p>
        </w:tc>
      </w:tr>
      <w:tr>
        <w:trPr>
          <w:trHeight w:val="210"/>
        </w:trPr>
        <w:tc>
          <w:tcPr>
            <w:tcW w:w="66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General research and development expenses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3,714</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3,672</w:t>
            </w:r>
          </w:p>
        </w:tc>
        <w:tc>
          <w:tcPr>
            <w:tcW w:w="2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100" w:type="dxa"/>
            <w:vAlign w:val="bottom"/>
            <w:tcBorders>
              <w:bottom w:val="single" w:sz="8" w:color="CFF0FC"/>
            </w:tcBorders>
          </w:tcPr>
          <w:p>
            <w:pPr>
              <w:spacing w:after="0"/>
              <w:rPr>
                <w:sz w:val="18"/>
                <w:szCs w:val="18"/>
                <w:color w:val="auto"/>
              </w:rPr>
            </w:pPr>
          </w:p>
        </w:tc>
      </w:tr>
      <w:tr>
        <w:trPr>
          <w:trHeight w:val="204"/>
        </w:trPr>
        <w:tc>
          <w:tcPr>
            <w:tcW w:w="6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9,855</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29,687</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(19,832)</w:t>
            </w:r>
          </w:p>
        </w:tc>
        <w:tc>
          <w:tcPr>
            <w:tcW w:w="100" w:type="dxa"/>
            <w:vAlign w:val="bottom"/>
            <w:shd w:val="clear" w:color="auto" w:fill="CFF0FC"/>
          </w:tcPr>
          <w:p>
            <w:pPr>
              <w:spacing w:after="0"/>
              <w:rPr>
                <w:sz w:val="17"/>
                <w:szCs w:val="17"/>
                <w:color w:val="auto"/>
              </w:rPr>
            </w:pPr>
          </w:p>
        </w:tc>
      </w:tr>
      <w:tr>
        <w:trPr>
          <w:trHeight w:val="211"/>
        </w:trPr>
        <w:tc>
          <w:tcPr>
            <w:tcW w:w="6620" w:type="dxa"/>
            <w:vAlign w:val="bottom"/>
          </w:tcPr>
          <w:p>
            <w:pPr>
              <w:spacing w:after="0"/>
              <w:rPr>
                <w:sz w:val="20"/>
                <w:szCs w:val="20"/>
                <w:color w:val="auto"/>
              </w:rPr>
            </w:pPr>
            <w:r>
              <w:rPr>
                <w:rFonts w:ascii="Arial" w:cs="Arial" w:eastAsia="Arial" w:hAnsi="Arial"/>
                <w:sz w:val="17"/>
                <w:szCs w:val="17"/>
                <w:b w:val="1"/>
                <w:bCs w:val="1"/>
                <w:color w:val="auto"/>
              </w:rPr>
              <w:t>Internal Costs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12,516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13,127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(611)</w:t>
            </w:r>
          </w:p>
        </w:tc>
      </w:tr>
      <w:tr>
        <w:trPr>
          <w:trHeight w:val="203"/>
        </w:trPr>
        <w:tc>
          <w:tcPr>
            <w:tcW w:w="662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Arial" w:cs="Arial" w:eastAsia="Arial" w:hAnsi="Arial"/>
                <w:sz w:val="17"/>
                <w:szCs w:val="17"/>
                <w:b w:val="1"/>
                <w:bCs w:val="1"/>
                <w:color w:val="auto"/>
              </w:rPr>
              <w:t>Total research and development expenses</w:t>
            </w:r>
          </w:p>
        </w:tc>
        <w:tc>
          <w:tcPr>
            <w:tcW w:w="30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22,371</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42,814</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97"/>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(20,443)</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 w:right="260"/>
        <w:spacing w:after="0" w:line="261" w:lineRule="auto"/>
        <w:rPr>
          <w:sz w:val="20"/>
          <w:szCs w:val="20"/>
          <w:color w:val="auto"/>
        </w:rPr>
      </w:pPr>
      <w:r>
        <w:rPr>
          <w:rFonts w:ascii="Arial" w:cs="Arial" w:eastAsia="Arial" w:hAnsi="Arial"/>
          <w:sz w:val="17"/>
          <w:szCs w:val="17"/>
          <w:color w:val="auto"/>
        </w:rPr>
        <w:t>The decrease in research and development expenses for the three months ended March 31, 2021 compared to the corresponding period of 2020 was attributable to the following changes by project:</w:t>
      </w:r>
    </w:p>
    <w:p>
      <w:pPr>
        <w:spacing w:after="0" w:line="84" w:lineRule="exact"/>
        <w:rPr>
          <w:sz w:val="20"/>
          <w:szCs w:val="20"/>
          <w:color w:val="auto"/>
        </w:rPr>
      </w:pPr>
    </w:p>
    <w:p>
      <w:pPr>
        <w:ind w:left="501" w:right="200" w:hanging="501"/>
        <w:spacing w:after="0" w:line="252" w:lineRule="auto"/>
        <w:tabs>
          <w:tab w:leader="none" w:pos="501"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decrease in praluzatamab ravtansine (CX-2009) expenses was primarily due to a $3.0 million licensing payment to ImmunoGen and a $0.2 million sublicense payment to UCSB for achieving the milestone of the first dosing of a patient in the praluzatamab ravtansine Phase 2 expansion of the original Phase 1/2 clinical trial during the first quarter of 2020.</w:t>
      </w:r>
    </w:p>
    <w:p>
      <w:pPr>
        <w:spacing w:after="0" w:line="91" w:lineRule="exact"/>
        <w:rPr>
          <w:rFonts w:ascii="Arial" w:cs="Arial" w:eastAsia="Arial" w:hAnsi="Arial"/>
          <w:sz w:val="17"/>
          <w:szCs w:val="17"/>
          <w:color w:val="auto"/>
        </w:rPr>
      </w:pPr>
    </w:p>
    <w:p>
      <w:pPr>
        <w:ind w:left="501" w:right="40" w:hanging="501"/>
        <w:spacing w:after="0" w:line="261" w:lineRule="auto"/>
        <w:tabs>
          <w:tab w:leader="none" w:pos="501"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decrease in CX-2029 expenses was primarily due to a $1.4 million sublicense fee expense to UCSB related to the $40.0 million milestone payment earned in March 2020 for satisfying the CD71 dose escalation success criteria under the CD71 Agreement.</w:t>
      </w:r>
    </w:p>
    <w:p>
      <w:pPr>
        <w:spacing w:after="0" w:line="83" w:lineRule="exact"/>
        <w:rPr>
          <w:rFonts w:ascii="Arial" w:cs="Arial" w:eastAsia="Arial" w:hAnsi="Arial"/>
          <w:sz w:val="17"/>
          <w:szCs w:val="17"/>
          <w:color w:val="auto"/>
        </w:rPr>
      </w:pPr>
    </w:p>
    <w:p>
      <w:pPr>
        <w:ind w:left="501" w:right="100" w:hanging="501"/>
        <w:spacing w:after="0" w:line="332" w:lineRule="auto"/>
        <w:tabs>
          <w:tab w:leader="none" w:pos="501"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decrease in pacmilimab (CX-072) expenses was primarily due to $3.7 million decrease in clinical trial related expenses and a $3.7 million decrease in laboratory contract services as a result of the timing of manufacturing and decreased activities in the pacmilimab study, including the termination in March 2020 of the CX-072-002 study to evaluate the conditionally activated anti-PD-L1 pacmilimab in combination with ipilimumab in melanoma.</w:t>
      </w:r>
    </w:p>
    <w:p>
      <w:pPr>
        <w:spacing w:after="0" w:line="39" w:lineRule="exact"/>
        <w:rPr>
          <w:rFonts w:ascii="Arial" w:cs="Arial" w:eastAsia="Arial" w:hAnsi="Arial"/>
          <w:sz w:val="14"/>
          <w:szCs w:val="14"/>
          <w:color w:val="auto"/>
        </w:rPr>
      </w:pPr>
    </w:p>
    <w:p>
      <w:pPr>
        <w:ind w:left="501" w:right="100" w:hanging="501"/>
        <w:spacing w:after="0" w:line="248" w:lineRule="auto"/>
        <w:tabs>
          <w:tab w:leader="none" w:pos="501"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decrease in “Other wholly owned and partnered programs” was primarily due to a $6.0 million sublicense fee payment to UCSB related to the $80.0 million upfront payment under the Astellas Agreement during the first quarter of 2020, a $0.8 million sublicense fee payment to UCSB related to the dosing of first patient in the Part 2 cohort expansion of the ongoing CTLA-4 program by Bristol Myers Squibb in the first quarter of 2020 and a decrease of $1.2 million in laboratory contract services related to the Amgen EGFR project, partially offset by an increase of $0.9 million in laboratory contract services related to the EpCAM program that began in December 2019.</w:t>
      </w:r>
    </w:p>
    <w:p>
      <w:pPr>
        <w:spacing w:after="0" w:line="319"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General and Administrative Expenses</w:t>
      </w:r>
    </w:p>
    <w:p>
      <w:pPr>
        <w:spacing w:after="0" w:line="194"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6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Three Months Ended</w:t>
            </w: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664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230"/>
              <w:spacing w:after="0"/>
              <w:rPr>
                <w:sz w:val="20"/>
                <w:szCs w:val="20"/>
                <w:color w:val="auto"/>
              </w:rPr>
            </w:pPr>
            <w:r>
              <w:rPr>
                <w:rFonts w:ascii="Arial" w:cs="Arial" w:eastAsia="Arial" w:hAnsi="Arial"/>
                <w:sz w:val="13"/>
                <w:szCs w:val="13"/>
                <w:b w:val="1"/>
                <w:bCs w:val="1"/>
                <w:color w:val="auto"/>
                <w:w w:val="96"/>
              </w:rPr>
              <w:t>March 31,</w:t>
            </w: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1"/>
        </w:trPr>
        <w:tc>
          <w:tcPr>
            <w:tcW w:w="6640" w:type="dxa"/>
            <w:vAlign w:val="bottom"/>
          </w:tcPr>
          <w:p>
            <w:pPr>
              <w:spacing w:after="0"/>
              <w:rPr>
                <w:sz w:val="12"/>
                <w:szCs w:val="12"/>
                <w:color w:val="auto"/>
              </w:rPr>
            </w:pPr>
          </w:p>
        </w:tc>
        <w:tc>
          <w:tcPr>
            <w:tcW w:w="86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3"/>
                <w:szCs w:val="13"/>
                <w:b w:val="1"/>
                <w:bCs w:val="1"/>
                <w:color w:val="auto"/>
              </w:rPr>
              <w:t>2021</w:t>
            </w:r>
          </w:p>
        </w:tc>
        <w:tc>
          <w:tcPr>
            <w:tcW w:w="5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230"/>
              <w:spacing w:after="0" w:line="142" w:lineRule="exact"/>
              <w:rPr>
                <w:sz w:val="20"/>
                <w:szCs w:val="20"/>
                <w:color w:val="auto"/>
              </w:rPr>
            </w:pPr>
            <w:r>
              <w:rPr>
                <w:rFonts w:ascii="Arial" w:cs="Arial" w:eastAsia="Arial" w:hAnsi="Arial"/>
                <w:sz w:val="13"/>
                <w:szCs w:val="13"/>
                <w:b w:val="1"/>
                <w:bCs w:val="1"/>
                <w:color w:val="auto"/>
                <w:w w:val="89"/>
              </w:rPr>
              <w:t>2020</w:t>
            </w:r>
          </w:p>
        </w:tc>
        <w:tc>
          <w:tcPr>
            <w:tcW w:w="4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2"/>
                <w:szCs w:val="12"/>
                <w:color w:val="auto"/>
              </w:rPr>
            </w:pPr>
          </w:p>
        </w:tc>
      </w:tr>
      <w:tr>
        <w:trPr>
          <w:trHeight w:val="141"/>
        </w:trPr>
        <w:tc>
          <w:tcPr>
            <w:tcW w:w="6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jc w:val="center"/>
              <w:ind w:right="210"/>
              <w:spacing w:after="0" w:line="142" w:lineRule="exact"/>
              <w:rPr>
                <w:sz w:val="20"/>
                <w:szCs w:val="20"/>
                <w:color w:val="auto"/>
              </w:rPr>
            </w:pPr>
            <w:r>
              <w:rPr>
                <w:rFonts w:ascii="Arial" w:cs="Arial" w:eastAsia="Arial" w:hAnsi="Arial"/>
                <w:sz w:val="13"/>
                <w:szCs w:val="13"/>
                <w:b w:val="1"/>
                <w:bCs w:val="1"/>
                <w:color w:val="auto"/>
                <w:w w:val="89"/>
              </w:rPr>
              <w:t>(in thousands)</w:t>
            </w: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1"/>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General and administrative expenses</w:t>
            </w:r>
          </w:p>
        </w:tc>
        <w:tc>
          <w:tcPr>
            <w:tcW w:w="860" w:type="dxa"/>
            <w:vAlign w:val="bottom"/>
            <w:shd w:val="clear" w:color="auto" w:fill="CFF0FC"/>
          </w:tcPr>
          <w:p>
            <w:pPr>
              <w:jc w:val="right"/>
              <w:ind w:right="711"/>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ind w:right="57"/>
              <w:spacing w:after="0"/>
              <w:rPr>
                <w:sz w:val="20"/>
                <w:szCs w:val="20"/>
                <w:color w:val="auto"/>
              </w:rPr>
            </w:pPr>
            <w:r>
              <w:rPr>
                <w:rFonts w:ascii="Arial" w:cs="Arial" w:eastAsia="Arial" w:hAnsi="Arial"/>
                <w:sz w:val="17"/>
                <w:szCs w:val="17"/>
                <w:color w:val="auto"/>
                <w:w w:val="98"/>
              </w:rPr>
              <w:t>9,227</w:t>
            </w:r>
          </w:p>
        </w:tc>
        <w:tc>
          <w:tcPr>
            <w:tcW w:w="300" w:type="dxa"/>
            <w:vAlign w:val="bottom"/>
            <w:shd w:val="clear" w:color="auto" w:fill="CFF0FC"/>
          </w:tcPr>
          <w:p>
            <w:pPr>
              <w:jc w:val="right"/>
              <w:ind w:right="6"/>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ind w:right="70"/>
              <w:spacing w:after="0"/>
              <w:rPr>
                <w:sz w:val="20"/>
                <w:szCs w:val="20"/>
                <w:color w:val="auto"/>
              </w:rPr>
            </w:pPr>
            <w:r>
              <w:rPr>
                <w:rFonts w:ascii="Arial" w:cs="Arial" w:eastAsia="Arial" w:hAnsi="Arial"/>
                <w:sz w:val="17"/>
                <w:szCs w:val="17"/>
                <w:color w:val="auto"/>
              </w:rPr>
              <w:t>9,572</w:t>
            </w:r>
          </w:p>
        </w:tc>
        <w:tc>
          <w:tcPr>
            <w:tcW w:w="400" w:type="dxa"/>
            <w:vAlign w:val="bottom"/>
            <w:shd w:val="clear" w:color="auto" w:fill="CFF0FC"/>
          </w:tcPr>
          <w:p>
            <w:pPr>
              <w:jc w:val="right"/>
              <w:ind w:right="97"/>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(345)</w:t>
            </w:r>
          </w:p>
        </w:tc>
      </w:tr>
    </w:tbl>
    <w:p>
      <w:pPr>
        <w:spacing w:after="0" w:line="211" w:lineRule="exact"/>
        <w:rPr>
          <w:sz w:val="20"/>
          <w:szCs w:val="20"/>
          <w:color w:val="auto"/>
        </w:rPr>
      </w:pPr>
    </w:p>
    <w:p>
      <w:pPr>
        <w:ind w:left="1" w:right="540"/>
        <w:spacing w:after="0" w:line="368" w:lineRule="auto"/>
        <w:rPr>
          <w:sz w:val="20"/>
          <w:szCs w:val="20"/>
          <w:color w:val="auto"/>
        </w:rPr>
      </w:pPr>
      <w:r>
        <w:rPr>
          <w:rFonts w:ascii="Arial" w:cs="Arial" w:eastAsia="Arial" w:hAnsi="Arial"/>
          <w:sz w:val="14"/>
          <w:szCs w:val="14"/>
          <w:color w:val="auto"/>
        </w:rPr>
        <w:t>General and administrative expense decreased by $0.3 million during the three months ended March 31, 2021 compared to the corresponding period in 2020. The decrease was primarily attributable to a decrease in consulting and professional services expenses due to reduced legal, audit and consulting activities.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168515"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562"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i w:val="1"/>
          <w:iCs w:val="1"/>
          <w:color w:val="auto"/>
        </w:rPr>
        <w:t>Interest Income and Other Income (Expense)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3"/>
              </w:rPr>
              <w:t>Three Months Ended</w:t>
            </w: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6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3"/>
                <w:szCs w:val="13"/>
                <w:b w:val="1"/>
                <w:bCs w:val="1"/>
                <w:color w:val="auto"/>
                <w:w w:val="96"/>
              </w:rPr>
              <w:t>March 31,</w:t>
            </w: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1"/>
        </w:trPr>
        <w:tc>
          <w:tcPr>
            <w:tcW w:w="6640" w:type="dxa"/>
            <w:vAlign w:val="bottom"/>
          </w:tcPr>
          <w:p>
            <w:pPr>
              <w:spacing w:after="0"/>
              <w:rPr>
                <w:sz w:val="12"/>
                <w:szCs w:val="12"/>
                <w:color w:val="auto"/>
              </w:rPr>
            </w:pPr>
          </w:p>
        </w:tc>
        <w:tc>
          <w:tcPr>
            <w:tcW w:w="960" w:type="dxa"/>
            <w:vAlign w:val="bottom"/>
            <w:tcBorders>
              <w:bottom w:val="single" w:sz="8" w:color="auto"/>
            </w:tcBorders>
          </w:tcPr>
          <w:p>
            <w:pPr>
              <w:jc w:val="right"/>
              <w:ind w:right="110"/>
              <w:spacing w:after="0" w:line="142" w:lineRule="exact"/>
              <w:rPr>
                <w:sz w:val="20"/>
                <w:szCs w:val="20"/>
                <w:color w:val="auto"/>
              </w:rPr>
            </w:pPr>
            <w:r>
              <w:rPr>
                <w:rFonts w:ascii="Arial" w:cs="Arial" w:eastAsia="Arial" w:hAnsi="Arial"/>
                <w:sz w:val="13"/>
                <w:szCs w:val="13"/>
                <w:b w:val="1"/>
                <w:bCs w:val="1"/>
                <w:color w:val="auto"/>
              </w:rPr>
              <w:t>2021</w:t>
            </w:r>
          </w:p>
        </w:tc>
        <w:tc>
          <w:tcPr>
            <w:tcW w:w="3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126"/>
              <w:spacing w:after="0" w:line="142" w:lineRule="exact"/>
              <w:rPr>
                <w:sz w:val="20"/>
                <w:szCs w:val="20"/>
                <w:color w:val="auto"/>
              </w:rPr>
            </w:pPr>
            <w:r>
              <w:rPr>
                <w:rFonts w:ascii="Arial" w:cs="Arial" w:eastAsia="Arial" w:hAnsi="Arial"/>
                <w:sz w:val="13"/>
                <w:szCs w:val="13"/>
                <w:b w:val="1"/>
                <w:bCs w:val="1"/>
                <w:color w:val="auto"/>
                <w:w w:val="89"/>
              </w:rPr>
              <w:t>2020</w:t>
            </w:r>
          </w:p>
        </w:tc>
        <w:tc>
          <w:tcPr>
            <w:tcW w:w="2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81"/>
              <w:spacing w:after="0" w:line="142" w:lineRule="exact"/>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2"/>
                <w:szCs w:val="12"/>
                <w:color w:val="auto"/>
              </w:rPr>
            </w:pPr>
          </w:p>
        </w:tc>
      </w:tr>
      <w:tr>
        <w:trPr>
          <w:trHeight w:val="141"/>
        </w:trPr>
        <w:tc>
          <w:tcPr>
            <w:tcW w:w="6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440"/>
              <w:spacing w:after="0" w:line="142" w:lineRule="exact"/>
              <w:rPr>
                <w:sz w:val="20"/>
                <w:szCs w:val="20"/>
                <w:color w:val="auto"/>
              </w:rPr>
            </w:pPr>
            <w:r>
              <w:rPr>
                <w:rFonts w:ascii="Arial" w:cs="Arial" w:eastAsia="Arial" w:hAnsi="Arial"/>
                <w:sz w:val="13"/>
                <w:szCs w:val="13"/>
                <w:b w:val="1"/>
                <w:bCs w:val="1"/>
                <w:color w:val="auto"/>
                <w:w w:val="89"/>
              </w:rPr>
              <w:t>(in thousands)</w:t>
            </w: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1"/>
        </w:trPr>
        <w:tc>
          <w:tcPr>
            <w:tcW w:w="66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Interest income</w:t>
            </w:r>
          </w:p>
        </w:tc>
        <w:tc>
          <w:tcPr>
            <w:tcW w:w="960" w:type="dxa"/>
            <w:vAlign w:val="bottom"/>
            <w:shd w:val="clear" w:color="auto" w:fill="CFF0FC"/>
          </w:tcPr>
          <w:p>
            <w:pPr>
              <w:jc w:val="right"/>
              <w:ind w:right="810"/>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w:t>
            </w:r>
          </w:p>
        </w:tc>
        <w:tc>
          <w:tcPr>
            <w:tcW w:w="440" w:type="dxa"/>
            <w:vAlign w:val="bottom"/>
            <w:gridSpan w:val="2"/>
            <w:shd w:val="clear" w:color="auto" w:fill="CFF0FC"/>
          </w:tcPr>
          <w:p>
            <w:pPr>
              <w:jc w:val="right"/>
              <w:ind w:right="31"/>
              <w:spacing w:after="0"/>
              <w:rPr>
                <w:sz w:val="20"/>
                <w:szCs w:val="20"/>
                <w:color w:val="auto"/>
              </w:rPr>
            </w:pPr>
            <w:r>
              <w:rPr>
                <w:rFonts w:ascii="Arial" w:cs="Arial" w:eastAsia="Arial" w:hAnsi="Arial"/>
                <w:sz w:val="17"/>
                <w:szCs w:val="17"/>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1,075</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7"/>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(1,007)</w:t>
            </w:r>
          </w:p>
        </w:tc>
      </w:tr>
      <w:tr>
        <w:trPr>
          <w:trHeight w:val="210"/>
        </w:trPr>
        <w:tc>
          <w:tcPr>
            <w:tcW w:w="6640" w:type="dxa"/>
            <w:vAlign w:val="bottom"/>
          </w:tcPr>
          <w:p>
            <w:pPr>
              <w:ind w:left="220"/>
              <w:spacing w:after="0"/>
              <w:rPr>
                <w:sz w:val="20"/>
                <w:szCs w:val="20"/>
                <w:color w:val="auto"/>
              </w:rPr>
            </w:pPr>
            <w:r>
              <w:rPr>
                <w:rFonts w:ascii="Arial" w:cs="Arial" w:eastAsia="Arial" w:hAnsi="Arial"/>
                <w:sz w:val="17"/>
                <w:szCs w:val="17"/>
                <w:color w:val="auto"/>
              </w:rPr>
              <w:t>Other income, net</w:t>
            </w:r>
          </w:p>
        </w:tc>
        <w:tc>
          <w:tcPr>
            <w:tcW w:w="9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03"/>
        </w:trPr>
        <w:tc>
          <w:tcPr>
            <w:tcW w:w="6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interest income and other income, net</w:t>
            </w:r>
          </w:p>
        </w:tc>
        <w:tc>
          <w:tcPr>
            <w:tcW w:w="960" w:type="dxa"/>
            <w:vAlign w:val="bottom"/>
            <w:tcBorders>
              <w:top w:val="single" w:sz="8" w:color="auto"/>
              <w:bottom w:val="single" w:sz="8" w:color="auto"/>
            </w:tcBorders>
            <w:shd w:val="clear" w:color="auto" w:fill="CFF0FC"/>
          </w:tcPr>
          <w:p>
            <w:pPr>
              <w:jc w:val="right"/>
              <w:ind w:right="810"/>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73</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1,087</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97"/>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(1,014)</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Income</w:t>
      </w:r>
    </w:p>
    <w:p>
      <w:pPr>
        <w:spacing w:after="0" w:line="103" w:lineRule="exact"/>
        <w:rPr>
          <w:sz w:val="20"/>
          <w:szCs w:val="20"/>
          <w:color w:val="auto"/>
        </w:rPr>
      </w:pPr>
    </w:p>
    <w:p>
      <w:pPr>
        <w:ind w:right="460"/>
        <w:spacing w:after="0" w:line="261" w:lineRule="auto"/>
        <w:rPr>
          <w:sz w:val="20"/>
          <w:szCs w:val="20"/>
          <w:color w:val="auto"/>
        </w:rPr>
      </w:pPr>
      <w:r>
        <w:rPr>
          <w:rFonts w:ascii="Arial" w:cs="Arial" w:eastAsia="Arial" w:hAnsi="Arial"/>
          <w:sz w:val="17"/>
          <w:szCs w:val="17"/>
          <w:color w:val="auto"/>
        </w:rPr>
        <w:t>Interest income decreased by $1.0 million during the three months ended March 31, 2021 compared to the corresponding period in 2020 driven primarily by lower interest rates.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net</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There have not been significant changes in other income for the three months ended March 31, 2021 compared to the corresponding period in 2020.</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Benefit from Income Taxes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Three Months Ended</w:t>
            </w: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66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270"/>
              <w:spacing w:after="0"/>
              <w:rPr>
                <w:sz w:val="20"/>
                <w:szCs w:val="20"/>
                <w:color w:val="auto"/>
              </w:rPr>
            </w:pPr>
            <w:r>
              <w:rPr>
                <w:rFonts w:ascii="Arial" w:cs="Arial" w:eastAsia="Arial" w:hAnsi="Arial"/>
                <w:sz w:val="13"/>
                <w:szCs w:val="13"/>
                <w:b w:val="1"/>
                <w:bCs w:val="1"/>
                <w:color w:val="auto"/>
                <w:w w:val="96"/>
              </w:rPr>
              <w:t>March 31,</w:t>
            </w:r>
          </w:p>
        </w:tc>
        <w:tc>
          <w:tcPr>
            <w:tcW w:w="3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1"/>
        </w:trPr>
        <w:tc>
          <w:tcPr>
            <w:tcW w:w="6640" w:type="dxa"/>
            <w:vAlign w:val="bottom"/>
          </w:tcPr>
          <w:p>
            <w:pPr>
              <w:spacing w:after="0"/>
              <w:rPr>
                <w:sz w:val="12"/>
                <w:szCs w:val="12"/>
                <w:color w:val="auto"/>
              </w:rPr>
            </w:pPr>
          </w:p>
        </w:tc>
        <w:tc>
          <w:tcPr>
            <w:tcW w:w="9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270"/>
              <w:spacing w:after="0" w:line="142" w:lineRule="exact"/>
              <w:rPr>
                <w:sz w:val="20"/>
                <w:szCs w:val="20"/>
                <w:color w:val="auto"/>
              </w:rPr>
            </w:pPr>
            <w:r>
              <w:rPr>
                <w:rFonts w:ascii="Arial" w:cs="Arial" w:eastAsia="Arial" w:hAnsi="Arial"/>
                <w:sz w:val="13"/>
                <w:szCs w:val="13"/>
                <w:b w:val="1"/>
                <w:bCs w:val="1"/>
                <w:color w:val="auto"/>
                <w:w w:val="89"/>
              </w:rPr>
              <w:t>2020</w:t>
            </w:r>
          </w:p>
        </w:tc>
        <w:tc>
          <w:tcPr>
            <w:tcW w:w="3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66"/>
              <w:spacing w:after="0" w:line="142" w:lineRule="exact"/>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2"/>
                <w:szCs w:val="12"/>
                <w:color w:val="auto"/>
              </w:rPr>
            </w:pPr>
          </w:p>
        </w:tc>
      </w:tr>
      <w:tr>
        <w:trPr>
          <w:trHeight w:val="141"/>
        </w:trPr>
        <w:tc>
          <w:tcPr>
            <w:tcW w:w="6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jc w:val="center"/>
              <w:ind w:right="250"/>
              <w:spacing w:after="0" w:line="142" w:lineRule="exact"/>
              <w:rPr>
                <w:sz w:val="20"/>
                <w:szCs w:val="20"/>
                <w:color w:val="auto"/>
              </w:rPr>
            </w:pPr>
            <w:r>
              <w:rPr>
                <w:rFonts w:ascii="Arial" w:cs="Arial" w:eastAsia="Arial" w:hAnsi="Arial"/>
                <w:sz w:val="13"/>
                <w:szCs w:val="13"/>
                <w:b w:val="1"/>
                <w:bCs w:val="1"/>
                <w:color w:val="auto"/>
                <w:w w:val="89"/>
              </w:rPr>
              <w:t>(in thousands)</w:t>
            </w: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1"/>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Provision for (benefit from) income taxes</w:t>
            </w:r>
          </w:p>
        </w:tc>
        <w:tc>
          <w:tcPr>
            <w:tcW w:w="960" w:type="dxa"/>
            <w:vAlign w:val="bottom"/>
            <w:shd w:val="clear" w:color="auto" w:fill="CFF0FC"/>
          </w:tcPr>
          <w:p>
            <w:pPr>
              <w:jc w:val="right"/>
              <w:ind w:right="811"/>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FF0FC"/>
          </w:tcPr>
          <w:p>
            <w:pPr>
              <w:ind w:lef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jc w:val="right"/>
              <w:ind w:right="6"/>
              <w:spacing w:after="0"/>
              <w:rPr>
                <w:sz w:val="20"/>
                <w:szCs w:val="20"/>
                <w:color w:val="auto"/>
              </w:rPr>
            </w:pPr>
            <w:r>
              <w:rPr>
                <w:rFonts w:ascii="Arial" w:cs="Arial" w:eastAsia="Arial" w:hAnsi="Arial"/>
                <w:sz w:val="17"/>
                <w:szCs w:val="17"/>
                <w:color w:val="auto"/>
              </w:rPr>
              <w:t>$</w:t>
            </w: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7"/>
                <w:szCs w:val="17"/>
                <w:color w:val="auto"/>
              </w:rPr>
              <w:t>(13,911)</w:t>
            </w:r>
          </w:p>
        </w:tc>
        <w:tc>
          <w:tcPr>
            <w:tcW w:w="360" w:type="dxa"/>
            <w:vAlign w:val="bottom"/>
            <w:shd w:val="clear" w:color="auto" w:fill="CFF0FC"/>
          </w:tcPr>
          <w:p>
            <w:pPr>
              <w:jc w:val="right"/>
              <w:ind w:right="97"/>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13,911</w:t>
            </w:r>
          </w:p>
        </w:tc>
        <w:tc>
          <w:tcPr>
            <w:tcW w:w="120" w:type="dxa"/>
            <w:vAlign w:val="bottom"/>
            <w:shd w:val="clear" w:color="auto" w:fill="CFF0FC"/>
          </w:tcPr>
          <w:p>
            <w:pPr>
              <w:spacing w:after="0"/>
              <w:rPr>
                <w:sz w:val="18"/>
                <w:szCs w:val="18"/>
                <w:color w:val="auto"/>
              </w:rPr>
            </w:pPr>
          </w:p>
        </w:tc>
      </w:tr>
    </w:tbl>
    <w:p>
      <w:pPr>
        <w:spacing w:after="0" w:line="211" w:lineRule="exact"/>
        <w:rPr>
          <w:sz w:val="20"/>
          <w:szCs w:val="20"/>
          <w:color w:val="auto"/>
        </w:rPr>
      </w:pPr>
    </w:p>
    <w:p>
      <w:pPr>
        <w:jc w:val="both"/>
        <w:ind w:right="40"/>
        <w:spacing w:after="0" w:line="252" w:lineRule="auto"/>
        <w:rPr>
          <w:sz w:val="20"/>
          <w:szCs w:val="20"/>
          <w:color w:val="auto"/>
        </w:rPr>
      </w:pPr>
      <w:r>
        <w:rPr>
          <w:rFonts w:ascii="Arial" w:cs="Arial" w:eastAsia="Arial" w:hAnsi="Arial"/>
          <w:sz w:val="17"/>
          <w:szCs w:val="17"/>
          <w:color w:val="auto"/>
        </w:rPr>
        <w:t>Income tax benefit decreased by $13.9 million during the three months ended March 31, 2021, compared to the corresponding period in 2020. The income tax benefit of $13.9 million for the three months ended March 31, 2020, was generated due to the recognition of net operating loss carrybacks under the CARES Act, which generated a refund of taxes paid for 2018.</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Expenditures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103"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As of March 31, 2021, we had cash, cash equivalents and short-term investments of $393.8 million and an accumulated deficit of $465.7 million, compared to cash, cash equivalents and short-term investments of $316.1 million and an accumulated deficit of $450.1 million as of December 31, 2020. To date, we have financed our operations primarily through sales of our common stock in conjunction with the IPO and subsequent stock offerings and through our at-the-market offering, sales of our convertible preferred securities prior to our IPO and payments received under our collaboration agreements.</w:t>
      </w:r>
    </w:p>
    <w:p>
      <w:pPr>
        <w:spacing w:after="0" w:line="165"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Based upon our current operating plan, we expect our existing capital resources will be sufficient to fund operations for a period of at least twelve months from the date the financial statements included in this report are issued. However, if the anticipated operating results and future financing are not achieved in future periods, our planned expenditures may need to be reduced in order to extend the time period over which the then-available resources would be able to fund the operations. The amounts and timing of our actual expenditures depend on numerous factors, including the progress of our preclinical and clinical development efforts, the results of any clinical trials and other studies, our operating costs and expenditures and other factors described under the caption “Risk Factors” in this Quarterly Report on Form 10-Q. The cost and timing of developing our products, including praluzatamab ravtansine (CX-2009), and CX-2029, and pacmilimab (CX-072) are highly uncertain, are subject to substantial risks and many changes. As such, we may alter our expenditures as a result of contingencies such as the failure of one or all of our product candidates currently in clinical development, the acceleration of one or all of our product candidates in clinical development, the initiating of clinical trials for additional product candidates, the identification of more promising product candidates in our research efforts or unexpected operating costs and expenditures. We will need to raise additional funds in the future. There can be no assurance, however, that such efforts will be successful or that, in the event that they are successful, the terms and conditions of such financing will be favorable to us.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29" w:name="page30"/>
    <w:bookmarkEnd w:id="29"/>
    <w:p>
      <w:pPr>
        <w:ind w:left="1"/>
        <w:spacing w:after="0"/>
        <w:rPr>
          <w:sz w:val="20"/>
          <w:szCs w:val="20"/>
          <w:color w:val="auto"/>
        </w:rPr>
      </w:pPr>
      <w:r>
        <w:rPr>
          <w:rFonts w:ascii="Arial" w:cs="Arial" w:eastAsia="Arial" w:hAnsi="Arial"/>
          <w:sz w:val="17"/>
          <w:szCs w:val="17"/>
          <w:b w:val="1"/>
          <w:bCs w:val="1"/>
          <w:color w:val="auto"/>
        </w:rPr>
        <w:t>Summary Statement of Cash Flows</w:t>
      </w:r>
    </w:p>
    <w:p>
      <w:pPr>
        <w:spacing w:after="0" w:line="119" w:lineRule="exact"/>
        <w:rPr>
          <w:sz w:val="20"/>
          <w:szCs w:val="20"/>
          <w:color w:val="auto"/>
        </w:rPr>
      </w:pPr>
    </w:p>
    <w:p>
      <w:pPr>
        <w:ind w:left="1"/>
        <w:spacing w:after="0"/>
        <w:rPr>
          <w:sz w:val="20"/>
          <w:szCs w:val="20"/>
          <w:color w:val="auto"/>
        </w:rPr>
      </w:pPr>
      <w:r>
        <w:rPr>
          <w:rFonts w:ascii="Arial" w:cs="Arial" w:eastAsia="Arial" w:hAnsi="Arial"/>
          <w:sz w:val="17"/>
          <w:szCs w:val="17"/>
          <w:color w:val="auto"/>
        </w:rPr>
        <w:t>The following table summarizes our cash flows for the periods indicated:</w:t>
      </w:r>
    </w:p>
    <w:p>
      <w:pPr>
        <w:spacing w:after="0" w:line="268" w:lineRule="exact"/>
        <w:rPr>
          <w:sz w:val="20"/>
          <w:szCs w:val="20"/>
          <w:color w:val="auto"/>
        </w:rPr>
      </w:pPr>
    </w:p>
    <w:tbl>
      <w:tblPr>
        <w:tblLayout w:type="fixed"/>
        <w:tblInd w:w="1681" w:type="dxa"/>
        <w:tblCellMar>
          <w:top w:w="0" w:type="dxa"/>
          <w:left w:w="0" w:type="dxa"/>
          <w:bottom w:w="0" w:type="dxa"/>
          <w:right w:w="0" w:type="dxa"/>
        </w:tblCellMar>
      </w:tblPr>
      <w:tr>
        <w:trPr>
          <w:trHeight w:val="149"/>
        </w:trPr>
        <w:tc>
          <w:tcPr>
            <w:tcW w:w="5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6"/>
          </w:tcPr>
          <w:p>
            <w:pPr>
              <w:jc w:val="center"/>
              <w:ind w:right="320"/>
              <w:spacing w:after="0"/>
              <w:rPr>
                <w:sz w:val="20"/>
                <w:szCs w:val="20"/>
                <w:color w:val="auto"/>
              </w:rPr>
            </w:pPr>
            <w:r>
              <w:rPr>
                <w:rFonts w:ascii="Arial" w:cs="Arial" w:eastAsia="Arial" w:hAnsi="Arial"/>
                <w:sz w:val="13"/>
                <w:szCs w:val="13"/>
                <w:b w:val="1"/>
                <w:bCs w:val="1"/>
                <w:color w:val="auto"/>
                <w:w w:val="93"/>
              </w:rPr>
              <w:t>Three Months Ended</w:t>
            </w:r>
          </w:p>
        </w:tc>
      </w:tr>
      <w:tr>
        <w:trPr>
          <w:trHeight w:val="157"/>
        </w:trPr>
        <w:tc>
          <w:tcPr>
            <w:tcW w:w="54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jc w:val="center"/>
              <w:ind w:left="406"/>
              <w:spacing w:after="0"/>
              <w:rPr>
                <w:sz w:val="20"/>
                <w:szCs w:val="20"/>
                <w:color w:val="auto"/>
              </w:rPr>
            </w:pPr>
            <w:r>
              <w:rPr>
                <w:rFonts w:ascii="Arial" w:cs="Arial" w:eastAsia="Arial" w:hAnsi="Arial"/>
                <w:sz w:val="13"/>
                <w:szCs w:val="13"/>
                <w:b w:val="1"/>
                <w:bCs w:val="1"/>
                <w:color w:val="auto"/>
                <w:w w:val="96"/>
              </w:rPr>
              <w:t>March 31,</w:t>
            </w:r>
          </w:p>
        </w:tc>
        <w:tc>
          <w:tcPr>
            <w:tcW w:w="7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1"/>
        </w:trPr>
        <w:tc>
          <w:tcPr>
            <w:tcW w:w="54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6"/>
              <w:spacing w:after="0" w:line="142"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41"/>
              <w:spacing w:after="0" w:line="142" w:lineRule="exact"/>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2"/>
                <w:szCs w:val="12"/>
                <w:color w:val="auto"/>
              </w:rPr>
            </w:pPr>
          </w:p>
        </w:tc>
      </w:tr>
      <w:tr>
        <w:trPr>
          <w:trHeight w:val="141"/>
        </w:trPr>
        <w:tc>
          <w:tcPr>
            <w:tcW w:w="5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4"/>
          </w:tcPr>
          <w:p>
            <w:pPr>
              <w:jc w:val="center"/>
              <w:ind w:left="426"/>
              <w:spacing w:after="0" w:line="142" w:lineRule="exact"/>
              <w:rPr>
                <w:sz w:val="20"/>
                <w:szCs w:val="20"/>
                <w:color w:val="auto"/>
              </w:rPr>
            </w:pPr>
            <w:r>
              <w:rPr>
                <w:rFonts w:ascii="Arial" w:cs="Arial" w:eastAsia="Arial" w:hAnsi="Arial"/>
                <w:sz w:val="13"/>
                <w:szCs w:val="13"/>
                <w:b w:val="1"/>
                <w:bCs w:val="1"/>
                <w:color w:val="auto"/>
                <w:w w:val="89"/>
              </w:rPr>
              <w:t>(in thousands)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1"/>
        </w:trPr>
        <w:tc>
          <w:tcPr>
            <w:tcW w:w="5400" w:type="dxa"/>
            <w:vAlign w:val="bottom"/>
            <w:shd w:val="clear" w:color="auto" w:fill="CFF0FC"/>
          </w:tcPr>
          <w:p>
            <w:pPr>
              <w:spacing w:after="0"/>
              <w:rPr>
                <w:sz w:val="20"/>
                <w:szCs w:val="20"/>
                <w:color w:val="auto"/>
              </w:rPr>
            </w:pPr>
            <w:r>
              <w:rPr>
                <w:rFonts w:ascii="Arial" w:cs="Arial" w:eastAsia="Arial" w:hAnsi="Arial"/>
                <w:sz w:val="17"/>
                <w:szCs w:val="17"/>
                <w:color w:val="auto"/>
              </w:rPr>
              <w:t>Net cash used in operating activities</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(29,940)</w:t>
            </w:r>
          </w:p>
        </w:tc>
        <w:tc>
          <w:tcPr>
            <w:tcW w:w="36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(49,737)</w:t>
            </w:r>
          </w:p>
        </w:tc>
      </w:tr>
      <w:tr>
        <w:trPr>
          <w:trHeight w:val="210"/>
        </w:trPr>
        <w:tc>
          <w:tcPr>
            <w:tcW w:w="5400" w:type="dxa"/>
            <w:vAlign w:val="bottom"/>
          </w:tcPr>
          <w:p>
            <w:pPr>
              <w:spacing w:after="0"/>
              <w:rPr>
                <w:sz w:val="20"/>
                <w:szCs w:val="20"/>
                <w:color w:val="auto"/>
              </w:rPr>
            </w:pPr>
            <w:r>
              <w:rPr>
                <w:rFonts w:ascii="Arial" w:cs="Arial" w:eastAsia="Arial" w:hAnsi="Arial"/>
                <w:sz w:val="17"/>
                <w:szCs w:val="17"/>
                <w:color w:val="auto"/>
              </w:rPr>
              <w:t>Net cash provided by investing activities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59,012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2,441</w:t>
            </w:r>
          </w:p>
        </w:tc>
        <w:tc>
          <w:tcPr>
            <w:tcW w:w="80" w:type="dxa"/>
            <w:vAlign w:val="bottom"/>
          </w:tcPr>
          <w:p>
            <w:pPr>
              <w:spacing w:after="0"/>
              <w:rPr>
                <w:sz w:val="18"/>
                <w:szCs w:val="18"/>
                <w:color w:val="auto"/>
              </w:rPr>
            </w:pPr>
          </w:p>
        </w:tc>
      </w:tr>
      <w:tr>
        <w:trPr>
          <w:trHeight w:val="212"/>
        </w:trPr>
        <w:tc>
          <w:tcPr>
            <w:tcW w:w="5400" w:type="dxa"/>
            <w:vAlign w:val="bottom"/>
            <w:shd w:val="clear" w:color="auto" w:fill="CFF0FC"/>
          </w:tcPr>
          <w:p>
            <w:pPr>
              <w:spacing w:after="0"/>
              <w:rPr>
                <w:sz w:val="20"/>
                <w:szCs w:val="20"/>
                <w:color w:val="auto"/>
              </w:rPr>
            </w:pPr>
            <w:r>
              <w:rPr>
                <w:rFonts w:ascii="Arial" w:cs="Arial" w:eastAsia="Arial" w:hAnsi="Arial"/>
                <w:sz w:val="17"/>
                <w:szCs w:val="17"/>
                <w:color w:val="auto"/>
              </w:rPr>
              <w:t>Net cash provided by financing activities</w:t>
            </w: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108,735</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2,157</w:t>
            </w:r>
          </w:p>
        </w:tc>
        <w:tc>
          <w:tcPr>
            <w:tcW w:w="80" w:type="dxa"/>
            <w:vAlign w:val="bottom"/>
            <w:shd w:val="clear" w:color="auto" w:fill="CFF0FC"/>
          </w:tcPr>
          <w:p>
            <w:pPr>
              <w:spacing w:after="0"/>
              <w:rPr>
                <w:sz w:val="18"/>
                <w:szCs w:val="18"/>
                <w:color w:val="auto"/>
              </w:rPr>
            </w:pPr>
          </w:p>
        </w:tc>
      </w:tr>
      <w:tr>
        <w:trPr>
          <w:trHeight w:val="203"/>
        </w:trPr>
        <w:tc>
          <w:tcPr>
            <w:tcW w:w="5400" w:type="dxa"/>
            <w:vAlign w:val="bottom"/>
          </w:tcPr>
          <w:p>
            <w:pPr>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137,807</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228"/>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(45,139)</w:t>
            </w:r>
          </w:p>
        </w:tc>
        <w:tc>
          <w:tcPr>
            <w:tcW w:w="80" w:type="dxa"/>
            <w:vAlign w:val="bottom"/>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Cash Flows from Operating Activities</w:t>
      </w:r>
    </w:p>
    <w:p>
      <w:pPr>
        <w:spacing w:after="0" w:line="103" w:lineRule="exact"/>
        <w:rPr>
          <w:sz w:val="20"/>
          <w:szCs w:val="20"/>
          <w:color w:val="auto"/>
        </w:rPr>
      </w:pPr>
    </w:p>
    <w:p>
      <w:pPr>
        <w:ind w:left="1" w:right="120"/>
        <w:spacing w:after="0" w:line="275" w:lineRule="auto"/>
        <w:rPr>
          <w:sz w:val="20"/>
          <w:szCs w:val="20"/>
          <w:color w:val="auto"/>
        </w:rPr>
      </w:pPr>
      <w:r>
        <w:rPr>
          <w:rFonts w:ascii="Arial" w:cs="Arial" w:eastAsia="Arial" w:hAnsi="Arial"/>
          <w:sz w:val="16"/>
          <w:szCs w:val="16"/>
          <w:color w:val="auto"/>
        </w:rPr>
        <w:t>During the three months ended March 31, 2021, cash used in operating activities was $29.9 million, which consisted of a net loss of $15.6 million and a net decrease of $18.9 million relating to the change of our net operating assets and liabilities, offset by non-cash charges of $4.6 million. The non-cash charges primarily consisted of $3.0 million in stock-based compensation, $0.8 million in non-cash lease expense and $0.7 million in depreciation and amortization.</w:t>
      </w:r>
    </w:p>
    <w:p>
      <w:pPr>
        <w:spacing w:after="0" w:line="162" w:lineRule="exact"/>
        <w:rPr>
          <w:sz w:val="20"/>
          <w:szCs w:val="20"/>
          <w:color w:val="auto"/>
        </w:rPr>
      </w:pPr>
    </w:p>
    <w:p>
      <w:pPr>
        <w:ind w:left="1"/>
        <w:spacing w:after="0"/>
        <w:rPr>
          <w:sz w:val="20"/>
          <w:szCs w:val="20"/>
          <w:color w:val="auto"/>
        </w:rPr>
      </w:pPr>
      <w:r>
        <w:rPr>
          <w:rFonts w:ascii="Arial" w:cs="Arial" w:eastAsia="Arial" w:hAnsi="Arial"/>
          <w:sz w:val="17"/>
          <w:szCs w:val="17"/>
          <w:color w:val="auto"/>
        </w:rPr>
        <w:t>The change in our net operating assets and liabilities was primarily due to:</w:t>
      </w:r>
    </w:p>
    <w:p>
      <w:pPr>
        <w:spacing w:after="0" w:line="103" w:lineRule="exact"/>
        <w:rPr>
          <w:sz w:val="20"/>
          <w:szCs w:val="20"/>
          <w:color w:val="auto"/>
        </w:rPr>
      </w:pPr>
    </w:p>
    <w:p>
      <w:pPr>
        <w:ind w:left="501" w:hanging="501"/>
        <w:spacing w:after="0"/>
        <w:tabs>
          <w:tab w:leader="none" w:pos="5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net decrease of $15.2 million in deferred revenue resulting from the continued recognition of deferred revenue from existing and new customers;</w:t>
      </w:r>
    </w:p>
    <w:p>
      <w:pPr>
        <w:spacing w:after="0" w:line="114" w:lineRule="exact"/>
        <w:rPr>
          <w:rFonts w:ascii="Arial" w:cs="Arial" w:eastAsia="Arial" w:hAnsi="Arial"/>
          <w:sz w:val="16"/>
          <w:szCs w:val="16"/>
          <w:color w:val="auto"/>
        </w:rPr>
      </w:pPr>
    </w:p>
    <w:p>
      <w:pPr>
        <w:ind w:left="501" w:hanging="501"/>
        <w:spacing w:after="0"/>
        <w:tabs>
          <w:tab w:leader="none" w:pos="501"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decrease of $5.4 million in accounts payable, accrued and other long-term liabilities; and</w:t>
      </w:r>
    </w:p>
    <w:p>
      <w:pPr>
        <w:spacing w:after="0" w:line="102" w:lineRule="exact"/>
        <w:rPr>
          <w:rFonts w:ascii="Arial" w:cs="Arial" w:eastAsia="Arial" w:hAnsi="Arial"/>
          <w:sz w:val="17"/>
          <w:szCs w:val="17"/>
          <w:color w:val="auto"/>
        </w:rPr>
      </w:pPr>
    </w:p>
    <w:p>
      <w:pPr>
        <w:ind w:left="501" w:hanging="501"/>
        <w:spacing w:after="0"/>
        <w:tabs>
          <w:tab w:leader="none" w:pos="501"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 increase of $1.7 million in cash flows from accounts receivable, prepaid and other current assets.</w:t>
      </w:r>
    </w:p>
    <w:p>
      <w:pPr>
        <w:spacing w:after="0" w:line="202" w:lineRule="exact"/>
        <w:rPr>
          <w:sz w:val="20"/>
          <w:szCs w:val="20"/>
          <w:color w:val="auto"/>
        </w:rPr>
      </w:pPr>
    </w:p>
    <w:p>
      <w:pPr>
        <w:ind w:left="1" w:right="140"/>
        <w:spacing w:after="0" w:line="332" w:lineRule="auto"/>
        <w:rPr>
          <w:sz w:val="20"/>
          <w:szCs w:val="20"/>
          <w:color w:val="auto"/>
        </w:rPr>
      </w:pPr>
      <w:r>
        <w:rPr>
          <w:rFonts w:ascii="Arial" w:cs="Arial" w:eastAsia="Arial" w:hAnsi="Arial"/>
          <w:sz w:val="14"/>
          <w:szCs w:val="14"/>
          <w:color w:val="auto"/>
        </w:rPr>
        <w:t>During the three months ended March 31, 2020, cash used in operating activities was $49.7 million, which consisted of a net income of $12.2 million, adjusted by non-cash charges of $5.2 million and a net decrease of $67.1 million relating to the change of our net operating assets and liabilities. The non-cash charges primarily consisted of $4.0 million in stock-based compensation, $0.7 million in non-cash lease expense and $0.6 million in depreciation and amortization.</w:t>
      </w:r>
    </w:p>
    <w:p>
      <w:pPr>
        <w:spacing w:after="0" w:line="127" w:lineRule="exact"/>
        <w:rPr>
          <w:sz w:val="20"/>
          <w:szCs w:val="20"/>
          <w:color w:val="auto"/>
        </w:rPr>
      </w:pPr>
    </w:p>
    <w:p>
      <w:pPr>
        <w:ind w:left="1"/>
        <w:spacing w:after="0"/>
        <w:rPr>
          <w:sz w:val="20"/>
          <w:szCs w:val="20"/>
          <w:color w:val="auto"/>
        </w:rPr>
      </w:pPr>
      <w:r>
        <w:rPr>
          <w:rFonts w:ascii="Arial" w:cs="Arial" w:eastAsia="Arial" w:hAnsi="Arial"/>
          <w:sz w:val="17"/>
          <w:szCs w:val="17"/>
          <w:color w:val="auto"/>
        </w:rPr>
        <w:t>The change in our net operating assets and liabilities was primarily due to:</w:t>
      </w:r>
    </w:p>
    <w:p>
      <w:pPr>
        <w:spacing w:after="0" w:line="103" w:lineRule="exact"/>
        <w:rPr>
          <w:sz w:val="20"/>
          <w:szCs w:val="20"/>
          <w:color w:val="auto"/>
        </w:rPr>
      </w:pPr>
    </w:p>
    <w:p>
      <w:pPr>
        <w:ind w:left="501" w:hanging="501"/>
        <w:spacing w:after="0" w:line="249" w:lineRule="auto"/>
        <w:tabs>
          <w:tab w:leader="none" w:pos="501"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decrease in cashflow of $130.0 million from accounts receivable related to the $80.0 million upfront payment due from Astellas pursuant to the Astellas Agreement, the $40.0 million milestone payment due from AbbVie for satisfying the CD71 dose escalation success criteria milestone under the CD71 Agreement and the $10.0 million milestone payment due from Bristol Myers Squibb for achieving the first patient dosing in Phase 2 clinical study for the CTLA-4 program under the BMS Agreement;</w:t>
      </w:r>
    </w:p>
    <w:p>
      <w:pPr>
        <w:spacing w:after="0" w:line="82" w:lineRule="exact"/>
        <w:rPr>
          <w:rFonts w:ascii="Arial" w:cs="Arial" w:eastAsia="Arial" w:hAnsi="Arial"/>
          <w:sz w:val="17"/>
          <w:szCs w:val="17"/>
          <w:color w:val="auto"/>
        </w:rPr>
      </w:pPr>
    </w:p>
    <w:p>
      <w:pPr>
        <w:ind w:left="501" w:right="300" w:hanging="501"/>
        <w:spacing w:after="0" w:line="261" w:lineRule="auto"/>
        <w:tabs>
          <w:tab w:leader="none" w:pos="501"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decrease of $14.9 million in cash flows from prepaid expenses and other current assets, which included $13.1 million income tax receivable resulted from a carryback of net operating loss incurred in 2019 to the preceding years as permitted by the CARES Act;</w:t>
      </w:r>
    </w:p>
    <w:p>
      <w:pPr>
        <w:spacing w:after="0" w:line="71" w:lineRule="exact"/>
        <w:rPr>
          <w:rFonts w:ascii="Arial" w:cs="Arial" w:eastAsia="Arial" w:hAnsi="Arial"/>
          <w:sz w:val="17"/>
          <w:szCs w:val="17"/>
          <w:color w:val="auto"/>
        </w:rPr>
      </w:pPr>
    </w:p>
    <w:p>
      <w:pPr>
        <w:ind w:left="501" w:hanging="501"/>
        <w:spacing w:after="0"/>
        <w:tabs>
          <w:tab w:leader="none" w:pos="501"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decrease of $3.3 million in accrued liabilities;</w:t>
      </w:r>
    </w:p>
    <w:p>
      <w:pPr>
        <w:spacing w:after="0" w:line="102" w:lineRule="exact"/>
        <w:rPr>
          <w:rFonts w:ascii="Arial" w:cs="Arial" w:eastAsia="Arial" w:hAnsi="Arial"/>
          <w:sz w:val="17"/>
          <w:szCs w:val="17"/>
          <w:color w:val="auto"/>
        </w:rPr>
      </w:pPr>
    </w:p>
    <w:p>
      <w:pPr>
        <w:ind w:left="501" w:right="80" w:hanging="501"/>
        <w:spacing w:after="0" w:line="332" w:lineRule="auto"/>
        <w:tabs>
          <w:tab w:leader="none" w:pos="501" w:val="left"/>
        </w:tabs>
        <w:numPr>
          <w:ilvl w:val="0"/>
          <w:numId w:val="14"/>
        </w:numPr>
        <w:rPr>
          <w:rFonts w:ascii="Arial" w:cs="Arial" w:eastAsia="Arial" w:hAnsi="Arial"/>
          <w:sz w:val="14"/>
          <w:szCs w:val="14"/>
          <w:color w:val="auto"/>
        </w:rPr>
      </w:pPr>
      <w:r>
        <w:rPr>
          <w:rFonts w:ascii="Arial" w:cs="Arial" w:eastAsia="Arial" w:hAnsi="Arial"/>
          <w:sz w:val="14"/>
          <w:szCs w:val="14"/>
          <w:color w:val="auto"/>
        </w:rPr>
        <w:t>a net increase of $80.4 million in deferred revenue resulting primarily from the $80.0 million upfront payment due from Astellas as well as the $40.0 million milestone payment due from AbbVie, partially offset by the $26.6 million revenue recognized related to such milestone payment, which reflected the percentage completed to-date on the project, as well as the continued recognition of deferred revenue from existing and new customers; and</w:t>
      </w:r>
    </w:p>
    <w:p>
      <w:pPr>
        <w:spacing w:after="0" w:line="27" w:lineRule="exact"/>
        <w:rPr>
          <w:rFonts w:ascii="Arial" w:cs="Arial" w:eastAsia="Arial" w:hAnsi="Arial"/>
          <w:sz w:val="14"/>
          <w:szCs w:val="14"/>
          <w:color w:val="auto"/>
        </w:rPr>
      </w:pPr>
    </w:p>
    <w:p>
      <w:pPr>
        <w:ind w:left="501" w:hanging="501"/>
        <w:spacing w:after="0"/>
        <w:tabs>
          <w:tab w:leader="none" w:pos="501"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 increase of $0.7 million in cash flows from other assets and accounts payable.</w:t>
      </w:r>
    </w:p>
    <w:p>
      <w:pPr>
        <w:spacing w:after="0" w:line="338"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Cash Flows from Investing Activities</w:t>
      </w:r>
    </w:p>
    <w:p>
      <w:pPr>
        <w:spacing w:after="0" w:line="103" w:lineRule="exact"/>
        <w:rPr>
          <w:sz w:val="20"/>
          <w:szCs w:val="20"/>
          <w:color w:val="auto"/>
        </w:rPr>
      </w:pPr>
    </w:p>
    <w:p>
      <w:pPr>
        <w:ind w:left="1" w:right="80"/>
        <w:spacing w:after="0" w:line="261" w:lineRule="auto"/>
        <w:rPr>
          <w:sz w:val="20"/>
          <w:szCs w:val="20"/>
          <w:color w:val="auto"/>
        </w:rPr>
      </w:pPr>
      <w:r>
        <w:rPr>
          <w:rFonts w:ascii="Arial" w:cs="Arial" w:eastAsia="Arial" w:hAnsi="Arial"/>
          <w:sz w:val="17"/>
          <w:szCs w:val="17"/>
          <w:color w:val="auto"/>
        </w:rPr>
        <w:t>During the three months ended March 31, 2021, cash provided by investing activities was $59.0 million, which consisted of $60.0 million in proceeds received upon the maturity of marketable securities, partially offset by $1.0 million of capital expenditures used to purchase property and equipment.</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16851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1"/>
          </w:cols>
          <w:pgMar w:left="319" w:top="657" w:right="359" w:bottom="1440" w:gutter="0" w:footer="0" w:header="0"/>
        </w:sectPr>
      </w:pPr>
    </w:p>
    <w:bookmarkStart w:id="30" w:name="page31"/>
    <w:bookmarkEnd w:id="30"/>
    <w:p>
      <w:pPr>
        <w:ind w:right="140"/>
        <w:spacing w:after="0" w:line="252" w:lineRule="auto"/>
        <w:rPr>
          <w:sz w:val="20"/>
          <w:szCs w:val="20"/>
          <w:color w:val="auto"/>
        </w:rPr>
      </w:pPr>
      <w:r>
        <w:rPr>
          <w:rFonts w:ascii="Arial" w:cs="Arial" w:eastAsia="Arial" w:hAnsi="Arial"/>
          <w:sz w:val="17"/>
          <w:szCs w:val="17"/>
          <w:color w:val="auto"/>
        </w:rPr>
        <w:t>During the three months ended March 31, 2020, cash provided by investing activities was $2.4 million, which consisted of $48.2 million in proceeds received upon the maturity of marketable securities, partially offset by $44.7 million used in the purchase of short-term investments and $1.1 million of capital expenditures used to purchase property and equipment.</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Financing Activities</w:t>
      </w:r>
    </w:p>
    <w:p>
      <w:pPr>
        <w:spacing w:after="0" w:line="103"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color w:val="auto"/>
        </w:rPr>
        <w:t>During the three months ended March 31, 2021, cash provided by financing activities consisted of $107.7 million of net proceeds from the follow-on public offering during the quarter and $1.0 million of proceeds from the exercise of 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March 31, 2020, cash provided by financing activities consisted of proceeds from the exercise of stock options.</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1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During the three months ended March 31, 2021, there were no material changes in contractual obligations from the amounts disclosed in our Annual Report on Form 10-K for the year ended December 31, 2020.</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We have one primary business activity and operate as one reportable segment.</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We have not entered into any off-balance sheet arrangements and do not have any holdings in variable interest entities.</w:t>
      </w:r>
    </w:p>
    <w:p>
      <w:pPr>
        <w:spacing w:after="0" w:line="372"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4"/>
          <w:szCs w:val="14"/>
          <w:b w:val="1"/>
          <w:bCs w:val="1"/>
          <w:color w:val="auto"/>
        </w:rPr>
        <w:t>Quantitative and Qualitative Disclosure About Market Risk</w:t>
      </w:r>
    </w:p>
    <w:p>
      <w:pPr>
        <w:spacing w:after="0" w:line="107"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are exposed to market risks in the ordinary course of our business. These risks primarily relate to interest rate risks. We had cash, cash equivalents and short-term investments of $393.8 million as of March 31, 2021 and cash, cash equivalents and short-term investments of $316.1 million as of December 31, 2020, which consists of bank deposits, money market funds and U.S. government bonds. Such interest-bearing instruments carry a degree of interest rate risk; however, historical fluctuations of interest income have not been significant.</w:t>
      </w:r>
    </w:p>
    <w:p>
      <w:pPr>
        <w:spacing w:after="0" w:line="182" w:lineRule="exact"/>
        <w:rPr>
          <w:sz w:val="20"/>
          <w:szCs w:val="20"/>
          <w:color w:val="auto"/>
        </w:rPr>
      </w:pPr>
    </w:p>
    <w:p>
      <w:pPr>
        <w:jc w:val="both"/>
        <w:ind w:right="240"/>
        <w:spacing w:after="0" w:line="275" w:lineRule="auto"/>
        <w:rPr>
          <w:sz w:val="20"/>
          <w:szCs w:val="20"/>
          <w:color w:val="auto"/>
        </w:rPr>
      </w:pPr>
      <w:r>
        <w:rPr>
          <w:rFonts w:ascii="Arial" w:cs="Arial" w:eastAsia="Arial" w:hAnsi="Arial"/>
          <w:sz w:val="16"/>
          <w:szCs w:val="16"/>
          <w:color w:val="auto"/>
        </w:rPr>
        <w:t>We do not enter into investments for trading or speculative purposes and have not used any derivative financial instruments to manage our interest rate exposure. We have not historically been exposed to material risks due to changes in interest rates. Based on our investment positions as of March 31, 2021, a hypothetical 100 basis point change in interest rates would not have material effect in the fair value of the portfolio.</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00"/>
          </w:cols>
          <w:pgMar w:left="320" w:top="524" w:right="379" w:bottom="1440" w:gutter="0" w:footer="0" w:header="0"/>
        </w:sectPr>
      </w:pPr>
    </w:p>
    <w:bookmarkStart w:id="31" w:name="page32"/>
    <w:bookmarkEnd w:id="31"/>
    <w:p>
      <w:pPr>
        <w:spacing w:after="0"/>
        <w:tabs>
          <w:tab w:leader="none" w:pos="114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color w:val="auto"/>
        </w:rPr>
        <w:t>Controls and Procedures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103"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The term “disclosure controls and procedures,” as defined in Rules 13a-15(e) and 15d-15(e) under the Exchange Act of 1934, as amended (the “Exchange Act”) refers to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45"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 xml:space="preserve">Our management, with the participation of our Chief Executive Officer and Chief Financial Officer, has evaluated the effectiveness of our disclosure controls and procedures as of March 31, 2021, the end of the period covered by this Quarterly Report on Form 10-Q. Management’s assessment of internal control over financial reporting was conducted using the criteria defined in the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(“COSO”). Based upon such evaluation, our Chief Executive Officer and Chief Financial Officer have concluded that our disclosure controls and procedures were effective at the reasonable assurance level as of such date.</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Controls Over Financial Reporting</w:t>
      </w:r>
    </w:p>
    <w:p>
      <w:pPr>
        <w:spacing w:after="0" w:line="103" w:lineRule="exact"/>
        <w:rPr>
          <w:sz w:val="20"/>
          <w:szCs w:val="20"/>
          <w:color w:val="auto"/>
        </w:rPr>
      </w:pPr>
    </w:p>
    <w:p>
      <w:pPr>
        <w:ind w:right="80"/>
        <w:spacing w:after="0" w:line="368" w:lineRule="auto"/>
        <w:rPr>
          <w:sz w:val="20"/>
          <w:szCs w:val="20"/>
          <w:color w:val="auto"/>
        </w:rPr>
      </w:pPr>
      <w:r>
        <w:rPr>
          <w:rFonts w:ascii="Arial" w:cs="Arial" w:eastAsia="Arial" w:hAnsi="Arial"/>
          <w:sz w:val="14"/>
          <w:szCs w:val="14"/>
          <w:color w:val="auto"/>
        </w:rPr>
        <w:t>There was no change in our internal control over financial reporting (as defined in Rules 13a-15(f) and 15d-15(f) under the Exchange Act) that occurred during the three months ended March 31, 2021 that has materially affected, or is reasonably likely to materially affect, our internal control over financial reporting.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7"/>
          <w:szCs w:val="17"/>
          <w:b w:val="1"/>
          <w:bCs w:val="1"/>
          <w:color w:val="auto"/>
        </w:rPr>
        <w:t>PART II – OTHER INFORMATION</w:t>
      </w:r>
    </w:p>
    <w:p>
      <w:pPr>
        <w:spacing w:after="0" w:line="202"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10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are subject to claims and assessments from time to time in the ordinary course of business but are not aware of any such matters, individually or in the aggregate, that will have a material adverse effect on our financial position, results of operations or cash flows.</w:t>
      </w:r>
    </w:p>
    <w:p>
      <w:pPr>
        <w:spacing w:after="0" w:line="171"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On March 4, 2020, Vytacera Bio, LLC filed a patent infringement lawsuit against us in the U.S. District Court for the District of Delaware. The lawsuit alleges that our use, offers to sell, and/or sales of the Probody® technology platform for basic research applications constitutes infringement. The complaint seeks unspecified monetary damages. We filed an Answer, Affirmative Defenses, and Counterclaims on May 26, 2020. Vytacera Bio, LLC filed its Answer to CytomX Therapeutics Inc.’s Counterclaims on June 5, 2020. The parties have agreed to a case schedule. Discovery is ongoing. We believe that the lawsuit is without merit and intend to vigorously defend ourselves. Accordingly, we cannot reasonably estimate any range of potential future charges, and we have not recorded any accrual for a contingent liability associated with these legal proceedings.</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 Summary</w:t>
      </w:r>
    </w:p>
    <w:p>
      <w:pPr>
        <w:spacing w:after="0" w:line="107" w:lineRule="exact"/>
        <w:rPr>
          <w:sz w:val="20"/>
          <w:szCs w:val="20"/>
          <w:color w:val="auto"/>
        </w:rPr>
      </w:pPr>
    </w:p>
    <w:p>
      <w:pPr>
        <w:jc w:val="both"/>
        <w:ind w:right="140"/>
        <w:spacing w:after="0" w:line="249" w:lineRule="auto"/>
        <w:rPr>
          <w:sz w:val="20"/>
          <w:szCs w:val="20"/>
          <w:color w:val="auto"/>
        </w:rPr>
      </w:pPr>
      <w:r>
        <w:rPr>
          <w:rFonts w:ascii="Arial" w:cs="Arial" w:eastAsia="Arial" w:hAnsi="Arial"/>
          <w:sz w:val="17"/>
          <w:szCs w:val="17"/>
          <w:color w:val="auto"/>
        </w:rPr>
        <w:t>We are providing the following summary of risk factors contained in this Quarterly Report on Form 10-Q to enhance the readability and accessibility of our risk factor disclosures in accordance with SEC rules. Please carefully review the full risk factors pertaining to this summary and to additional general risk factors contained in this Quarterly Report on Form 10-Q in their entirety for additional information regarding the material factors that make an investment in our securities speculative or risky. These risks and uncertainties include, but are not limited to, the following:</w:t>
      </w:r>
    </w:p>
    <w:p>
      <w:pPr>
        <w:spacing w:after="0" w:line="83" w:lineRule="exact"/>
        <w:rPr>
          <w:sz w:val="20"/>
          <w:szCs w:val="20"/>
          <w:color w:val="auto"/>
        </w:rPr>
      </w:pPr>
    </w:p>
    <w:p>
      <w:pPr>
        <w:ind w:left="1020" w:hanging="512"/>
        <w:spacing w:after="0"/>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COVID-19 pandemic or any future pandemic could adversely impact our business, including our research, clinical trials, and financial condition.</w:t>
      </w:r>
    </w:p>
    <w:p>
      <w:pPr>
        <w:spacing w:after="0" w:line="137" w:lineRule="exact"/>
        <w:rPr>
          <w:rFonts w:ascii="Arial" w:cs="Arial" w:eastAsia="Arial" w:hAnsi="Arial"/>
          <w:sz w:val="14"/>
          <w:szCs w:val="14"/>
          <w:color w:val="auto"/>
        </w:rPr>
      </w:pPr>
    </w:p>
    <w:p>
      <w:pPr>
        <w:ind w:left="1020" w:hanging="512"/>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are a clinical-stage biopharmaceutical company with a limited operating history and have not generated any revenue from product sales.</w:t>
      </w:r>
    </w:p>
    <w:p>
      <w:pPr>
        <w:spacing w:after="0" w:line="114" w:lineRule="exact"/>
        <w:rPr>
          <w:rFonts w:ascii="Arial" w:cs="Arial" w:eastAsia="Arial" w:hAnsi="Arial"/>
          <w:sz w:val="16"/>
          <w:szCs w:val="16"/>
          <w:color w:val="auto"/>
        </w:rPr>
      </w:pPr>
    </w:p>
    <w:p>
      <w:pPr>
        <w:ind w:left="1020" w:right="320" w:hanging="512"/>
        <w:spacing w:after="0" w:line="261"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expect that we will need to raise substantial additional funds to advance development of our product candidates and we cannot guarantee that this additional funding will be available on acceptable terms or at all.</w:t>
      </w:r>
    </w:p>
    <w:p>
      <w:pPr>
        <w:spacing w:after="0" w:line="71" w:lineRule="exact"/>
        <w:rPr>
          <w:rFonts w:ascii="Arial" w:cs="Arial" w:eastAsia="Arial" w:hAnsi="Arial"/>
          <w:sz w:val="17"/>
          <w:szCs w:val="17"/>
          <w:color w:val="auto"/>
        </w:rPr>
      </w:pPr>
    </w:p>
    <w:p>
      <w:pPr>
        <w:ind w:left="1020" w:right="140" w:hanging="512"/>
        <w:spacing w:after="0" w:line="261"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Clinical development involves a lengthy and expensive process with an uncertain outcome, and results of earlier studies and trials may not be predictive of future trial results.</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product candidates are in early stages of development and may fail or suffer delays that materially and adversely affect their commercial viability.</w:t>
      </w:r>
    </w:p>
    <w:p>
      <w:pPr>
        <w:spacing w:after="0" w:line="137" w:lineRule="exact"/>
        <w:rPr>
          <w:rFonts w:ascii="Arial" w:cs="Arial" w:eastAsia="Arial" w:hAnsi="Arial"/>
          <w:sz w:val="14"/>
          <w:szCs w:val="14"/>
          <w:color w:val="auto"/>
        </w:rPr>
      </w:pPr>
    </w:p>
    <w:p>
      <w:pPr>
        <w:ind w:left="1020" w:right="120" w:hanging="512"/>
        <w:spacing w:after="0" w:line="292"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48" w:lineRule="exact"/>
        <w:rPr>
          <w:rFonts w:ascii="Arial" w:cs="Arial" w:eastAsia="Arial" w:hAnsi="Arial"/>
          <w:sz w:val="16"/>
          <w:szCs w:val="16"/>
          <w:color w:val="auto"/>
        </w:rPr>
      </w:pPr>
    </w:p>
    <w:p>
      <w:pPr>
        <w:jc w:val="both"/>
        <w:ind w:left="1020" w:right="20" w:hanging="512"/>
        <w:spacing w:after="0" w:line="252"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79" w:lineRule="exact"/>
        <w:rPr>
          <w:rFonts w:ascii="Arial" w:cs="Arial" w:eastAsia="Arial" w:hAnsi="Arial"/>
          <w:sz w:val="17"/>
          <w:szCs w:val="17"/>
          <w:color w:val="auto"/>
        </w:rPr>
      </w:pPr>
    </w:p>
    <w:p>
      <w:pPr>
        <w:ind w:left="1020" w:right="320" w:hanging="512"/>
        <w:spacing w:after="0" w:line="261"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we experience delays or difficulties in the enrollment of patients in clinical trials, our receipt of necessary regulatory approvals could be delayed or prevented.</w:t>
      </w:r>
    </w:p>
    <w:p>
      <w:pPr>
        <w:spacing w:after="0" w:line="71" w:lineRule="exact"/>
        <w:rPr>
          <w:rFonts w:ascii="Arial" w:cs="Arial" w:eastAsia="Arial" w:hAnsi="Arial"/>
          <w:sz w:val="17"/>
          <w:szCs w:val="17"/>
          <w:color w:val="auto"/>
        </w:rPr>
      </w:pPr>
    </w:p>
    <w:p>
      <w:pPr>
        <w:ind w:left="1020" w:right="380" w:hanging="512"/>
        <w:spacing w:after="0" w:line="261"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approach to the discovery and development of our therapeutic treatments is based on novel technologies that are unproven and may not result in marketable products.</w:t>
      </w:r>
    </w:p>
    <w:p>
      <w:pPr>
        <w:spacing w:after="0" w:line="71" w:lineRule="exact"/>
        <w:rPr>
          <w:rFonts w:ascii="Arial" w:cs="Arial" w:eastAsia="Arial" w:hAnsi="Arial"/>
          <w:sz w:val="17"/>
          <w:szCs w:val="17"/>
          <w:color w:val="auto"/>
        </w:rPr>
      </w:pPr>
    </w:p>
    <w:p>
      <w:pPr>
        <w:ind w:left="1020" w:right="140" w:hanging="512"/>
        <w:spacing w:after="0" w:line="261"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market may not be receptive to our product candidates based on a novel therapeutic modality, and we may not generate any future revenue from the sale or licensing of product candidates.</w:t>
      </w:r>
    </w:p>
    <w:p>
      <w:pPr>
        <w:spacing w:after="0" w:line="71" w:lineRule="exact"/>
        <w:rPr>
          <w:rFonts w:ascii="Arial" w:cs="Arial" w:eastAsia="Arial" w:hAnsi="Arial"/>
          <w:sz w:val="17"/>
          <w:szCs w:val="17"/>
          <w:color w:val="auto"/>
        </w:rPr>
      </w:pPr>
    </w:p>
    <w:p>
      <w:pPr>
        <w:ind w:left="1020" w:right="320" w:hanging="512"/>
        <w:spacing w:after="0" w:line="275"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62" w:lineRule="exact"/>
        <w:rPr>
          <w:rFonts w:ascii="Arial" w:cs="Arial" w:eastAsia="Arial" w:hAnsi="Arial"/>
          <w:sz w:val="16"/>
          <w:szCs w:val="16"/>
          <w:color w:val="auto"/>
        </w:rPr>
      </w:pPr>
    </w:p>
    <w:p>
      <w:pPr>
        <w:ind w:left="1020" w:right="40" w:hanging="512"/>
        <w:spacing w:after="0" w:line="261"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we do not achieve our projected development and commercialization goals in the timeframes we announce and expect, the commercialization of any of our product candidates may be delayed, and our business will be harmed.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322" w:right="359" w:bottom="1440" w:gutter="0" w:footer="0" w:header="0"/>
        </w:sectPr>
      </w:pPr>
    </w:p>
    <w:bookmarkStart w:id="33" w:name="page34"/>
    <w:bookmarkEnd w:id="33"/>
    <w:p>
      <w:pPr>
        <w:ind w:left="1020" w:right="240" w:hanging="512"/>
        <w:spacing w:after="0" w:line="368" w:lineRule="auto"/>
        <w:tabs>
          <w:tab w:leader="none" w:pos="10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2" w:lineRule="exact"/>
        <w:rPr>
          <w:rFonts w:ascii="Arial" w:cs="Arial" w:eastAsia="Arial" w:hAnsi="Arial"/>
          <w:sz w:val="14"/>
          <w:szCs w:val="14"/>
          <w:color w:val="auto"/>
        </w:rPr>
      </w:pPr>
    </w:p>
    <w:p>
      <w:pPr>
        <w:ind w:left="1020" w:hanging="512"/>
        <w:spacing w:after="0" w:line="275"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62" w:lineRule="exact"/>
        <w:rPr>
          <w:rFonts w:ascii="Arial" w:cs="Arial" w:eastAsia="Arial" w:hAnsi="Arial"/>
          <w:sz w:val="16"/>
          <w:szCs w:val="16"/>
          <w:color w:val="auto"/>
        </w:rPr>
      </w:pPr>
    </w:p>
    <w:p>
      <w:pPr>
        <w:ind w:left="1020" w:right="340" w:hanging="512"/>
        <w:spacing w:after="0" w:line="252"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79" w:lineRule="exact"/>
        <w:rPr>
          <w:rFonts w:ascii="Arial" w:cs="Arial" w:eastAsia="Arial" w:hAnsi="Arial"/>
          <w:sz w:val="17"/>
          <w:szCs w:val="17"/>
          <w:color w:val="auto"/>
        </w:rPr>
      </w:pPr>
    </w:p>
    <w:p>
      <w:pPr>
        <w:ind w:left="1020" w:right="420" w:hanging="512"/>
        <w:spacing w:after="0" w:line="292"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48" w:lineRule="exact"/>
        <w:rPr>
          <w:rFonts w:ascii="Arial" w:cs="Arial" w:eastAsia="Arial" w:hAnsi="Arial"/>
          <w:sz w:val="16"/>
          <w:szCs w:val="16"/>
          <w:color w:val="auto"/>
        </w:rPr>
      </w:pPr>
    </w:p>
    <w:p>
      <w:pPr>
        <w:ind w:left="1020" w:right="180" w:hanging="512"/>
        <w:spacing w:after="0" w:line="275"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62" w:lineRule="exact"/>
        <w:rPr>
          <w:rFonts w:ascii="Arial" w:cs="Arial" w:eastAsia="Arial" w:hAnsi="Arial"/>
          <w:sz w:val="16"/>
          <w:szCs w:val="16"/>
          <w:color w:val="auto"/>
        </w:rPr>
      </w:pPr>
    </w:p>
    <w:p>
      <w:pPr>
        <w:ind w:left="1020" w:hanging="512"/>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stock price may be volatile and purchasers of our common stock could incur substantial losses.</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w:t>
      </w:r>
    </w:p>
    <w:p>
      <w:pPr>
        <w:spacing w:after="0" w:line="107"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i w:val="1"/>
          <w:iCs w:val="1"/>
          <w:color w:val="auto"/>
        </w:rPr>
        <w:t>You should consider carefully the risks and uncertainties described below, together with all of the other information in this Quarterly Report on Form 10-Q, including our financial statements and the related notes and “Management’s Discussion and Analysis of Financial Condition and Results of Operations.” If any of the following risks are realized, our business, financial condition, results of operations and prospects could be materially and adversely affected. The risks described below are not the only risks facing the Company. Risks and uncertainties not currently known to us or that we currently deem to be immaterial also may materially adversely affect our business, financial condition, results of operations and/or prospects.</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COVID-19 pandemic or any future pandemic could adversely impact our business, including our research, clinical trials, and financial condition.</w:t>
      </w:r>
    </w:p>
    <w:p>
      <w:pPr>
        <w:spacing w:after="0" w:line="137" w:lineRule="exact"/>
        <w:rPr>
          <w:sz w:val="20"/>
          <w:szCs w:val="20"/>
          <w:color w:val="auto"/>
        </w:rPr>
      </w:pPr>
    </w:p>
    <w:p>
      <w:pPr>
        <w:ind w:right="200"/>
        <w:spacing w:after="0" w:line="314" w:lineRule="auto"/>
        <w:rPr>
          <w:sz w:val="20"/>
          <w:szCs w:val="20"/>
          <w:color w:val="auto"/>
        </w:rPr>
      </w:pPr>
      <w:r>
        <w:rPr>
          <w:rFonts w:ascii="Arial" w:cs="Arial" w:eastAsia="Arial" w:hAnsi="Arial"/>
          <w:sz w:val="14"/>
          <w:szCs w:val="14"/>
          <w:color w:val="auto"/>
        </w:rPr>
        <w:t>In December 2019, a novel strain of coronavirus, COVID-19, was reported to have surfaced in Wuhan, China. Since then, COVID-19 has spread to multiple countries, including the United States and European and Asia-Pacific countries, including countries in which we have planned or active clinical trial sites, including for praluzatamab ravtansine (CX-2009). As COVID-19 continues to spread around the globe, we will likely continue to experience disruptions that could severely impact our business, research, including research for our partners or research of our partners, and clinical trials, including ongoing or planned clinical trials for praluzatamab ravtansine, CX-2029 and clinical trials of our partners, including Bristol Myers Squibb. These disruptions and impacts may include:</w:t>
      </w:r>
    </w:p>
    <w:p>
      <w:pPr>
        <w:spacing w:after="0" w:line="39" w:lineRule="exact"/>
        <w:rPr>
          <w:sz w:val="20"/>
          <w:szCs w:val="20"/>
          <w:color w:val="auto"/>
        </w:rPr>
      </w:pPr>
    </w:p>
    <w:p>
      <w:pPr>
        <w:ind w:left="1020" w:hanging="512"/>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delays or difficulties in enrolling patients in our clinical trials or the clinical trials of our partners;</w:t>
      </w:r>
    </w:p>
    <w:p>
      <w:pPr>
        <w:spacing w:after="0" w:line="102" w:lineRule="exact"/>
        <w:rPr>
          <w:rFonts w:ascii="Arial" w:cs="Arial" w:eastAsia="Arial" w:hAnsi="Arial"/>
          <w:sz w:val="17"/>
          <w:szCs w:val="17"/>
          <w:color w:val="auto"/>
        </w:rPr>
      </w:pPr>
    </w:p>
    <w:p>
      <w:pPr>
        <w:ind w:left="1020" w:right="500" w:hanging="512"/>
        <w:spacing w:after="0" w:line="261"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delays or difficulties in clinical site initiation for praluzatamab ravtansine, CX-2029 or any other clinical trials we or our partners decide to initiate, including difficulties in recruiting clinical site investigators and clinical site staff;</w:t>
      </w:r>
    </w:p>
    <w:p>
      <w:pPr>
        <w:spacing w:after="0" w:line="71" w:lineRule="exact"/>
        <w:rPr>
          <w:rFonts w:ascii="Arial" w:cs="Arial" w:eastAsia="Arial" w:hAnsi="Arial"/>
          <w:sz w:val="17"/>
          <w:szCs w:val="17"/>
          <w:color w:val="auto"/>
        </w:rPr>
      </w:pPr>
    </w:p>
    <w:p>
      <w:pPr>
        <w:ind w:left="1020" w:right="100" w:hanging="512"/>
        <w:spacing w:after="0" w:line="261"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diversion of healthcare resources away from the conduct of clinical trials, including the diversion of hospitals serving as our or our partners’ clinical trial sites and hospital staff supporting the conduct of our or our partners’ clinical trials;</w:t>
      </w:r>
    </w:p>
    <w:p>
      <w:pPr>
        <w:spacing w:after="0" w:line="71" w:lineRule="exact"/>
        <w:rPr>
          <w:rFonts w:ascii="Arial" w:cs="Arial" w:eastAsia="Arial" w:hAnsi="Arial"/>
          <w:sz w:val="17"/>
          <w:szCs w:val="17"/>
          <w:color w:val="auto"/>
        </w:rPr>
      </w:pPr>
    </w:p>
    <w:p>
      <w:pPr>
        <w:ind w:left="1020" w:right="200" w:hanging="512"/>
        <w:spacing w:after="0" w:line="261"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interruption of key clinical trial activities, such as clinical trial site monitoring, due to limitations on travel imposed or recommended by federal or state governments, employers and others;</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difficulty in interpreting clinical data due to patients being infected by COVID-19;</w:t>
      </w:r>
    </w:p>
    <w:p>
      <w:pPr>
        <w:spacing w:after="0" w:line="102" w:lineRule="exact"/>
        <w:rPr>
          <w:rFonts w:ascii="Arial" w:cs="Arial" w:eastAsia="Arial" w:hAnsi="Arial"/>
          <w:sz w:val="17"/>
          <w:szCs w:val="17"/>
          <w:color w:val="auto"/>
        </w:rPr>
      </w:pPr>
    </w:p>
    <w:p>
      <w:pPr>
        <w:ind w:left="1020" w:right="400" w:hanging="512"/>
        <w:spacing w:after="0" w:line="292"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limitations in employee resources that would otherwise be focused on the conduct of our clinical trials or the clinical trials of our partners, including because of sickness of employees or their families or the desire of employees to avoid contact with large groups of people;</w:t>
      </w:r>
    </w:p>
    <w:p>
      <w:pPr>
        <w:spacing w:after="0" w:line="48" w:lineRule="exact"/>
        <w:rPr>
          <w:rFonts w:ascii="Arial" w:cs="Arial" w:eastAsia="Arial" w:hAnsi="Arial"/>
          <w:sz w:val="16"/>
          <w:szCs w:val="16"/>
          <w:color w:val="auto"/>
        </w:rPr>
      </w:pPr>
    </w:p>
    <w:p>
      <w:pPr>
        <w:ind w:left="1020" w:hanging="512"/>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delays in receiving approval from local regulatory authorities to initiate our or our partners’ planned clinical trials;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34" w:name="page35"/>
    <w:bookmarkEnd w:id="34"/>
    <w:p>
      <w:pPr>
        <w:ind w:left="1020" w:hanging="512"/>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delays in clinical sites receiving the supplies and materials needed to conduct our or our partners’ clinical trials;</w:t>
      </w:r>
    </w:p>
    <w:p>
      <w:pPr>
        <w:spacing w:after="0" w:line="102" w:lineRule="exact"/>
        <w:rPr>
          <w:rFonts w:ascii="Arial" w:cs="Arial" w:eastAsia="Arial" w:hAnsi="Arial"/>
          <w:sz w:val="17"/>
          <w:szCs w:val="17"/>
          <w:color w:val="auto"/>
        </w:rPr>
      </w:pPr>
    </w:p>
    <w:p>
      <w:pPr>
        <w:ind w:left="1020" w:right="240" w:hanging="512"/>
        <w:spacing w:after="0" w:line="261"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interruption in manufacturing or global shipping that may affect the timely delivery or transport of research materials or clinical trial materials, such as investigational drug product used in our or our partners’ clinical trials;</w:t>
      </w:r>
    </w:p>
    <w:p>
      <w:pPr>
        <w:spacing w:after="0" w:line="71" w:lineRule="exact"/>
        <w:rPr>
          <w:rFonts w:ascii="Arial" w:cs="Arial" w:eastAsia="Arial" w:hAnsi="Arial"/>
          <w:sz w:val="17"/>
          <w:szCs w:val="17"/>
          <w:color w:val="auto"/>
        </w:rPr>
      </w:pPr>
    </w:p>
    <w:p>
      <w:pPr>
        <w:ind w:left="1020" w:right="240" w:hanging="512"/>
        <w:spacing w:after="0" w:line="368" w:lineRule="auto"/>
        <w:tabs>
          <w:tab w:leader="none" w:pos="10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changes in local regulations as part of a response to the COVID-19 outbreak which may require us or our partners to change the ways in which clinical trials are conducted, which may result in unexpected costs, or cause us or our partners to discontinue the clinical trials altogether;</w:t>
      </w:r>
    </w:p>
    <w:p>
      <w:pPr>
        <w:spacing w:after="0" w:line="2" w:lineRule="exact"/>
        <w:rPr>
          <w:rFonts w:ascii="Arial" w:cs="Arial" w:eastAsia="Arial" w:hAnsi="Arial"/>
          <w:sz w:val="14"/>
          <w:szCs w:val="14"/>
          <w:color w:val="auto"/>
        </w:rPr>
      </w:pPr>
    </w:p>
    <w:p>
      <w:pPr>
        <w:ind w:left="1020" w:right="380" w:hanging="512"/>
        <w:spacing w:after="0" w:line="261"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delays in necessary interactions with local regulators, ethics committees and other important agencies and contractors due to limitations in employee resources or forced furlough of government employees; and</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refusal of the FDA to accept data from clinical trials in affected geographies outside the United States.</w:t>
      </w:r>
    </w:p>
    <w:p>
      <w:pPr>
        <w:spacing w:after="0" w:line="239"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For example, in March 2020, we announced the temporary pause in new patient enrollment and new site activation in our Phase 2 clinical trial of praluzatamab ravtansine as a result of the COVID-19 pandemic, primarily due to delays in patient enrollment and clinical site initiations, and the termination of the Phase 2 clinical trial of pacmilimab (CX-072) in combination with ipilimumab after a re-evaluation of the evolving clinical, competitive and commercial landscapes in immuno-oncology, taken together with impact of the COVID-19 pandemic. Since then, we have revised our strategy for developing praluzatamab ravtansine, including redesigning the study. While we have initiated our Phase 2 clinical trial for praluzatamab ravtansine and the Phase 2 expansion cohorts for CX-2029, we cannot be certain of the continuing impact of the COVID-19 pandemic on clinical trial planning, or that site initiation, patient recruitment or other clinical trial activities will not continue to be delayed, discontinued or otherwise impacted.</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Furthermore, the COVID-19 pandemic and government limitations on activities may continue to impact our ability to conduct research, including limiting our ability to obtain research materials and equipment, limiting access to our laboratories to conduct research, limiting the ability or willingness of employees to work at our facilities and limiting our ability to complete research and experiments in a timely basis or at all. For example, in March 2020 we initiated a mandatory work-from-home program, limiting onsite activity to a substantially reduced level of laboratory research activities. Although we have gradually increased levels of such laboratory research activities, there can be no assurance that we will be able to continue to increase or maintain current levels of such activity. The COVID-19 pandemic and government limitations could further impact our ability to conduct business generally, including making timely payments, filing timely governmental and other business reports and filings, and otherwise comply with our obligations.</w:t>
      </w:r>
    </w:p>
    <w:p>
      <w:pPr>
        <w:spacing w:after="0" w:line="173" w:lineRule="exact"/>
        <w:rPr>
          <w:sz w:val="20"/>
          <w:szCs w:val="20"/>
          <w:color w:val="auto"/>
        </w:rPr>
      </w:pPr>
    </w:p>
    <w:p>
      <w:pPr>
        <w:ind w:right="620"/>
        <w:spacing w:after="0" w:line="252" w:lineRule="auto"/>
        <w:rPr>
          <w:sz w:val="20"/>
          <w:szCs w:val="20"/>
          <w:color w:val="auto"/>
        </w:rPr>
      </w:pPr>
      <w:r>
        <w:rPr>
          <w:rFonts w:ascii="Arial" w:cs="Arial" w:eastAsia="Arial" w:hAnsi="Arial"/>
          <w:sz w:val="17"/>
          <w:szCs w:val="17"/>
          <w:color w:val="auto"/>
        </w:rPr>
        <w:t>Any of the potential business, research and clinical impacts arising as a result of the COVID-19 pandemic could cause us to default on our obligations to our collaborative partners, including our specific research and development obligations, potentially resulting in termination of one or more collaborations, and could materially and adversely affect our business, financial condition, results of operation and prospects.</w:t>
      </w:r>
    </w:p>
    <w:p>
      <w:pPr>
        <w:spacing w:after="0" w:line="179" w:lineRule="exact"/>
        <w:rPr>
          <w:sz w:val="20"/>
          <w:szCs w:val="20"/>
          <w:color w:val="auto"/>
        </w:rPr>
      </w:pPr>
    </w:p>
    <w:p>
      <w:pPr>
        <w:ind w:right="520"/>
        <w:spacing w:after="0" w:line="261" w:lineRule="auto"/>
        <w:rPr>
          <w:sz w:val="20"/>
          <w:szCs w:val="20"/>
          <w:color w:val="auto"/>
        </w:rPr>
      </w:pPr>
      <w:r>
        <w:rPr>
          <w:rFonts w:ascii="Arial" w:cs="Arial" w:eastAsia="Arial" w:hAnsi="Arial"/>
          <w:sz w:val="17"/>
          <w:szCs w:val="17"/>
          <w:color w:val="auto"/>
        </w:rPr>
        <w:t>In addition, the spread of COVID-19 may negatively impact the trading price of shares of our common stock and could further severely impact our ability to raise additional capital on a timely basis or at all.</w:t>
      </w:r>
    </w:p>
    <w:p>
      <w:pPr>
        <w:spacing w:after="0" w:line="171"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global outbreak of COVID-19 continues to rapidly evolve, including with the discovery of new variants/mutations of the virus. The extent to which COVID-19 may impact our business, including our clinical trials, research and financial condition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w:t>
      </w:r>
    </w:p>
    <w:p>
      <w:pPr>
        <w:spacing w:after="0" w:line="281"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b w:val="1"/>
          <w:bCs w:val="1"/>
          <w:i w:val="1"/>
          <w:iCs w:val="1"/>
          <w:color w:val="auto"/>
        </w:rPr>
        <w:t>We are a clinical-stage biopharmaceutical company with a limited operating history and have not generated any revenue from product sales. We have a history of losses, expect to continue to incur significant losses for the foreseeable future and may never achieve or maintain profitability, which could result in a decline in the market value of our common stock.</w:t>
      </w:r>
    </w:p>
    <w:p>
      <w:pPr>
        <w:spacing w:after="0" w:line="80" w:lineRule="exact"/>
        <w:rPr>
          <w:sz w:val="20"/>
          <w:szCs w:val="20"/>
          <w:color w:val="auto"/>
        </w:rPr>
      </w:pPr>
    </w:p>
    <w:p>
      <w:pPr>
        <w:ind w:right="220"/>
        <w:spacing w:after="0" w:line="248" w:lineRule="auto"/>
        <w:rPr>
          <w:sz w:val="20"/>
          <w:szCs w:val="20"/>
          <w:color w:val="auto"/>
        </w:rPr>
      </w:pPr>
      <w:r>
        <w:rPr>
          <w:rFonts w:ascii="Arial" w:cs="Arial" w:eastAsia="Arial" w:hAnsi="Arial"/>
          <w:sz w:val="17"/>
          <w:szCs w:val="17"/>
          <w:color w:val="auto"/>
        </w:rPr>
        <w:t>We are a clinical-stage biopharmaceutical company with a limited operating history, developing a novel class of therapeutic antibody product candidates, based on our proprietary biologic Probody technology platform. Since our inception, we have devoted our resources to the development of Probody therapeutics. We have had significant operating losses since our inception. As of March 31, 2021 and December 31, 2020, we had an accumulated deficit of $465.7 million and $450.1 million, respectively. Substantially all of our losses have resulted from expenses incurred in connection with our research and development programs and from general and administrative costs associated with our operations.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35" w:name="page36"/>
    <w:bookmarkEnd w:id="35"/>
    <w:p>
      <w:pPr>
        <w:ind w:right="120"/>
        <w:spacing w:after="0" w:line="264" w:lineRule="auto"/>
        <w:rPr>
          <w:sz w:val="20"/>
          <w:szCs w:val="20"/>
          <w:color w:val="auto"/>
        </w:rPr>
      </w:pPr>
      <w:r>
        <w:rPr>
          <w:rFonts w:ascii="Arial" w:cs="Arial" w:eastAsia="Arial" w:hAnsi="Arial"/>
          <w:sz w:val="16"/>
          <w:szCs w:val="16"/>
          <w:color w:val="auto"/>
        </w:rPr>
        <w:t>Though we have developed our Probody platform, our technologies and product candidates are in early stages of development, and we are subject to the risks of failure inherent in the development of product candidates based on novel technologies. We have not yet demonstrated our ability to successfully complete any clinical trials, including large-scale, pivotal clinical trials, obtain regulatory approvals, arrange for a third party to manufacture a commercial-scale product candidate, or conduct sales and marketing activities necessary for successful commercialization. Typically, it takes many years to develop one product candidate from the time it enters initial preclinical studies to when it is available for treating patients. Consequently, any predictions made about our future success or viability may not be as accurate as they could be if we had a longer operating history. We will need to transition from a company with a research and development focus to a company capable of supporting commercial activities. We may not be successful in such a transition.</w:t>
      </w:r>
    </w:p>
    <w:p>
      <w:pPr>
        <w:spacing w:after="0" w:line="173" w:lineRule="exact"/>
        <w:rPr>
          <w:sz w:val="20"/>
          <w:szCs w:val="20"/>
          <w:color w:val="auto"/>
        </w:rPr>
      </w:pPr>
    </w:p>
    <w:p>
      <w:pPr>
        <w:ind w:right="20"/>
        <w:spacing w:after="0" w:line="302" w:lineRule="auto"/>
        <w:rPr>
          <w:sz w:val="20"/>
          <w:szCs w:val="20"/>
          <w:color w:val="auto"/>
        </w:rPr>
      </w:pPr>
      <w:r>
        <w:rPr>
          <w:rFonts w:ascii="Arial" w:cs="Arial" w:eastAsia="Arial" w:hAnsi="Arial"/>
          <w:sz w:val="14"/>
          <w:szCs w:val="14"/>
          <w:color w:val="auto"/>
        </w:rPr>
        <w:t>Furthermore, we have never generated any revenue from product sales, and have not obtained regulatory approval for any of our product candidates. We also do not expect to generate any revenue from product sales for the foreseeable future, and we expect to continue to incur significant operating losses for the foreseeable future due to the cost of research and development, preclinical studies and clinical trials and the regulatory approval process for our product candidates. We expect our net losses to increase substantially as we continue clinical development of our lead programs and advance additional programs into clinical development. In particular, we expect our losses to increase substantially as we enroll patients in our Phase 2 clinical trial of praluzatamab ravtansine (CX-2009), our conditionally activated ADC candidate directed against CD166, as monotherapy or in combination with pacmilimab (CX-072) in patients with breast cancer, as we enroll patients in our Phase 2 expansion trial of CX-2029, our conditionally activated ADC candidate directed against CD71 in collaboration with AbbVie Inc., and as we advance into later trials and new trials for these and other programs. However, the amount of our future losses is uncertain. Our ability to achieve profitability, if ever, will depend on, among other things, our,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our technologies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200" w:lineRule="exact"/>
        <w:rPr>
          <w:sz w:val="20"/>
          <w:szCs w:val="20"/>
          <w:color w:val="auto"/>
        </w:rPr>
      </w:pPr>
    </w:p>
    <w:p>
      <w:pPr>
        <w:spacing w:after="0" w:line="250" w:lineRule="exact"/>
        <w:rPr>
          <w:sz w:val="20"/>
          <w:szCs w:val="20"/>
          <w:color w:val="auto"/>
        </w:rPr>
      </w:pPr>
    </w:p>
    <w:p>
      <w:pPr>
        <w:jc w:val="both"/>
        <w:ind w:right="320"/>
        <w:spacing w:after="0" w:line="275" w:lineRule="auto"/>
        <w:rPr>
          <w:sz w:val="20"/>
          <w:szCs w:val="20"/>
          <w:color w:val="auto"/>
        </w:rPr>
      </w:pPr>
      <w:r>
        <w:rPr>
          <w:rFonts w:ascii="Arial" w:cs="Arial" w:eastAsia="Arial" w:hAnsi="Arial"/>
          <w:sz w:val="16"/>
          <w:szCs w:val="16"/>
          <w:b w:val="1"/>
          <w:bCs w:val="1"/>
          <w:i w:val="1"/>
          <w:iCs w:val="1"/>
          <w:color w:val="auto"/>
        </w:rPr>
        <w:t>We expect that we will need to raise substantial additional funds to advance development of our product candidates and we cannot guarantee that this additional funding will be available on acceptable terms or at all. Failure to obtain this necessary capital when needed may force us to delay, limit or terminate our product development and commercialization of our current or future product candidates.</w:t>
      </w:r>
    </w:p>
    <w:p>
      <w:pPr>
        <w:spacing w:after="0" w:line="63"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The development of biopharmaceutical product candidates is capital-intensive. To date, we have used substantial funds to develop our technology and product candidates and will require significant funds to conduct our ongoing clinical trials as well as to further our research and development, preclinical testing and future clinical trials of additional product candidates, to seek regulatory approvals for our product candidates and to manufacture and market any products that are approved for commercial sale. In addition, we have incurred and will continue to incur additional costs associated with operating as a public company.</w:t>
      </w:r>
    </w:p>
    <w:p>
      <w:pPr>
        <w:spacing w:after="0" w:line="165"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As of March 31, 2021, we had $393.8 million in cash, cash equivalents and short-term investments. We believe that our existing capital resources will be sufficient to fund our planned operations at least for the next twelve months from the date the financial statements included in this report are issued. Our future capital requirements and the period for which we expect our existing resources to support our operations may vary significantly from what we expect. Our monthly spending levels vary based on our ongoing clinical trials, new and ongoing research and development and other corporate activities. For example, we expect our monthly spending to increase substantially as we enroll patients in our Phase 2 clinical trial of praluzatamab ravtansine (CX-2009) as monotherapy or in combination with pacmilimab (CX-072) in patients with breast cancer, and as we enroll patients in our Phase 2 expansion trial of CX-2029. Because the length of time and activities associated with conducting our clinical trials and successfully researching and developing our product candidates is highly uncertain, we are unable to estimate the actual funds we will require for development and, once any product candidate is approved, any subsequent marketing and commercialization activities.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timing and amount of our operating expenditures will depend largely on:</w:t>
      </w:r>
    </w:p>
    <w:p>
      <w:pPr>
        <w:spacing w:after="0" w:line="103" w:lineRule="exact"/>
        <w:rPr>
          <w:sz w:val="20"/>
          <w:szCs w:val="20"/>
          <w:color w:val="auto"/>
        </w:rPr>
      </w:pPr>
    </w:p>
    <w:p>
      <w:pPr>
        <w:ind w:left="1020" w:right="80" w:hanging="512"/>
        <w:spacing w:after="0" w:line="261"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scope, timing and progress of our ongoing clinical trials as well as any other preclinical and clinical development activities which may be affected by, among other things, the COVID-19 pandemic;</w:t>
      </w:r>
    </w:p>
    <w:p>
      <w:pPr>
        <w:spacing w:after="0" w:line="71" w:lineRule="exact"/>
        <w:rPr>
          <w:rFonts w:ascii="Arial" w:cs="Arial" w:eastAsia="Arial" w:hAnsi="Arial"/>
          <w:sz w:val="17"/>
          <w:szCs w:val="17"/>
          <w:color w:val="auto"/>
        </w:rPr>
      </w:pPr>
    </w:p>
    <w:p>
      <w:pPr>
        <w:ind w:left="1020" w:right="140" w:hanging="512"/>
        <w:spacing w:after="0" w:line="261"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number, size and type of clinical trials and preclinical studies that we may be required to complete for our product candidates, as well as the cost and time of such studies and trials;</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number, scope and prioritization of preclinical and clinical programs we decide to pursue;</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time and cost necessary to produce clinical supplies of our product candidates;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36" w:name="page37"/>
    <w:bookmarkEnd w:id="36"/>
    <w:p>
      <w:pPr>
        <w:ind w:left="1020" w:hanging="512"/>
        <w:spacing w:after="0"/>
        <w:tabs>
          <w:tab w:leader="none" w:pos="10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time and cost necessary to scale our manufacturing capabilities following regulatory approval and commercial launch of any product candidates;</w:t>
      </w:r>
    </w:p>
    <w:p>
      <w:pPr>
        <w:spacing w:after="0" w:line="137" w:lineRule="exact"/>
        <w:rPr>
          <w:rFonts w:ascii="Arial" w:cs="Arial" w:eastAsia="Arial" w:hAnsi="Arial"/>
          <w:sz w:val="14"/>
          <w:szCs w:val="14"/>
          <w:color w:val="auto"/>
        </w:rPr>
      </w:pPr>
    </w:p>
    <w:p>
      <w:pPr>
        <w:ind w:left="1020" w:hanging="512"/>
        <w:spacing w:after="0" w:line="261" w:lineRule="auto"/>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progress of the development efforts of parties with whom we have entered or may in the future enter into collaborations and research and development agreements;</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timing and amount of payments we may receive or are obligated to pay under our collaboration agreements and license agreements;</w:t>
      </w:r>
    </w:p>
    <w:p>
      <w:pPr>
        <w:spacing w:after="0" w:line="114" w:lineRule="exact"/>
        <w:rPr>
          <w:rFonts w:ascii="Arial" w:cs="Arial" w:eastAsia="Arial" w:hAnsi="Arial"/>
          <w:sz w:val="16"/>
          <w:szCs w:val="16"/>
          <w:color w:val="auto"/>
        </w:rPr>
      </w:pPr>
    </w:p>
    <w:p>
      <w:pPr>
        <w:ind w:left="1020" w:hanging="512"/>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maintain our current licenses and research and development programs and to establish new collaboration arrangements;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costs involved in prosecuting and enforcing patent and other intellectual property claims, including our ongoing litigation;</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cost of any existing or future litigation to which we are or may become a party;</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cost and timing of regulatory approvals; and</w:t>
      </w:r>
    </w:p>
    <w:p>
      <w:pPr>
        <w:spacing w:after="0" w:line="102" w:lineRule="exact"/>
        <w:rPr>
          <w:rFonts w:ascii="Arial" w:cs="Arial" w:eastAsia="Arial" w:hAnsi="Arial"/>
          <w:sz w:val="17"/>
          <w:szCs w:val="17"/>
          <w:color w:val="auto"/>
        </w:rPr>
      </w:pPr>
    </w:p>
    <w:p>
      <w:pPr>
        <w:ind w:left="1020" w:right="460" w:hanging="512"/>
        <w:spacing w:after="0" w:line="261" w:lineRule="auto"/>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efforts to enhance operational systems and hire additional personnel, including personnel to support development and commercialization of our product candidates and satisfy our obligations as a public company.</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4"/>
          <w:szCs w:val="14"/>
          <w:color w:val="auto"/>
        </w:rPr>
        <w:t>If we are unable to obtain funding on a timely basis or on acceptable terms, we may have to delay, reduce or terminate our research and development programs and preclinical studies or clinical trials, limit strategic opportunities or undergo reductions in our workforce or other corporate restructuring activities. We also could be required to seek funds through arrangements with collaborators or others that may require us to relinquish rights to some of our technologies or product candidates that we would otherwise pursue on our own. We do not expect to realize revenue from sales of products or royalties from licensed products in the foreseeable future, if at all, and unless and until our product candidates are clinically tested, approved for commercialization and successfully marketed. To date, we have financed our operations primarily through sales of our common stock, sale of our convertible preferred securities prior to our IPO and payments received under our collaboration agreements, including, most recently, the Collaboration and License Agreement that we entered into with Astellas in March 2020. We will be required to seek additional funding in the future and currently intend to do so through additional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including the COVID-19 pandemic. Additional funds may not be available to us on acceptable terms or at all.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spacing w:after="0" w:line="200" w:lineRule="exact"/>
        <w:rPr>
          <w:sz w:val="20"/>
          <w:szCs w:val="20"/>
          <w:color w:val="auto"/>
        </w:rPr>
      </w:pPr>
    </w:p>
    <w:p>
      <w:pPr>
        <w:spacing w:after="0" w:line="246" w:lineRule="exact"/>
        <w:rPr>
          <w:sz w:val="20"/>
          <w:szCs w:val="20"/>
          <w:color w:val="auto"/>
        </w:rPr>
      </w:pPr>
    </w:p>
    <w:p>
      <w:pPr>
        <w:jc w:val="both"/>
        <w:ind w:right="200"/>
        <w:spacing w:after="0" w:line="252" w:lineRule="auto"/>
        <w:rPr>
          <w:sz w:val="20"/>
          <w:szCs w:val="20"/>
          <w:color w:val="auto"/>
        </w:rPr>
      </w:pPr>
      <w:r>
        <w:rPr>
          <w:rFonts w:ascii="Arial" w:cs="Arial" w:eastAsia="Arial" w:hAnsi="Arial"/>
          <w:sz w:val="17"/>
          <w:szCs w:val="17"/>
          <w:b w:val="1"/>
          <w:bCs w:val="1"/>
          <w:i w:val="1"/>
          <w:iCs w:val="1"/>
          <w:color w:val="auto"/>
        </w:rPr>
        <w:t>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product candidates.</w:t>
      </w:r>
    </w:p>
    <w:p>
      <w:pPr>
        <w:spacing w:after="0" w:line="80" w:lineRule="exact"/>
        <w:rPr>
          <w:sz w:val="20"/>
          <w:szCs w:val="20"/>
          <w:color w:val="auto"/>
        </w:rPr>
      </w:pPr>
    </w:p>
    <w:p>
      <w:pPr>
        <w:ind w:right="40"/>
        <w:spacing w:after="0" w:line="302" w:lineRule="auto"/>
        <w:rPr>
          <w:sz w:val="20"/>
          <w:szCs w:val="20"/>
          <w:color w:val="auto"/>
        </w:rPr>
      </w:pPr>
      <w:r>
        <w:rPr>
          <w:rFonts w:ascii="Arial" w:cs="Arial" w:eastAsia="Arial" w:hAnsi="Arial"/>
          <w:sz w:val="14"/>
          <w:szCs w:val="14"/>
          <w:color w:val="auto"/>
        </w:rPr>
        <w:t>As is the case with all oncology drugs, our product candidates in clinical development or preclinical development go through a long process and have a high risk of failure or termination for strategic reasons. For example, in 2017, we initiated Phase 1/2 clinical trials of pacmilimab (CX-072), which expanded to a Phase 2 trial in 2019 evaluating the anti-PD-L1 conditionally activated therapeutic in combination with ipilimumab in melanoma. In March 2020, we made the strategic decision to terminate that trial. In 2017, we initiated a Phase 1/2 clinical trial of praluzatamab ravtansine (CX-2009) and in 2019, we initiated a Phase 2 expansion trial of praluzatamab ravtansine in patients with hormone receptor (“HR”)-positive, HER2- negative breast cancer. That Phase 2 expansion trial was paused in early 2020 due to COVID-19. In 2020, we revised our strategy for developing praluzatamab ravtansine and initiated a new Phase 2 clinical trial of praluzatamab ravtansine alone in either HR+/HER2 negative breast cancer or TNBC or in combination with pacmilimab in TNBC. In 2020, we initiated our Phase 2 clinical trial expansion cohorts of CX-2029, our conditionally activated ADC candidate directed against CD71 in collaboration with AbbVie, for the treatment of four types of cancer. In addition, in 2019, Bristol Myers Squibb initiated enrollment in the Phase 2 portion of its ongoing Phase 1/2 clinical trial for BMS-986249, an anti-CTLA-4 Probody, and initiated a Phase 1/2 trial for BMS-986288, a second anti-CTLA-4 Probody, both of which are underway. It is impossible to predict when or if any of our or our partner’s product candidates will prove effective and safe in humans or will receive regulatory approval. Before obtaining marketing approval from regulatory authorities for the sale of any product candidate, we or our partners must complete extensive clinical trials to demonstrate the safety and efficacy of our product candidates in humans. Commencement of clinical trials for programs beyond praluzatamab ravtansine, CX-2029, BMS-986249, BMS-986288, and pacmilimab is subject to finalizing the trial design and filing an IND or similar filing with the FDA or similar global health authorities.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37" w:name="page38"/>
    <w:bookmarkEnd w:id="37"/>
    <w:p>
      <w:pPr>
        <w:ind w:right="60"/>
        <w:spacing w:after="0" w:line="265" w:lineRule="auto"/>
        <w:rPr>
          <w:sz w:val="20"/>
          <w:szCs w:val="20"/>
          <w:color w:val="auto"/>
        </w:rPr>
      </w:pPr>
      <w:r>
        <w:rPr>
          <w:rFonts w:ascii="Arial" w:cs="Arial" w:eastAsia="Arial" w:hAnsi="Arial"/>
          <w:sz w:val="16"/>
          <w:szCs w:val="16"/>
          <w:color w:val="auto"/>
        </w:rPr>
        <w:t>In addition, even if we file our IND or comparable submissions in other jurisdictions for these or other product candidates, including CX-2043 and CX-904, the FDA or other regulatory authorities could disagree that we have satisfied their requirements to commence our clinical trials or disagree with our study design, which may require us to complete additional preclinical studies or amend our protocols or impose stricter conditions on the commencement of clinical trials and may delay our ability to begin Phase 1 clinical trials, causing an increase in the amount of time and expense required to develop our product candidates including CX-2043 and CX904. As a result of the foregoing, the research and development, preclinical studies and clinical testing of any product candidate is expensive and can take many years to complete, and its outcome is inherently uncertain. Failure can occur at any time during the development process.</w:t>
      </w:r>
    </w:p>
    <w:p>
      <w:pPr>
        <w:spacing w:after="0" w:line="172"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Further, we or our collaborators may also experience delays in completing ongoing clinical trials, completing preclinical studies or initiating further clinical trials of our product candidates, including, for example, among other things, as a result of the COVID-19 pandemic. We do not know whether our or our collaborators’ ongoing clinical trials or preclinical studies will be completed on schedule or at all, or whether planned clinical trials or preclinical studies will begin on time, need to be redesigned, enroll patients on time or be completed on schedule, if at all. We or our collaborators may have insufficient internal resources to complete ongoing clinical trials or initiate clinical trials for our other product candidates. The development programs for our product candidates may also be delayed for a variety of reasons, including delays related to:</w:t>
      </w:r>
    </w:p>
    <w:p>
      <w:pPr>
        <w:spacing w:after="0" w:line="84" w:lineRule="exact"/>
        <w:rPr>
          <w:sz w:val="20"/>
          <w:szCs w:val="20"/>
          <w:color w:val="auto"/>
        </w:rPr>
      </w:pPr>
    </w:p>
    <w:p>
      <w:pPr>
        <w:ind w:left="1020" w:hanging="512"/>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recruiting suitable patients to participate in a clinical trial, particularly in light of the COVID-19 pandemic;</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developing and validating any companion diagnostic to be used in a clinical trial;</w:t>
      </w:r>
    </w:p>
    <w:p>
      <w:pPr>
        <w:spacing w:after="0" w:line="102" w:lineRule="exact"/>
        <w:rPr>
          <w:rFonts w:ascii="Arial" w:cs="Arial" w:eastAsia="Arial" w:hAnsi="Arial"/>
          <w:sz w:val="17"/>
          <w:szCs w:val="17"/>
          <w:color w:val="auto"/>
        </w:rPr>
      </w:pPr>
    </w:p>
    <w:p>
      <w:pPr>
        <w:ind w:left="1020" w:right="280" w:hanging="512"/>
        <w:spacing w:after="0" w:line="261"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FDA or other regulatory authorities requiring us to submit additional data or imposing other requirements before permitting us to initiate a clinical trial;</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obtaining regulatory clearance to commence a clinical trial;</w:t>
      </w:r>
    </w:p>
    <w:p>
      <w:pPr>
        <w:spacing w:after="0" w:line="102" w:lineRule="exact"/>
        <w:rPr>
          <w:rFonts w:ascii="Arial" w:cs="Arial" w:eastAsia="Arial" w:hAnsi="Arial"/>
          <w:sz w:val="17"/>
          <w:szCs w:val="17"/>
          <w:color w:val="auto"/>
        </w:rPr>
      </w:pPr>
    </w:p>
    <w:p>
      <w:pPr>
        <w:ind w:left="1020" w:right="460" w:hanging="512"/>
        <w:spacing w:after="0" w:line="261"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reaching agreement on acceptable terms with prospective contract research organization (“CROs”) and clinical trial sites, the terms of which can be subject to extensive negotiation and may vary significantly among different CROs and clinical trial sites;</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obtaining institutional review board (“IRB”) approval at each clinical trial site;</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having patients complete a clinical trial or return for post-treatment follow-up;</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clinical trial sites deviating from trial protocol or dropping out of a trial;</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adding new clinical trial sites;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manufacturing our product candidates in sufficient quality and quantity for use in clinical trials; or</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collaborators electing to not pursue development and commercialization of our product candidates.</w:t>
      </w:r>
    </w:p>
    <w:p>
      <w:pPr>
        <w:spacing w:after="0" w:line="202"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In addition,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safety profiles, notwithstanding promising results in earlier trials.</w:t>
      </w:r>
    </w:p>
    <w:p>
      <w:pPr>
        <w:spacing w:after="0" w:line="281"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b w:val="1"/>
          <w:bCs w:val="1"/>
          <w:i w:val="1"/>
          <w:iCs w:val="1"/>
          <w:color w:val="auto"/>
        </w:rPr>
        <w:t>Our product candidates are in early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spacing w:after="0" w:line="63" w:lineRule="exact"/>
        <w:rPr>
          <w:sz w:val="20"/>
          <w:szCs w:val="20"/>
          <w:color w:val="auto"/>
        </w:rPr>
      </w:pPr>
    </w:p>
    <w:p>
      <w:pPr>
        <w:spacing w:after="0" w:line="310" w:lineRule="auto"/>
        <w:rPr>
          <w:sz w:val="20"/>
          <w:szCs w:val="20"/>
          <w:color w:val="auto"/>
        </w:rPr>
      </w:pPr>
      <w:r>
        <w:rPr>
          <w:rFonts w:ascii="Arial" w:cs="Arial" w:eastAsia="Arial" w:hAnsi="Arial"/>
          <w:sz w:val="14"/>
          <w:szCs w:val="14"/>
          <w:color w:val="auto"/>
        </w:rPr>
        <w:t>We are very early in our development efforts, with only three product candidates, praluzatamab ravtansine (CX-2009), CX-2029, and pacmilimab (CX-72), currently in early-stage clinical development. In addition, Bristol Myers Squibb is currently evaluating BMS-986249, a CTLA-4-directed Probody therapeutic in a randomized cohort expansion trial of a Phase 1/2 clinical trial that it initiated in January 2018, and BMS-986288, a second anti-CTLA-4 Probody, in a Phase 1/2 trial it initiated in 2019. We have no products on the market and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our collaborator must conduct extensive preclinical tests and clinical trials to demonstrate sufficient safety and efficacy of our product candidates in patients.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38" w:name="page39"/>
    <w:bookmarkEnd w:id="38"/>
    <w:p>
      <w:pPr>
        <w:ind w:right="340"/>
        <w:spacing w:after="0" w:line="292" w:lineRule="auto"/>
        <w:rPr>
          <w:sz w:val="20"/>
          <w:szCs w:val="20"/>
          <w:color w:val="auto"/>
        </w:rPr>
      </w:pPr>
      <w:r>
        <w:rPr>
          <w:rFonts w:ascii="Arial" w:cs="Arial" w:eastAsia="Arial" w:hAnsi="Arial"/>
          <w:sz w:val="16"/>
          <w:szCs w:val="16"/>
          <w:color w:val="auto"/>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p>
      <w:pPr>
        <w:spacing w:after="0" w:line="49" w:lineRule="exact"/>
        <w:rPr>
          <w:sz w:val="20"/>
          <w:szCs w:val="20"/>
          <w:color w:val="auto"/>
        </w:rPr>
      </w:pPr>
    </w:p>
    <w:p>
      <w:pPr>
        <w:ind w:left="1020" w:right="100" w:hanging="512"/>
        <w:spacing w:after="0" w:line="292"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negative or inconclusive results from our clinical trials, the clinical trials of our collaborators or the clinical trials of others for product candidates similar to ours, leading to a decision or requirement to conduct additional preclinical testing or clinical trials or abandon a program;</w:t>
      </w:r>
    </w:p>
    <w:p>
      <w:pPr>
        <w:spacing w:after="0" w:line="48" w:lineRule="exact"/>
        <w:rPr>
          <w:rFonts w:ascii="Arial" w:cs="Arial" w:eastAsia="Arial" w:hAnsi="Arial"/>
          <w:sz w:val="16"/>
          <w:szCs w:val="16"/>
          <w:color w:val="auto"/>
        </w:rPr>
      </w:pPr>
    </w:p>
    <w:p>
      <w:pPr>
        <w:ind w:left="1020" w:right="540" w:hanging="512"/>
        <w:spacing w:after="0" w:line="261"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product-related side effects experienced by participants in our clinical trials, the clinical trials of our collaborators or by individuals using drugs or therapeutic biologics similar to our product candidates;</w:t>
      </w:r>
    </w:p>
    <w:p>
      <w:pPr>
        <w:spacing w:after="0" w:line="71" w:lineRule="exact"/>
        <w:rPr>
          <w:rFonts w:ascii="Arial" w:cs="Arial" w:eastAsia="Arial" w:hAnsi="Arial"/>
          <w:sz w:val="17"/>
          <w:szCs w:val="17"/>
          <w:color w:val="auto"/>
        </w:rPr>
      </w:pPr>
    </w:p>
    <w:p>
      <w:pPr>
        <w:ind w:left="1020" w:right="280" w:hanging="512"/>
        <w:spacing w:after="0" w:line="261"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conditions imposed by the FDA or comparable foreign authorities regarding the scope or design of our clinical trials;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delays in enrolling research subjects in clinical trials;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high drop-out rates of research subjects;</w:t>
      </w:r>
    </w:p>
    <w:p>
      <w:pPr>
        <w:spacing w:after="0" w:line="102" w:lineRule="exact"/>
        <w:rPr>
          <w:rFonts w:ascii="Arial" w:cs="Arial" w:eastAsia="Arial" w:hAnsi="Arial"/>
          <w:sz w:val="17"/>
          <w:szCs w:val="17"/>
          <w:color w:val="auto"/>
        </w:rPr>
      </w:pPr>
    </w:p>
    <w:p>
      <w:pPr>
        <w:ind w:left="1020" w:right="20" w:hanging="512"/>
        <w:spacing w:after="0" w:line="261"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inadequate supply or quality of product candidate components or materials or other supplies necessary for the conduct of our or our collaborators’ clinical trials;</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greater than anticipated clinical trial costs;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delay in the development or approval of companion diagnostic tests for our product candidates;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unfavorable FDA or other regulatory agency inspection and review of a clinical trial site;</w:t>
      </w:r>
    </w:p>
    <w:p>
      <w:pPr>
        <w:spacing w:after="0" w:line="102" w:lineRule="exact"/>
        <w:rPr>
          <w:rFonts w:ascii="Arial" w:cs="Arial" w:eastAsia="Arial" w:hAnsi="Arial"/>
          <w:sz w:val="17"/>
          <w:szCs w:val="17"/>
          <w:color w:val="auto"/>
        </w:rPr>
      </w:pPr>
    </w:p>
    <w:p>
      <w:pPr>
        <w:ind w:left="1020" w:right="220" w:hanging="512"/>
        <w:spacing w:after="0" w:line="261"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failure of our third-party contractors or investigators to comply with regulatory requirements or otherwise meet their contractual obligations in a timely manner, or at all;</w:t>
      </w:r>
    </w:p>
    <w:p>
      <w:pPr>
        <w:spacing w:after="0" w:line="71" w:lineRule="exact"/>
        <w:rPr>
          <w:rFonts w:ascii="Arial" w:cs="Arial" w:eastAsia="Arial" w:hAnsi="Arial"/>
          <w:sz w:val="17"/>
          <w:szCs w:val="17"/>
          <w:color w:val="auto"/>
        </w:rPr>
      </w:pPr>
    </w:p>
    <w:p>
      <w:pPr>
        <w:ind w:left="1020" w:right="180" w:hanging="512"/>
        <w:spacing w:after="0" w:line="261"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delays and changes in regulatory requirements, policy and guidelines, including the imposition of additional regulatory oversight around clinical testing generally or with respect to our technology in particular; or</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varying interpretations of data by the FDA and similar foreign regulatory agencies.</w:t>
      </w:r>
    </w:p>
    <w:p>
      <w:pPr>
        <w:spacing w:after="0" w:line="202" w:lineRule="exact"/>
        <w:rPr>
          <w:sz w:val="20"/>
          <w:szCs w:val="20"/>
          <w:color w:val="auto"/>
        </w:rPr>
      </w:pPr>
    </w:p>
    <w:p>
      <w:pPr>
        <w:ind w:right="20"/>
        <w:spacing w:after="0" w:line="308" w:lineRule="auto"/>
        <w:rPr>
          <w:sz w:val="20"/>
          <w:szCs w:val="20"/>
          <w:color w:val="auto"/>
        </w:rPr>
      </w:pPr>
      <w:r>
        <w:rPr>
          <w:rFonts w:ascii="Arial" w:cs="Arial" w:eastAsia="Arial" w:hAnsi="Arial"/>
          <w:sz w:val="14"/>
          <w:szCs w:val="14"/>
          <w:color w:val="auto"/>
        </w:rPr>
        <w:t>We could find that the therapeutics we or our collaborators pursue are not safe or efficacious. Further, a clinical trial may be suspended or terminated by us, our collaborators, the IRBs of the institutions in which such trials are being conducted, the Data Safety Monitoring Board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or therapeutic biologic, changes in governmental regulations or administrative actions or lack of adequate funding to continue the clinical trial. Furthermore, we expect to rely on our collaborators, CROs and clinical trial sites to ensure proper and timely conduct of our clinical trials and while we expect to enter into agreements governing their committed activities, we have limited influence over their actual performance.</w:t>
      </w:r>
    </w:p>
    <w:p>
      <w:pPr>
        <w:spacing w:after="0" w:line="143" w:lineRule="exact"/>
        <w:rPr>
          <w:sz w:val="20"/>
          <w:szCs w:val="20"/>
          <w:color w:val="auto"/>
        </w:rPr>
      </w:pPr>
    </w:p>
    <w:p>
      <w:pPr>
        <w:spacing w:after="0" w:line="308" w:lineRule="auto"/>
        <w:rPr>
          <w:sz w:val="20"/>
          <w:szCs w:val="20"/>
          <w:color w:val="auto"/>
        </w:rPr>
      </w:pPr>
      <w:r>
        <w:rPr>
          <w:rFonts w:ascii="Arial" w:cs="Arial" w:eastAsia="Arial" w:hAnsi="Arial"/>
          <w:sz w:val="14"/>
          <w:szCs w:val="14"/>
          <w:color w:val="auto"/>
        </w:rPr>
        <w:t>If we or our collaborators experience delays in the completion of, or termination of, any clinical trial of our product candidates, the commercial prospects of our product candidates will be harmed, and our ability to generate product revenues or receive royalties from any of these product candidates will be delayed. In addition, any delays in completing our clinical trials will increase our costs, slow down our product development and approval process and jeopardize our ability to commence product sales and generate revenues. Furthermore, if one or more of our product candidates or our Probody therapeutic technology generally prove to be ineffective, unsafe or commercially unviable, the development of our entire platform and pipeline could be delayed, potentially permanently. Any of these occurrences may materially and adversely affect our business, financial condition, results of operations and prospects. In addition, many of the factors that cause, or lead to, a delay in the commencement or completion of clinical trials may also ultimately lead to the denial of regulatory approval of our product candidates.</w:t>
      </w:r>
    </w:p>
    <w:p>
      <w:pPr>
        <w:spacing w:after="0" w:line="143"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For example, in March 2020, we made the strategic decision to terminate our Phase 2 clinical trial evaluating pacmilimab in combination ipilimumab in melanoma. This decision followed a re-evaluation of the evolving clinical, competitive and commercial landscapes in immuno-oncology, taken together with impact of the COVID-19 pandemic.</w:t>
      </w:r>
    </w:p>
    <w:p>
      <w:pPr>
        <w:spacing w:after="0" w:line="278"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72"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39" w:name="page40"/>
    <w:bookmarkEnd w:id="39"/>
    <w:p>
      <w:pPr>
        <w:ind w:right="40"/>
        <w:spacing w:after="0" w:line="263" w:lineRule="auto"/>
        <w:rPr>
          <w:sz w:val="20"/>
          <w:szCs w:val="20"/>
          <w:color w:val="auto"/>
        </w:rPr>
      </w:pPr>
      <w:r>
        <w:rPr>
          <w:rFonts w:ascii="Arial" w:cs="Arial" w:eastAsia="Arial" w:hAnsi="Arial"/>
          <w:sz w:val="16"/>
          <w:szCs w:val="16"/>
          <w:color w:val="auto"/>
        </w:rPr>
        <w:t>more comprehensive review of the data related to the particular study or trial. For example, we have reported preliminary data from our clinical trials of praluzatamab ravtansine (CX-2009), CX-2029, and pacmilimab (CX-072) at various meetings and at our CytomX 2019 R&amp;D Day. We also make assumptions, estimations, calculations and conclusions as part of our analyses of data, and we may not have received or had the opportunity to fully and carefully evaluate all data. Further, as a result of the COVID-19 pandemic or for other reasons, we may not be able to collect accurate or complete data at the time we collect such preliminary data, including as a result of the inability of sites to properly record data due to staffing limitations or the inability of patients to visit sites at scheduled times, the inability of CROs to access site data or for other reasons.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72"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p>
    <w:p>
      <w:pPr>
        <w:spacing w:after="0" w:line="182" w:lineRule="exact"/>
        <w:rPr>
          <w:sz w:val="20"/>
          <w:szCs w:val="20"/>
          <w:color w:val="auto"/>
        </w:rPr>
      </w:pPr>
    </w:p>
    <w:p>
      <w:pPr>
        <w:jc w:val="both"/>
        <w:ind w:right="60"/>
        <w:spacing w:after="0" w:line="320" w:lineRule="auto"/>
        <w:rPr>
          <w:sz w:val="20"/>
          <w:szCs w:val="20"/>
          <w:color w:val="auto"/>
        </w:rPr>
      </w:pPr>
      <w:r>
        <w:rPr>
          <w:rFonts w:ascii="Arial" w:cs="Arial" w:eastAsia="Arial" w:hAnsi="Arial"/>
          <w:sz w:val="14"/>
          <w:szCs w:val="14"/>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b w:val="1"/>
          <w:bCs w:val="1"/>
          <w:i w:val="1"/>
          <w:iCs w:val="1"/>
          <w:color w:val="auto"/>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80"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Undesirable side effects caused by our product candidates could cause us, our collaborators or regulatory authorities to interrupt, delay or halt clinical trials and could result in a more restrictive label or the delay or denial of regulatory approval by the FDA or other regulatory authorities. As is the case with all oncology drugs, there may be immediate or late side effects associated with the use of our product candidates (e.g., praluzatamab ravtansine (CX-2009), CX-2029, and pacmilimab (CX-072)). There can be no assurance that unexpected adverse events will not occur in our ongoing trials or in future trials involving our product candidates or the product candidates of our collaborators. Undesirable side effects may appear in later trials that were not observed in our earlier trials or may be more severe in later trials than earlier trials.</w:t>
      </w:r>
    </w:p>
    <w:p>
      <w:pPr>
        <w:spacing w:after="0" w:line="184"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In May 2020, we reported that the administration of monotherapy pacmilimab has been generally well tolerated with the majority of treatment-related adverse events (“TRAEs”) as Grade 1/2. At that time, we also reported that of the 114 monotherapy patients treated with 10 mg/kg every two weeks and who were evaluable for safety, ten (9%) patients experienced a grade ≥3 TRAE, and two (2%) experienced grade ≥3 immune-related adverse events (“irAEs”), with two (2%) TRAEs leading to treatment discontinuation. In June 2019, we also reported that at the 10 mg/kg dose, the anti-drug antibody (“ADA”) rate was approximately 62%. While we do not believe this ADA is impacting our ability to reach targeted drug exposures, we cannot provide assurance that the rate will not change or that it will not later limit drug exposure or cause severe adverse events. We also cannot provide assurance that the rates and the types of adverse events will not increase with time as more patients are treated in ongoing or future studies.</w:t>
      </w:r>
    </w:p>
    <w:p>
      <w:pPr>
        <w:spacing w:after="0" w:line="17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Administration of pacmilimab in combination with ipilimumab has been generally well tolerated with the majority of TRAEs as Grade 1/2. In October 2019, we reported that of the 27 patients treated across all combination doses, Grade 3/4 TRAEs were reported in nine (33%) patients and Grade 3/4 irAEs were reported in six (22%) patients. Of the 20 patients treated with ipilimumab at 3 mg/kg at varying doses of pacmilimab, Grade 3/4 TRAEs were reported in five (25%) patients and Grade 3/4 irAEs were reported in three (15%) patients. We cannot provide assurance that these rates and the types of adverse events will not increase over time with more patients being treated in future studies of our product candidates.</w:t>
      </w:r>
    </w:p>
    <w:p>
      <w:pPr>
        <w:spacing w:after="0" w:line="182"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Administration of praluzatamab ravtansine has also been generally well tolerated with most reported TRAEs being Grade 1/2. In May 2020, we announced that 34/92 (37%) patients experienced a Grade 3/4 TRAE. The most common adverse event observed was ocular toxicity, an anticipated toxicity associated with the DM4 payload. Other Grade 3/4 TRAEs included liver function test abnormalities, gastrointestinal disorders and nervous system disorders. We cannot guarantee that these rates and the types of adverse events will not increase over time with more patients being treated in ongoing or future studies.</w:t>
      </w:r>
    </w:p>
    <w:p>
      <w:pPr>
        <w:spacing w:after="0" w:line="165" w:lineRule="exact"/>
        <w:rPr>
          <w:sz w:val="20"/>
          <w:szCs w:val="20"/>
          <w:color w:val="auto"/>
        </w:rPr>
      </w:pPr>
    </w:p>
    <w:p>
      <w:pPr>
        <w:ind w:right="460"/>
        <w:spacing w:after="0" w:line="261" w:lineRule="auto"/>
        <w:rPr>
          <w:sz w:val="20"/>
          <w:szCs w:val="20"/>
          <w:color w:val="auto"/>
        </w:rPr>
      </w:pPr>
      <w:r>
        <w:rPr>
          <w:rFonts w:ascii="Arial" w:cs="Arial" w:eastAsia="Arial" w:hAnsi="Arial"/>
          <w:sz w:val="17"/>
          <w:szCs w:val="17"/>
          <w:color w:val="auto"/>
        </w:rPr>
        <w:t>The results of our or our collaborators’ future clinical trials could reveal a high and unacceptable severity of adverse side effects, including immune system related adverse events or increased toxicity, and it is possible that patients enrolled in such clinical trials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425" w:right="359" w:bottom="1440" w:gutter="0" w:footer="0" w:header="0"/>
        </w:sectPr>
      </w:pPr>
    </w:p>
    <w:bookmarkStart w:id="40" w:name="page41"/>
    <w:bookmarkEnd w:id="40"/>
    <w:p>
      <w:pPr>
        <w:ind w:right="120"/>
        <w:spacing w:after="0" w:line="265" w:lineRule="auto"/>
        <w:rPr>
          <w:sz w:val="20"/>
          <w:szCs w:val="20"/>
          <w:color w:val="auto"/>
        </w:rPr>
      </w:pPr>
      <w:r>
        <w:rPr>
          <w:rFonts w:ascii="Arial" w:cs="Arial" w:eastAsia="Arial" w:hAnsi="Arial"/>
          <w:sz w:val="16"/>
          <w:szCs w:val="16"/>
          <w:color w:val="auto"/>
        </w:rPr>
        <w:t>could respond in unexpected ways or otherwise have unexpected adverse events. For example, in October 2019, we announced the initiation of our first Phase 2 clinical trial of pacmilimab at a dose level of 10 mg/kg in combination with ipilimumab at a dose level of 3 mg/kg. This dose of ipilimumab in combination with another PD agent, Opdivo® (nivolumab), is often not tolerated by patients. While we believe our Phase 1 clinical data supports this combination, only further clinical testing will determine whether such a combination is tolerable for patients. However, in March 2020, we made the strategic decision to terminate the Phase 2 study evaluating pacmilimab in combination with ipilimumab. This decision followed a re-evaluation of the evolving clinical, competitive and commercial landscapes in immuno-oncology, taken together with impact of the COVID-19 pandemic.</w:t>
      </w:r>
    </w:p>
    <w:p>
      <w:pPr>
        <w:spacing w:after="0" w:line="17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In May 2020, we announced that CX-2029 was generally well tolerated at doses up to 3 mg/kg with the most common TRAEs being infusion related reactions, anemia and neutropenia/leukopenia. Grade 3 or greater hematologic TRAEs, anemia and neutropenia, were dose dependent, with anemia being managed with transfusions and supportive care. The etiology of anemia is under investigation and is likely to be multi-factorial, including MMAE-related and CD71 expression on red blood cell precursors. While we believe these TRAEs are manageable, there can be no assurance that the rate or severity of any of these side effects will not increase over time with more patients being treated in ongoing or future studies.</w:t>
      </w:r>
    </w:p>
    <w:p>
      <w:pPr>
        <w:spacing w:after="0" w:line="182" w:lineRule="exact"/>
        <w:rPr>
          <w:sz w:val="20"/>
          <w:szCs w:val="20"/>
          <w:color w:val="auto"/>
        </w:rPr>
      </w:pPr>
    </w:p>
    <w:p>
      <w:pPr>
        <w:ind w:right="140"/>
        <w:spacing w:after="0" w:line="267" w:lineRule="auto"/>
        <w:rPr>
          <w:sz w:val="20"/>
          <w:szCs w:val="20"/>
          <w:color w:val="auto"/>
        </w:rPr>
      </w:pPr>
      <w:r>
        <w:rPr>
          <w:rFonts w:ascii="Arial" w:cs="Arial" w:eastAsia="Arial" w:hAnsi="Arial"/>
          <w:sz w:val="16"/>
          <w:szCs w:val="16"/>
          <w:color w:val="auto"/>
        </w:rPr>
        <w:t>Additionally, the Phase 2 clinical trial of BMS-986249 being conducted by Bristol Myers Squibb includes the administration of the product candidate at relatively high dosage levels, which could further exacerbate such risks. In our Phase 2 clinical trials with praluzatamab ravtansine and CX-2029, we are targeting CD166 and CD71, respectively, targets that are broadly expressed on normal tissue, which could create unacceptable toxicity or fail to result in anti-tumor activity. For instance, CD71 is a metabolic protein with high levels of expression in healthy tissues, and the consequences of targeting such protein in humans are unknown. Any future clinical trials of our product candidates could face similar or heightened risks depending on the modality.</w:t>
      </w:r>
    </w:p>
    <w:p>
      <w:pPr>
        <w:spacing w:after="0" w:line="169"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In the event that our clinical trials or the clinical trials of our collaborators reveal severe adverse side effects, our or our collaborators’ clinical trials could be suspended or terminated and the FDA or comparable foreign regulatory authorities could impose a clinical hold, order us to cease further development of or deny approval of our product candidates for any or all targeted indications. Such side effects could also affect patient recruitment or the ability of enrolled patients to complete the trial or result in potential product liability claims. For example, in our Phase 1/2 clinical trial of praluzatamab ravtansine, some patients stopped treatment due to ocular toxicity. While we are using ocular toxicity prophylactic measures in our Phase 2 clinical trial, we cannot be assured that such measures will be effective. In addition, any of these occurrences with respect to one of our product candidates could negatively affect our or any collaborator’s ability to enroll patients and seek regulatory approval for other product candidates that we have developed using our Probody platform, which could also result in a collaborator terminating any program utilizing our Probody platform and the termination of such collaborative relationship. Any of these occurrences may materially and adversely affect our business, financial condition, results of operations and prospects. 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w:t>
      </w:r>
    </w:p>
    <w:p>
      <w:pPr>
        <w:spacing w:after="0" w:line="175"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In the event that any of our product candidates receives regulatory approval and we, our collaborators or others identify undesirable side effects caused by such product or any other Probody therapeutics, any of the following adverse events could occur, which could result in the loss of significant revenue to us and materially and adversely affect our results of operations and business:</w:t>
      </w:r>
    </w:p>
    <w:p>
      <w:pPr>
        <w:spacing w:after="0" w:line="80" w:lineRule="exact"/>
        <w:rPr>
          <w:sz w:val="20"/>
          <w:szCs w:val="20"/>
          <w:color w:val="auto"/>
        </w:rPr>
      </w:pPr>
    </w:p>
    <w:p>
      <w:pPr>
        <w:ind w:left="1020" w:hanging="512"/>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regulatory authorities may withdraw their approval of the product or seize the product;</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or our collaborators may be required to recall the product or change the way the product is administered to patients;</w:t>
      </w:r>
    </w:p>
    <w:p>
      <w:pPr>
        <w:spacing w:after="0" w:line="102" w:lineRule="exact"/>
        <w:rPr>
          <w:rFonts w:ascii="Arial" w:cs="Arial" w:eastAsia="Arial" w:hAnsi="Arial"/>
          <w:sz w:val="17"/>
          <w:szCs w:val="17"/>
          <w:color w:val="auto"/>
        </w:rPr>
      </w:pPr>
    </w:p>
    <w:p>
      <w:pPr>
        <w:ind w:left="1020" w:right="480" w:hanging="512"/>
        <w:spacing w:after="0" w:line="261"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additional restrictions may be imposed on the marketing of the particular product or the manufacturing processes for the product or any component thereof;</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be subject to fines, injunctions or the imposition of civil or criminal penalties;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regulatory authorities may require the addition of labeling statements, such as a “black box” warning or a contraindication;</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be required to create a Medication Guide outlining the risks of such side effects for distribution to patients;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could be sued and held liable for harm caused to patients;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product may become less competitive; and</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reputation may suffer.</w:t>
      </w:r>
    </w:p>
    <w:p>
      <w:pPr>
        <w:spacing w:after="0" w:line="202"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In addition, adverse side effects caused by any drugs of other companies utilizing the same or similar antibodies of our product candidates, or that are similar in nature to our product candidates could delay or prevent regulatory approval of our product candidates, limit the commercial profile of an approved label for our product candidates, or result in significant negative consequences following marketing approval.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41" w:name="page42"/>
    <w:bookmarkEnd w:id="41"/>
    <w:p>
      <w:pPr>
        <w:jc w:val="both"/>
        <w:ind w:right="320"/>
        <w:spacing w:after="0" w:line="252" w:lineRule="auto"/>
        <w:rPr>
          <w:sz w:val="20"/>
          <w:szCs w:val="20"/>
          <w:color w:val="auto"/>
        </w:rPr>
      </w:pPr>
      <w:r>
        <w:rPr>
          <w:rFonts w:ascii="Arial" w:cs="Arial" w:eastAsia="Arial" w:hAnsi="Arial"/>
          <w:sz w:val="17"/>
          <w:szCs w:val="17"/>
          <w:color w:val="auto"/>
        </w:rPr>
        <w:t>We believe that any of these events could prevent us from achieving or maintaining market acceptance of our product candidates and could substantially increase the costs of commercializing our product candidates, if approved, and significantly impact our ability to successfully commercialize our product candidates and generate revenues.</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experience delays or difficulties in the enrollment of patients in clinical trials, our receipt of necessary regulatory approvals could be delayed or prevented.</w:t>
      </w:r>
    </w:p>
    <w:p>
      <w:pPr>
        <w:spacing w:after="0" w:line="137" w:lineRule="exact"/>
        <w:rPr>
          <w:sz w:val="20"/>
          <w:szCs w:val="20"/>
          <w:color w:val="auto"/>
        </w:rPr>
      </w:pPr>
    </w:p>
    <w:p>
      <w:pPr>
        <w:ind w:right="500"/>
        <w:spacing w:after="0" w:line="252"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Patient enrollment, a significant factor in the timing of clinical trials, is affected by many factors, including:</w:t>
      </w:r>
    </w:p>
    <w:p>
      <w:pPr>
        <w:spacing w:after="0" w:line="80" w:lineRule="exact"/>
        <w:rPr>
          <w:sz w:val="20"/>
          <w:szCs w:val="20"/>
          <w:color w:val="auto"/>
        </w:rPr>
      </w:pPr>
    </w:p>
    <w:p>
      <w:pPr>
        <w:ind w:left="1020" w:hanging="512"/>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ongoing COVID-19 pandemic;</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size and nature of the target patient population;</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eligibility criteria for the clinical trial;</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design of the clinical trial;</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availability of an appropriate genomic screening test;</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perceived risks and benefits of the product candidate under study;</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efforts to facilitate timely enrollment in clinical trials;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patient referral practices of physicians;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ability to monitor patients adequately during and after treatment; and</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proximity and availability of clinical trial sites for prospective patients.</w:t>
      </w:r>
    </w:p>
    <w:p>
      <w:pPr>
        <w:spacing w:after="0" w:line="202"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For example, in March 2020, we announced a temporary pause in new patient enrollment and new site activation in our Phase 2 clinical trial of praluzatamab ravtansine as a result of the COVID-19 pandemic. Since then, we have revised our strategy for praluzatamab ravtansine and have initiated a new Phase 2 clinical trial of praluzatamab ravtansine, however, there can be no assurances that the COVID-19 pandemic will not continue to have a significant impact on our ability to complete our ongoing clinical trials and enroll patients in any planned or future clinical trials.</w:t>
      </w:r>
    </w:p>
    <w:p>
      <w:pPr>
        <w:spacing w:after="0" w:line="182" w:lineRule="exact"/>
        <w:rPr>
          <w:sz w:val="20"/>
          <w:szCs w:val="20"/>
          <w:color w:val="auto"/>
        </w:rPr>
      </w:pPr>
    </w:p>
    <w:p>
      <w:pPr>
        <w:ind w:right="20"/>
        <w:spacing w:after="0" w:line="302" w:lineRule="auto"/>
        <w:rPr>
          <w:sz w:val="20"/>
          <w:szCs w:val="20"/>
          <w:color w:val="auto"/>
        </w:rPr>
      </w:pPr>
      <w:r>
        <w:rPr>
          <w:rFonts w:ascii="Arial" w:cs="Arial" w:eastAsia="Arial" w:hAnsi="Arial"/>
          <w:sz w:val="14"/>
          <w:szCs w:val="14"/>
          <w:color w:val="auto"/>
        </w:rPr>
        <w:t>In addition, competing clinical trials and clinicians’ and patients’ perceptions as to the potential advantages of the product candidate being studied in relation to other available therapies, including any new drugs or therapeutic biologics that may be approved for the indications we are investigating, could affect our ability to enroll a sufficient number of eligible patients in our clinical trials. There are currently several PD-1 and/or PD-L1 agents approved for a growing list of cancer types along with thousands of clinical trials exploring the use of PD-1 and PD-L1 agents. There can be no assurance that further trials with pacmilimab (CX-072) or our other drug candidates will not be adversely affected by a limited patient population. Our clinical trials of praluzatamab ravtansine and CX-2029 study patients who have one or a select number of specific tumor types rather than patients suffering from any cancer, which limits the rate of enrollment of the trial. In addition, some of our clinical trials seek to treat indications with small population sizes which could be particularly difficult to enroll. Our clinical trials of praluzatamab ravtansine and CX-2029 are also competing with thousands of clinical trials with alternative anti-cancer drugs in a similar class (e.g. antibody-drug conjugates), and certain arms of the clinical trials may be difficult to enroll due to the emerging standard of care for such indications in certain jurisdictions, including the United States. Any clinical trials of our product candidates initiated by our collaborators, including Bristol Myers Squibb’s ongoing Phase 2 clinical trial, face similar and additional risks relating to enrollment. We or our collaborators could also encounter delays in the development of any of our product candidates if prescribing physicians encounter unresolved ethical issues associated with enrolling patients in clinical trials of our product candidates in lieu of prescribing existing treatments that have established safety and efficacy profiles. Any delays relating to patient enrollment could cause significant delays in the timing of our or our collaborators’ clinical trials, which may materially and adversely affect our business, financial condition, results of operations and prospects.</w:t>
      </w:r>
    </w:p>
    <w:p>
      <w:pPr>
        <w:spacing w:after="0" w:line="200" w:lineRule="exact"/>
        <w:rPr>
          <w:sz w:val="20"/>
          <w:szCs w:val="20"/>
          <w:color w:val="auto"/>
        </w:rPr>
      </w:pPr>
    </w:p>
    <w:p>
      <w:pPr>
        <w:spacing w:after="0" w:line="246"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b w:val="1"/>
          <w:bCs w:val="1"/>
          <w:i w:val="1"/>
          <w:iCs w:val="1"/>
          <w:color w:val="auto"/>
        </w:rPr>
        <w:t>Our approach to the discovery and development of our therapeutic treatments is based on novel technologies that are unproven and may not result in marketable products.</w:t>
      </w:r>
    </w:p>
    <w:p>
      <w:pPr>
        <w:spacing w:after="0" w:line="72" w:lineRule="exact"/>
        <w:rPr>
          <w:sz w:val="20"/>
          <w:szCs w:val="20"/>
          <w:color w:val="auto"/>
        </w:rPr>
      </w:pPr>
    </w:p>
    <w:p>
      <w:pPr>
        <w:spacing w:after="0" w:line="314" w:lineRule="auto"/>
        <w:rPr>
          <w:sz w:val="20"/>
          <w:szCs w:val="20"/>
          <w:color w:val="auto"/>
        </w:rPr>
      </w:pPr>
      <w:r>
        <w:rPr>
          <w:rFonts w:ascii="Arial" w:cs="Arial" w:eastAsia="Arial" w:hAnsi="Arial"/>
          <w:sz w:val="14"/>
          <w:szCs w:val="14"/>
          <w:color w:val="auto"/>
        </w:rPr>
        <w:t>We plan to continue to develop a pipeline of product candidates using our proprietary Probody platform. We believe that product candidates (including cancer immunotherapies, conditionally activated ADCs and bispecific antibodies) identified with our product discovery platform may offer an improved therapeutic approach by taking advantage of unique conditions in the tumor microenvironment, thereby reducing the dose-limiting toxic effects associated with traditional antibody products, which can also attack healthy tissue. However, the scientific research that forms the basis of our efforts to develop product candidates based on our Probody platform is ongoing, including the research resulting from our ongoing clinical trials for praluzatamab ravtansine (CX-2009), CX-2029, and pacmilimab (CX-072).</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42" w:name="page43"/>
    <w:bookmarkEnd w:id="42"/>
    <w:p>
      <w:pPr>
        <w:spacing w:after="0" w:line="300" w:lineRule="auto"/>
        <w:rPr>
          <w:sz w:val="20"/>
          <w:szCs w:val="20"/>
          <w:color w:val="auto"/>
        </w:rPr>
      </w:pPr>
      <w:r>
        <w:rPr>
          <w:rFonts w:ascii="Arial" w:cs="Arial" w:eastAsia="Arial" w:hAnsi="Arial"/>
          <w:sz w:val="14"/>
          <w:szCs w:val="14"/>
          <w:color w:val="auto"/>
        </w:rPr>
        <w:t>We may ultimately discover that our Probody platform and any product candidates resulting from it do not possess certain properties required for therapeutic effectiveness or protection from toxicity. For example, when Probody therapeutics are administered to human subjects, protease levels in tumors may not be sufficient and the peptide mask may not be cleaved, which would limit the potential efficacy of the antibody. In addition, if the peptide mask is inappropriately released, for example, due to an inflammatory disease, it may reduce the potential to limit toxicity of the anti-cancer agent or result in unforeseen events when administered in humans. Binding of the peptide mask to the antigen-binding domain of the Probody may not be constant, which could lead to intermittent periods when the antigen-binding domain or antibody portion is unmasked. Furthermore, Probody product candidates may not remain stable in the human body for the period of time required for the drug to reach and to bind to the target tissue. In addition, product candidates based on our Probody platform may demonstrate different chemical and pharmacological properties in patients than they do in laboratory studies. Although our Probody platform and certain product candidates have demonstrated successful results in animal studies, they may not demonstrate the same chemical and pharmacological properties in humans and may interact with human biological systems in unforeseen, ineffective or harmful ways. Our understanding of the molecular pharmacology of Probody therapeutics, that is, the precise manner and sequence in which they are activated and behave in vivo, is incomplete. Probody therapeutics are complex biological molecules and we are evaluating the performance of this new technology in cancer patients for the first time. Many specific elements of Probody therapeutic function may contribute to their overall safety and efficacy profile including, but not limited to, the removal of only one mask from the dually-masked antibody, the removal of both masks from the dually-masked antibody, the binding strength of masks for the underlying antibody, and the binding strength of the underlying antibody for its target. We have limited structural evidence for how masks interact with antibodies. It may take many years before we develop a full understanding of Probody pharmacology, and we may never know precisely how they function in vivo. As with any new biologic or product developed on a novel platform, we have a limited understanding of the immunogenicity profile of Probody therapeutics. As a result, our Probody product candidates may trigger immune responses, such as anti-drug antibody (“ADA”), that may inhibit the ability of the antibody to reach the target tissue, inhibit the ability of the antibody to bind to its target, cause adverse side effects in humans or cause hypersensitivity reactions. For example, we reported in February</w:t>
      </w:r>
    </w:p>
    <w:p>
      <w:pPr>
        <w:spacing w:after="0" w:line="166"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2019 that in our pacmilimab trial at the 10 mg/kg dose, the ADA rate was approximately 62%. We do not believe the ADA rate is impacting our ability to reach targeted drug exposures. However, we cannot provide assurance that it will not later limit drug exposure or cause severe adverse events. Problems that are specific to our Probody platform may have an unfavorable impact on all of our product candidates. As a result, we may never succeed in developing a marketable product and we may never become profitable, which would cause the value of our common stock to decline.</w:t>
      </w:r>
    </w:p>
    <w:p>
      <w:pPr>
        <w:spacing w:after="0" w:line="184"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In addition, the scientific evidence to support the feasibility of developing product candidates against novel, difficult to drug targets, is both preliminary and limited. For example, our understanding of the expression of CD166 and CD71 in both healthy and diseased tissues is still developing. As a result, we cannot provide any assurance that we will be able to successfully identify and advance any product candidates to target novel, difficult-to-drug targets.</w:t>
      </w:r>
    </w:p>
    <w:p>
      <w:pPr>
        <w:spacing w:after="0" w:line="162" w:lineRule="exact"/>
        <w:rPr>
          <w:sz w:val="20"/>
          <w:szCs w:val="20"/>
          <w:color w:val="auto"/>
        </w:rPr>
      </w:pPr>
    </w:p>
    <w:p>
      <w:pPr>
        <w:ind w:right="60"/>
        <w:spacing w:after="0" w:line="302" w:lineRule="auto"/>
        <w:rPr>
          <w:sz w:val="20"/>
          <w:szCs w:val="20"/>
          <w:color w:val="auto"/>
        </w:rPr>
      </w:pPr>
      <w:r>
        <w:rPr>
          <w:rFonts w:ascii="Arial" w:cs="Arial" w:eastAsia="Arial" w:hAnsi="Arial"/>
          <w:sz w:val="14"/>
          <w:szCs w:val="14"/>
          <w:color w:val="auto"/>
        </w:rPr>
        <w:t>We believe the only clinical experience that the FDA and foreign regulatory authorities have with Probody-based therapeutics in oncology comes from praluzatamab ravtansine, CX-2029, BMS-986249, and pacmilimab. We believe that the FDA and foreign regulatory authorities, have no clinical experience in other disease areas, and such limited experience may increase the complexity, uncertainty and length of the regulatory approval process for our product candidates and may keep us from commencing first-in-human trials in certain countries. As there is limited historical precedent for the regulatory clearance of Probody-based therapeutics in oncology, there is a higher degree of risk that the FDA or other regulatory authorities could disagree that we or our collaborators have satisfied their requirements to commence clinical trials for some product candidates or disagree with our study designs, which may require us to complete additional preclinical studies or amend our protocols or impose stricter conditions on the commencement of clinical trials. In addition, local clinical practice in other countries may affect whether we or our collaborators are able to initiate a clinical trial there. As a result, we and our collaborators may never receive approval to market and commercialize any product candidate. Even if we or our collaborators obtain regulatory approval, the approval may be for targets, disease indications or patient populations that are not as broad as we or they intended or desired or may require labeling that includes significant use or distribution restrictions or safety warnings. We or our collaborators may be required to perform additional or unanticipated clinical trials to obtain approval or be subject to post-marketing testing requirements to maintain regulatory approval. If one or more of our product candidates or our Probody technology generally prove to be ineffective, unsafe or commercially unviable, our entire platform and pipeline may have little, if any, value, which would have a material and adverse effect on our business, financial condition, results of operations and prospects.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43" w:name="page44"/>
    <w:bookmarkEnd w:id="43"/>
    <w:p>
      <w:pPr>
        <w:ind w:right="380"/>
        <w:spacing w:after="0" w:line="261" w:lineRule="auto"/>
        <w:rPr>
          <w:sz w:val="20"/>
          <w:szCs w:val="20"/>
          <w:color w:val="auto"/>
        </w:rPr>
      </w:pPr>
      <w:r>
        <w:rPr>
          <w:rFonts w:ascii="Arial" w:cs="Arial" w:eastAsia="Arial" w:hAnsi="Arial"/>
          <w:sz w:val="17"/>
          <w:szCs w:val="17"/>
          <w:b w:val="1"/>
          <w:bCs w:val="1"/>
          <w:i w:val="1"/>
          <w:iCs w:val="1"/>
          <w:color w:val="auto"/>
        </w:rPr>
        <w:t>The market may not be receptive to our product candidates based on a novel therapeutic modality, and we may not generate any future revenue from the sale or licensing of product candidates.</w:t>
      </w:r>
    </w:p>
    <w:p>
      <w:pPr>
        <w:spacing w:after="0" w:line="72" w:lineRule="exact"/>
        <w:rPr>
          <w:sz w:val="20"/>
          <w:szCs w:val="20"/>
          <w:color w:val="auto"/>
        </w:rPr>
      </w:pPr>
    </w:p>
    <w:p>
      <w:pPr>
        <w:ind w:right="20"/>
        <w:spacing w:after="0" w:line="308" w:lineRule="auto"/>
        <w:rPr>
          <w:sz w:val="20"/>
          <w:szCs w:val="20"/>
          <w:color w:val="auto"/>
        </w:rPr>
      </w:pPr>
      <w:r>
        <w:rPr>
          <w:rFonts w:ascii="Arial" w:cs="Arial" w:eastAsia="Arial" w:hAnsi="Arial"/>
          <w:sz w:val="14"/>
          <w:szCs w:val="14"/>
          <w:color w:val="auto"/>
        </w:rPr>
        <w:t>Even if regulatory approval is obtained for a product candidate, we may not generate or sustain revenue from sales of the product due to factors such as whether the product can be sold at a competitive cost and whether it will otherwise be accepted in the market. The product candidates that we are developing are based on our Probody platform, which is a new technology and therapeutic approach. Market participants with significant influence over acceptance of new treatments, such as physicians and third-party payors, may not adopt a product or treatment based on our Probody platform and technologies, and we may not be able to convince the medical community and third-party payors to accept and use, or to provide favorable reimbursement for, any product candidates developed by us or our collaborators. This may be particularly true for any of our product candidates (including BMS-986249, BMS-986288, and pacmilimab [CX-072]) for which there are existing approved therapies, such as approved agents targeting PD-L1, PD-1, or CTLA-4. Market acceptance of our product candidates will depend on, among other factors:</w:t>
      </w:r>
    </w:p>
    <w:p>
      <w:pPr>
        <w:spacing w:after="0" w:line="44" w:lineRule="exact"/>
        <w:rPr>
          <w:sz w:val="20"/>
          <w:szCs w:val="20"/>
          <w:color w:val="auto"/>
        </w:rPr>
      </w:pPr>
    </w:p>
    <w:p>
      <w:pPr>
        <w:ind w:left="1020" w:hanging="512"/>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timing of our receipt of any marketing and commercialization approvals;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terms of any approvals and the countries in which approvals are obtained;</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safety and efficacy of our product candidates, including those being developed by our collaborators;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prevalence and severity of any adverse side effects associated with our product candidates;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limitations or warnings contained in any labeling approved by the FDA or other regulatory authority;</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availability of effective companion diagnostics;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relative convenience and ease of administration of our product candidates;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willingness of patients to accept any new methods of administration;</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success of our physician education programs;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availability of coverage and adequate reimbursement from government and third-party payors;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pricing of our products, particularly as compared to alternative treatments; and</w:t>
      </w:r>
    </w:p>
    <w:p>
      <w:pPr>
        <w:spacing w:after="0" w:line="102" w:lineRule="exact"/>
        <w:rPr>
          <w:rFonts w:ascii="Arial" w:cs="Arial" w:eastAsia="Arial" w:hAnsi="Arial"/>
          <w:sz w:val="17"/>
          <w:szCs w:val="17"/>
          <w:color w:val="auto"/>
        </w:rPr>
      </w:pPr>
    </w:p>
    <w:p>
      <w:pPr>
        <w:ind w:left="1020" w:hanging="512"/>
        <w:spacing w:after="0" w:line="261"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availability of alternative effective treatments for the disease indications our product candidates are intended to treat and the relative risks, benefits and costs of those treatments.</w:t>
      </w:r>
    </w:p>
    <w:p>
      <w:pPr>
        <w:spacing w:after="0" w:line="171"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If any product candidate we commercialize fails to achieve market acceptance, it could have a material and adverse effect on our business, financial condition, results of operations and prospects.</w:t>
      </w:r>
    </w:p>
    <w:p>
      <w:pPr>
        <w:spacing w:after="0" w:line="270" w:lineRule="exact"/>
        <w:rPr>
          <w:sz w:val="20"/>
          <w:szCs w:val="20"/>
          <w:color w:val="auto"/>
        </w:rPr>
      </w:pPr>
    </w:p>
    <w:p>
      <w:pPr>
        <w:jc w:val="both"/>
        <w:ind w:right="300"/>
        <w:spacing w:after="0" w:line="252" w:lineRule="auto"/>
        <w:rPr>
          <w:sz w:val="20"/>
          <w:szCs w:val="20"/>
          <w:color w:val="auto"/>
        </w:rPr>
      </w:pPr>
      <w:r>
        <w:rPr>
          <w:rFonts w:ascii="Arial" w:cs="Arial" w:eastAsia="Arial" w:hAnsi="Arial"/>
          <w:sz w:val="17"/>
          <w:szCs w:val="17"/>
          <w:b w:val="1"/>
          <w:bCs w:val="1"/>
          <w:i w:val="1"/>
          <w:iCs w:val="1"/>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80" w:lineRule="exact"/>
        <w:rPr>
          <w:sz w:val="20"/>
          <w:szCs w:val="20"/>
          <w:color w:val="auto"/>
        </w:rPr>
      </w:pPr>
    </w:p>
    <w:p>
      <w:pPr>
        <w:ind w:right="20"/>
        <w:spacing w:after="0" w:line="302" w:lineRule="auto"/>
        <w:rPr>
          <w:sz w:val="20"/>
          <w:szCs w:val="20"/>
          <w:color w:val="auto"/>
        </w:rPr>
      </w:pPr>
      <w:r>
        <w:rPr>
          <w:rFonts w:ascii="Arial" w:cs="Arial" w:eastAsia="Arial" w:hAnsi="Arial"/>
          <w:sz w:val="14"/>
          <w:szCs w:val="14"/>
          <w:color w:val="auto"/>
        </w:rPr>
        <w:t>Since 2013, we have entered into collaborations with AbbVie, Amgen, Astellas, Bristol Myers Squibb, ImmunoGen, Pfizer and others to develop certain Probody therapeutics. We may in the future seek third-party collaborators for development and commercialization of other therapeutic technologies or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whether such collaborations pursue the development of our product candidates or the amount and timing of resources that such collaborators dedicate to the development or commercialization of our product candidates. For instance, in March 2018, Pfizer terminated the collaboration agreement we had entered into with them in May 2013. Such collaboration agreement had entitled Pfizer to nominate up to four research targets and since 2013, we had collaborated with Pfizer on three of such targets. However, no program was ever advanced beyond the lead optimization stage pursuant to the agreement, and Pfizer had previously elected not to select a fourth target and had decided to discontinue its epidermal growth factor receptor conditionally activated ADC. In July 2017, ImmunoGen discontinued the preclinical evaluation of one of its two programs being developed under our collaboration and in December 2019, licensed the other program to us, terminating their license agreement from us. In addition, in January 2019, Bristol Myers Squibb terminated its programs for three targets it had selected under our agreement with them. As a result, there can be no assurances that any of the programs covered by our existing or future collaborations will be developed further. Further, our ability to generate revenues from our existing and future arrangements will depend on our collaborators’ abilities to successfully perform the functions assigned to them in these arrangements. Additionally, some of our collaborations may require us to share in certain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44" w:name="page45"/>
    <w:bookmarkEnd w:id="44"/>
    <w:p>
      <w:pPr>
        <w:ind w:right="20"/>
        <w:spacing w:after="0" w:line="261" w:lineRule="auto"/>
        <w:rPr>
          <w:sz w:val="20"/>
          <w:szCs w:val="20"/>
          <w:color w:val="auto"/>
        </w:rPr>
      </w:pPr>
      <w:r>
        <w:rPr>
          <w:rFonts w:ascii="Arial" w:cs="Arial" w:eastAsia="Arial" w:hAnsi="Arial"/>
          <w:sz w:val="17"/>
          <w:szCs w:val="17"/>
          <w:color w:val="auto"/>
        </w:rPr>
        <w:t>development and commercialization expenses. If we cannot afford to share such expenses when required, our rights under such collaborations may be adversely affected, including potentially that our collaborators may terminate the relevant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Overall, collaborations involving our product candidates currently pose, and will continue to pose, the following risks to us:</w:t>
      </w:r>
    </w:p>
    <w:p>
      <w:pPr>
        <w:spacing w:after="0" w:line="103" w:lineRule="exact"/>
        <w:rPr>
          <w:sz w:val="20"/>
          <w:szCs w:val="20"/>
          <w:color w:val="auto"/>
        </w:rPr>
      </w:pPr>
    </w:p>
    <w:p>
      <w:pPr>
        <w:ind w:left="1020" w:right="540" w:hanging="512"/>
        <w:spacing w:after="0" w:line="261"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collaborators have significant discretion in determining the amount and timing of efforts and resources that they will apply to these collaborations, including, with respect to Bristol Myers Squibb, BMS-986249 and BMS-986288;</w:t>
      </w:r>
    </w:p>
    <w:p>
      <w:pPr>
        <w:spacing w:after="0" w:line="71" w:lineRule="exact"/>
        <w:rPr>
          <w:rFonts w:ascii="Arial" w:cs="Arial" w:eastAsia="Arial" w:hAnsi="Arial"/>
          <w:sz w:val="17"/>
          <w:szCs w:val="17"/>
          <w:color w:val="auto"/>
        </w:rPr>
      </w:pPr>
    </w:p>
    <w:p>
      <w:pPr>
        <w:ind w:left="1020" w:right="40" w:hanging="512"/>
        <w:spacing w:after="0" w:line="252"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or available funding or resources, or external factors such as an acquisition that diverts resources or creates competing priorities;</w:t>
      </w:r>
    </w:p>
    <w:p>
      <w:pPr>
        <w:spacing w:after="0" w:line="79" w:lineRule="exact"/>
        <w:rPr>
          <w:rFonts w:ascii="Arial" w:cs="Arial" w:eastAsia="Arial" w:hAnsi="Arial"/>
          <w:sz w:val="17"/>
          <w:szCs w:val="17"/>
          <w:color w:val="auto"/>
        </w:rPr>
      </w:pPr>
    </w:p>
    <w:p>
      <w:pPr>
        <w:ind w:left="1020" w:right="260" w:hanging="512"/>
        <w:spacing w:after="0" w:line="252"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collaborators have significant discretion in designing any clinical trials they operate pursuant to our collaboration agreements, including Bristol Myers Squibb’s ongoing Phase 2 cohort expansion of BMS-986249 and its Phase 1/2 clinical trial of BMS-986288, and may release data from such clinical trials, including with respect to our Probody therapeutics, without consulting us;</w:t>
      </w:r>
    </w:p>
    <w:p>
      <w:pPr>
        <w:spacing w:after="0" w:line="79" w:lineRule="exact"/>
        <w:rPr>
          <w:rFonts w:ascii="Arial" w:cs="Arial" w:eastAsia="Arial" w:hAnsi="Arial"/>
          <w:sz w:val="17"/>
          <w:szCs w:val="17"/>
          <w:color w:val="auto"/>
        </w:rPr>
      </w:pPr>
    </w:p>
    <w:p>
      <w:pPr>
        <w:ind w:left="1020" w:right="100" w:hanging="512"/>
        <w:spacing w:after="0" w:line="252"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and are not necessarily required to give us information about their clinical data;</w:t>
      </w:r>
    </w:p>
    <w:p>
      <w:pPr>
        <w:spacing w:after="0" w:line="79" w:lineRule="exact"/>
        <w:rPr>
          <w:rFonts w:ascii="Arial" w:cs="Arial" w:eastAsia="Arial" w:hAnsi="Arial"/>
          <w:sz w:val="17"/>
          <w:szCs w:val="17"/>
          <w:color w:val="auto"/>
        </w:rPr>
      </w:pPr>
    </w:p>
    <w:p>
      <w:pPr>
        <w:ind w:left="1020" w:right="380" w:hanging="512"/>
        <w:spacing w:after="0" w:line="252"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collaborators may independently develop, or develop with third parties, products that compete directly or indirectly with our product candidate if the collaborators believe that competitive products are more likely to be successfully developed or can be commercialized under terms that are more economically attractive than ours;</w:t>
      </w:r>
    </w:p>
    <w:p>
      <w:pPr>
        <w:spacing w:after="0" w:line="79" w:lineRule="exact"/>
        <w:rPr>
          <w:rFonts w:ascii="Arial" w:cs="Arial" w:eastAsia="Arial" w:hAnsi="Arial"/>
          <w:sz w:val="17"/>
          <w:szCs w:val="17"/>
          <w:color w:val="auto"/>
        </w:rPr>
      </w:pPr>
    </w:p>
    <w:p>
      <w:pPr>
        <w:ind w:left="1020" w:hanging="512"/>
        <w:spacing w:after="0" w:line="261"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collaborators with marketing and distribution rights to one or more products may not commit sufficient resources to the marketing and distribution of such product or products;</w:t>
      </w:r>
    </w:p>
    <w:p>
      <w:pPr>
        <w:spacing w:after="0" w:line="71" w:lineRule="exact"/>
        <w:rPr>
          <w:rFonts w:ascii="Arial" w:cs="Arial" w:eastAsia="Arial" w:hAnsi="Arial"/>
          <w:sz w:val="17"/>
          <w:szCs w:val="17"/>
          <w:color w:val="auto"/>
        </w:rPr>
      </w:pPr>
    </w:p>
    <w:p>
      <w:pPr>
        <w:ind w:left="1020" w:right="480" w:hanging="512"/>
        <w:spacing w:after="0" w:line="368" w:lineRule="auto"/>
        <w:tabs>
          <w:tab w:leader="none" w:pos="10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w:t>
      </w:r>
    </w:p>
    <w:p>
      <w:pPr>
        <w:spacing w:after="0" w:line="2" w:lineRule="exact"/>
        <w:rPr>
          <w:rFonts w:ascii="Arial" w:cs="Arial" w:eastAsia="Arial" w:hAnsi="Arial"/>
          <w:sz w:val="14"/>
          <w:szCs w:val="14"/>
          <w:color w:val="auto"/>
        </w:rPr>
      </w:pPr>
    </w:p>
    <w:p>
      <w:pPr>
        <w:ind w:left="1020" w:right="380" w:hanging="512"/>
        <w:spacing w:after="0" w:line="261"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collaborators may infringe, misappropriate or otherwise violate the intellectual property rights of third parties, which may expose us to litigation and potential liability;</w:t>
      </w:r>
    </w:p>
    <w:p>
      <w:pPr>
        <w:spacing w:after="0" w:line="71" w:lineRule="exact"/>
        <w:rPr>
          <w:rFonts w:ascii="Arial" w:cs="Arial" w:eastAsia="Arial" w:hAnsi="Arial"/>
          <w:sz w:val="17"/>
          <w:szCs w:val="17"/>
          <w:color w:val="auto"/>
        </w:rPr>
      </w:pPr>
    </w:p>
    <w:p>
      <w:pPr>
        <w:ind w:left="1020" w:right="440" w:hanging="512"/>
        <w:spacing w:after="0" w:line="368" w:lineRule="auto"/>
        <w:tabs>
          <w:tab w:leader="none" w:pos="10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 and</w:t>
      </w:r>
    </w:p>
    <w:p>
      <w:pPr>
        <w:spacing w:after="0" w:line="2" w:lineRule="exact"/>
        <w:rPr>
          <w:rFonts w:ascii="Arial" w:cs="Arial" w:eastAsia="Arial" w:hAnsi="Arial"/>
          <w:sz w:val="14"/>
          <w:szCs w:val="14"/>
          <w:color w:val="auto"/>
        </w:rPr>
      </w:pPr>
    </w:p>
    <w:p>
      <w:pPr>
        <w:ind w:left="1020" w:right="40" w:hanging="512"/>
        <w:spacing w:after="0" w:line="261"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collaborations may be terminated and, if terminated, may result in a need for additional capital to pursue further development or commercialization of the applicable product candidates.</w:t>
      </w:r>
    </w:p>
    <w:p>
      <w:pPr>
        <w:spacing w:after="0" w:line="171"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As a result of the foregoing, our current and any future collaboration agreements may not lead to development or commercialization of our product candidates in the most efficient manner or at all and may not result in the realization of the benefits we expected to achieve upon our entry into such agreements.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281" w:lineRule="exact"/>
        <w:rPr>
          <w:sz w:val="20"/>
          <w:szCs w:val="20"/>
          <w:color w:val="auto"/>
        </w:rPr>
      </w:pPr>
    </w:p>
    <w:p>
      <w:pPr>
        <w:ind w:right="300"/>
        <w:spacing w:after="0" w:line="368" w:lineRule="auto"/>
        <w:rPr>
          <w:sz w:val="20"/>
          <w:szCs w:val="20"/>
          <w:color w:val="auto"/>
        </w:rPr>
      </w:pPr>
      <w:r>
        <w:rPr>
          <w:rFonts w:ascii="Arial" w:cs="Arial" w:eastAsia="Arial" w:hAnsi="Arial"/>
          <w:sz w:val="14"/>
          <w:szCs w:val="14"/>
          <w:b w:val="1"/>
          <w:bCs w:val="1"/>
          <w:i w:val="1"/>
          <w:iCs w:val="1"/>
          <w:color w:val="auto"/>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spacing w:after="0" w:line="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Substantially all of our revenue to date has been derived from our existing collaboration agreements, including, most recently, the agreement that we entered into with Astellas in March 2020, and a significant portion of our future revenue and cash resources is expected to be derived from these agreements or other similar agreements we may enter into in the future. Revenue from research and development collaborations depend upon continuation of the collaborations, reimbursement of development costs, the achievement of milestones and royalties, if any, derived from future products developed from our research. If our development partners do not select additional targets and we are unable to successfully advance the development of our product candidates or achieve milestones, revenue and cash resources from milestone payments under our collaboration agreements will be substantially less than expected.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45" w:name="page46"/>
    <w:bookmarkEnd w:id="45"/>
    <w:p>
      <w:pPr>
        <w:spacing w:after="0" w:line="263" w:lineRule="auto"/>
        <w:rPr>
          <w:sz w:val="20"/>
          <w:szCs w:val="20"/>
          <w:color w:val="auto"/>
        </w:rPr>
      </w:pPr>
      <w:r>
        <w:rPr>
          <w:rFonts w:ascii="Arial" w:cs="Arial" w:eastAsia="Arial" w:hAnsi="Arial"/>
          <w:sz w:val="16"/>
          <w:szCs w:val="16"/>
          <w:color w:val="auto"/>
        </w:rPr>
        <w:t>In addition, to the extent that any of our collaborators were to terminate a collaboration agreement, we may decide to independently develop these product candidates to the extent we retain development rights. Such development could include funding preclinical or clinical trials, assuming marketing and distribution costs and defending intellectual property rights. Alternatively, in certain instances, we may choose to abandon product candidates altogether. For instance, in March 2018, Pfizer terminated our 2013 collaboration agreement with them, and in January 2019, Bristol Myers Squibb terminated its programs for three targets that it had selected under our agreement with them. The termination of any of our collaboration agreements or individual programs within a collaboration agreement could result in a change to our business plan and may have a material adverse effect on our business, financial condition, results of operations and prospects. If a collaboration is terminated, we would not be eligible to receive the milestone, royalty or other payments that would have been payable under the collaboration agreement. For example, as a result of ImmunoGen’s decision to out-license the EpCAM program and our licensing of the program from them in 2019, their license for the program from us ended and we will not receive milestone or other payments from them.</w:t>
      </w:r>
    </w:p>
    <w:p>
      <w:pPr>
        <w:spacing w:after="0" w:line="271" w:lineRule="exact"/>
        <w:rPr>
          <w:sz w:val="20"/>
          <w:szCs w:val="20"/>
          <w:color w:val="auto"/>
        </w:rPr>
      </w:pPr>
    </w:p>
    <w:p>
      <w:pPr>
        <w:ind w:right="480"/>
        <w:spacing w:after="0" w:line="261" w:lineRule="auto"/>
        <w:rPr>
          <w:sz w:val="20"/>
          <w:szCs w:val="20"/>
          <w:color w:val="auto"/>
        </w:rPr>
      </w:pPr>
      <w:r>
        <w:rPr>
          <w:rFonts w:ascii="Arial" w:cs="Arial" w:eastAsia="Arial" w:hAnsi="Arial"/>
          <w:sz w:val="17"/>
          <w:szCs w:val="17"/>
          <w:b w:val="1"/>
          <w:bCs w:val="1"/>
          <w:i w:val="1"/>
          <w:iCs w:val="1"/>
          <w:color w:val="auto"/>
        </w:rPr>
        <w:t>If we do not achieve our projected development and commercialization goals in the timeframes we announce and expect, the commercialization of any of our product candidates may be delayed, and our business will be harmed.</w:t>
      </w:r>
    </w:p>
    <w:p>
      <w:pPr>
        <w:spacing w:after="0" w:line="72"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72" w:lineRule="exact"/>
        <w:rPr>
          <w:sz w:val="20"/>
          <w:szCs w:val="20"/>
          <w:color w:val="auto"/>
        </w:rPr>
      </w:pPr>
    </w:p>
    <w:p>
      <w:pPr>
        <w:ind w:left="1020" w:hanging="512"/>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available capital resources or capital constraints we experience;</w:t>
      </w:r>
    </w:p>
    <w:p>
      <w:pPr>
        <w:spacing w:after="0" w:line="102" w:lineRule="exact"/>
        <w:rPr>
          <w:rFonts w:ascii="Arial" w:cs="Arial" w:eastAsia="Arial" w:hAnsi="Arial"/>
          <w:sz w:val="17"/>
          <w:szCs w:val="17"/>
          <w:color w:val="auto"/>
        </w:rPr>
      </w:pPr>
    </w:p>
    <w:p>
      <w:pPr>
        <w:ind w:left="1020" w:right="420" w:hanging="512"/>
        <w:spacing w:after="0" w:line="261"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rate of progress, costs and results of our clinical trials and research and development activities, including the extent of scheduling conflicts with participating clinicians and collaborators;</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identify and enroll patients who meet clinical trial eligibility criteria;</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receipt of approvals by the FDA and other regulatory authorities and the timing thereof;</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other actions, decisions or rules issued by regulators;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access sufficient, reliable and affordable supplies of materials used in the manufacture of our product candidates;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manufacture and supply clinical trial materials to our clinical sites on a timely basis;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efforts of our collaborators with respect to the commercialization of our products; and</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securing of, costs related to, and timing issues associated with, product manufacturing as well as sales and marketing activities.</w:t>
      </w:r>
    </w:p>
    <w:p>
      <w:pPr>
        <w:spacing w:after="0" w:line="202" w:lineRule="exact"/>
        <w:rPr>
          <w:sz w:val="20"/>
          <w:szCs w:val="20"/>
          <w:color w:val="auto"/>
        </w:rPr>
      </w:pPr>
    </w:p>
    <w:p>
      <w:pPr>
        <w:ind w:right="140"/>
        <w:spacing w:after="0" w:line="332" w:lineRule="auto"/>
        <w:rPr>
          <w:sz w:val="20"/>
          <w:szCs w:val="20"/>
          <w:color w:val="auto"/>
        </w:rPr>
      </w:pPr>
      <w:r>
        <w:rPr>
          <w:rFonts w:ascii="Arial" w:cs="Arial" w:eastAsia="Arial" w:hAnsi="Arial"/>
          <w:sz w:val="14"/>
          <w:szCs w:val="14"/>
          <w:color w:val="auto"/>
        </w:rPr>
        <w:t>For example, in March 2020, we announced the temporary pause in new patient enrollment and new site activation in our Phase 2 clinical trial of praluzatamab ravtansine (CX-2009) as a result of the COVID-19 pandemic and the termination of the Phase 2 clinical trial of pacmilimab (CX-072) in combination with ipilimumab after a re-evaluation of the evolving clinical, competitive and commercial landscapes in immuno-oncology, taken together with impact of the COVID-19 pandemic.</w:t>
      </w:r>
    </w:p>
    <w:p>
      <w:pPr>
        <w:spacing w:after="0" w:line="127"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If we fail to achieve announced milestones in the timeframes we expect, the commercialization of any of our product candidates may be delayed, and our business and results of operations may be harmed.</w:t>
      </w:r>
    </w:p>
    <w:p>
      <w:pPr>
        <w:spacing w:after="0" w:line="270" w:lineRule="exact"/>
        <w:rPr>
          <w:sz w:val="20"/>
          <w:szCs w:val="20"/>
          <w:color w:val="auto"/>
        </w:rPr>
      </w:pPr>
    </w:p>
    <w:p>
      <w:pPr>
        <w:ind w:right="200"/>
        <w:spacing w:after="0" w:line="368" w:lineRule="auto"/>
        <w:rPr>
          <w:sz w:val="20"/>
          <w:szCs w:val="20"/>
          <w:color w:val="auto"/>
        </w:rPr>
      </w:pPr>
      <w:r>
        <w:rPr>
          <w:rFonts w:ascii="Arial" w:cs="Arial" w:eastAsia="Arial" w:hAnsi="Arial"/>
          <w:sz w:val="14"/>
          <w:szCs w:val="14"/>
          <w:b w:val="1"/>
          <w:bCs w:val="1"/>
          <w:i w:val="1"/>
          <w:iCs w:val="1"/>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3"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Since commencing operations, we have entered into several collaboration agreements, including the agreement that we entered into with Astellas in March 2020. From time to time, we may consider strategic transactions, such as additional collaborations, acquisitions of companies, asset purchases and out- or in-licensing of product candidates or technologies. In particular, we will evaluate and, if strategically attractive, seek to enter into additional collaborations, including with major biotechnology or biopharmaceutical companies. The competition for collaborators is intense, and the negotiation process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80"/>
          </w:cols>
          <w:pgMar w:left="320" w:top="524" w:right="399" w:bottom="1440" w:gutter="0" w:footer="0" w:header="0"/>
        </w:sectPr>
      </w:pPr>
    </w:p>
    <w:bookmarkStart w:id="46" w:name="page47"/>
    <w:bookmarkEnd w:id="46"/>
    <w:p>
      <w:pPr>
        <w:ind w:right="20"/>
        <w:spacing w:after="0" w:line="303" w:lineRule="auto"/>
        <w:rPr>
          <w:sz w:val="20"/>
          <w:szCs w:val="20"/>
          <w:color w:val="auto"/>
        </w:rPr>
      </w:pPr>
      <w:r>
        <w:rPr>
          <w:rFonts w:ascii="Arial" w:cs="Arial" w:eastAsia="Arial" w:hAnsi="Arial"/>
          <w:sz w:val="14"/>
          <w:szCs w:val="14"/>
          <w:color w:val="auto"/>
        </w:rPr>
        <w:t>collaborator terminates the collaboration. Any such collaboration, or other strategic transaction, may require us to incur non-recurring or other charges, increase our near-and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and adverse effect on our business, financial condition, results of operations and prospects. The termination by a collaborator of a collaboration may cause a decrease in the price of our stock. Conversely, any failure to enter any additional collaboration or other strategic transaction that would be beneficial to us could delay the development and potential commercialization of our product candidates and have a negative impact on the competitiveness of any product candidate that reaches market.</w:t>
      </w:r>
    </w:p>
    <w:p>
      <w:pPr>
        <w:spacing w:after="0" w:line="200" w:lineRule="exact"/>
        <w:rPr>
          <w:sz w:val="20"/>
          <w:szCs w:val="20"/>
          <w:color w:val="auto"/>
        </w:rPr>
      </w:pPr>
    </w:p>
    <w:p>
      <w:pPr>
        <w:spacing w:after="0" w:line="246" w:lineRule="exact"/>
        <w:rPr>
          <w:sz w:val="20"/>
          <w:szCs w:val="20"/>
          <w:color w:val="auto"/>
        </w:rPr>
      </w:pPr>
    </w:p>
    <w:p>
      <w:pPr>
        <w:ind w:right="220"/>
        <w:spacing w:after="0" w:line="261" w:lineRule="auto"/>
        <w:rPr>
          <w:sz w:val="20"/>
          <w:szCs w:val="20"/>
          <w:color w:val="auto"/>
        </w:rPr>
      </w:pPr>
      <w:r>
        <w:rPr>
          <w:rFonts w:ascii="Arial" w:cs="Arial" w:eastAsia="Arial" w:hAnsi="Arial"/>
          <w:sz w:val="17"/>
          <w:szCs w:val="17"/>
          <w:b w:val="1"/>
          <w:bCs w:val="1"/>
          <w:i w:val="1"/>
          <w:iCs w:val="1"/>
          <w:color w:val="auto"/>
        </w:rPr>
        <w:t>If we are unable to successfully develop companion diagnostic tests for certain of our product candidates, or experience significant delays in doing so, we may not realize the full commercial potential of our product candidates.</w:t>
      </w:r>
    </w:p>
    <w:p>
      <w:pPr>
        <w:spacing w:after="0" w:line="72"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Because we are focused on precision medicine, in which predictive biomarkers will be used to identify the right patients for our product candidates, we believe that our success may depend, in part, on the development of companion diagnostic tests. To successfully develop a companion diagnostic test, we would need to address a number of scientific, technical and logistical challenges. However, we have little experience in the development of companion diagnostic tests and may not be successful in developing appropriate tests to pair with any of our product candidates. Companion diagnostic tests are subject to regulation by the FDA and similar regulatory authorities outside the United States as medical devices and require separate regulatory approval prior to commercialization. Given our limited experience in developing companion diagnostic tests, we could seek to rely on third parties to design, manufacture, obtain regulatory approval for any companion diagnostic tests for our product candidates. However, we and such collaborators may encounter difficulties in developing and obtaining approval for the companion diagnostic tests, including issues relating to selectivity/specificity, analytical validation, reproducibility, or clinical validation. Any delay or failure by us or our collaborators to develop or obtain regulatory approval of the companion diagnostic tests could delay or prevent approval of our product candidates. As a result, our business would be harmed, possibly materially.</w:t>
      </w:r>
    </w:p>
    <w:p>
      <w:pPr>
        <w:spacing w:after="0" w:line="276" w:lineRule="exact"/>
        <w:rPr>
          <w:sz w:val="20"/>
          <w:szCs w:val="20"/>
          <w:color w:val="auto"/>
        </w:rPr>
      </w:pPr>
    </w:p>
    <w:p>
      <w:pPr>
        <w:jc w:val="both"/>
        <w:ind w:right="380"/>
        <w:spacing w:after="0" w:line="332" w:lineRule="auto"/>
        <w:rPr>
          <w:sz w:val="20"/>
          <w:szCs w:val="20"/>
          <w:color w:val="auto"/>
        </w:rPr>
      </w:pPr>
      <w:r>
        <w:rPr>
          <w:rFonts w:ascii="Arial" w:cs="Arial" w:eastAsia="Arial" w:hAnsi="Arial"/>
          <w:sz w:val="14"/>
          <w:szCs w:val="14"/>
          <w:b w:val="1"/>
          <w:bCs w:val="1"/>
          <w:i w:val="1"/>
          <w:iCs w:val="1"/>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27"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We do not have the ability to independently conduct clinical trials. As such, we currently rely and intend to continue to rely on third-party clinical investigators, CROs, clinical data management organizations and consultants to help us design, conduct, supervise and monitor clinical trials of our product candidates. As a result, we will have less control over the timing, quality and other aspects of our clinical trials than we would have had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with which we contract might not be diligent, careful or timely in conducting our preclinical studies or clinical trials, resulting in the preclinical studies or clinical trials being delayed or unsuccessful. Furthermore, our third-party contractors, including CROs are being and may continue to be impacted in their ability to conduct our work as a result of the COVID-19 pandemic.</w:t>
      </w:r>
    </w:p>
    <w:p>
      <w:pPr>
        <w:spacing w:after="0" w:line="175" w:lineRule="exact"/>
        <w:rPr>
          <w:sz w:val="20"/>
          <w:szCs w:val="20"/>
          <w:color w:val="auto"/>
        </w:rPr>
      </w:pPr>
    </w:p>
    <w:p>
      <w:pPr>
        <w:ind w:right="20"/>
        <w:spacing w:after="0" w:line="306" w:lineRule="auto"/>
        <w:rPr>
          <w:sz w:val="20"/>
          <w:szCs w:val="20"/>
          <w:color w:val="auto"/>
        </w:rPr>
      </w:pPr>
      <w:r>
        <w:rPr>
          <w:rFonts w:ascii="Arial" w:cs="Arial" w:eastAsia="Arial" w:hAnsi="Arial"/>
          <w:sz w:val="14"/>
          <w:szCs w:val="14"/>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will be responsible for ensuring that each of our preclinical studies and clinical trials are conducted in accordance with the general investigational plan and protocols for the trial. The FDA requires preclinical studies to be conducted in accordance with good laboratory practices (“GLPs”) and clinical trials to be conducted in accordance with good clinical practices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will not relieve us of these responsibilities and requirements. Any adverse development or delay in our clinical trials could have a material and adverse effect on our business, financial condition, results of operations and prospects.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47" w:name="page48"/>
    <w:bookmarkEnd w:id="47"/>
    <w:p>
      <w:pPr>
        <w:ind w:right="20"/>
        <w:spacing w:after="0" w:line="261" w:lineRule="auto"/>
        <w:rPr>
          <w:sz w:val="20"/>
          <w:szCs w:val="20"/>
          <w:color w:val="auto"/>
        </w:rPr>
      </w:pPr>
      <w:r>
        <w:rPr>
          <w:rFonts w:ascii="Arial" w:cs="Arial" w:eastAsia="Arial" w:hAnsi="Arial"/>
          <w:sz w:val="17"/>
          <w:szCs w:val="17"/>
          <w:b w:val="1"/>
          <w:bCs w:val="1"/>
          <w:i w:val="1"/>
          <w:iCs w:val="1"/>
          <w:color w:val="auto"/>
        </w:rPr>
        <w:t>We are currently conducting and will continue to conduct clinical trials and will contract with third-party manufacturers in foreign countries, which could expose us to risks that could have a material adverse effect on the success of our business.</w:t>
      </w:r>
    </w:p>
    <w:p>
      <w:pPr>
        <w:spacing w:after="0" w:line="72" w:lineRule="exact"/>
        <w:rPr>
          <w:sz w:val="20"/>
          <w:szCs w:val="20"/>
          <w:color w:val="auto"/>
        </w:rPr>
      </w:pPr>
    </w:p>
    <w:p>
      <w:pPr>
        <w:ind w:right="80"/>
        <w:spacing w:after="0" w:line="302" w:lineRule="auto"/>
        <w:rPr>
          <w:sz w:val="20"/>
          <w:szCs w:val="20"/>
          <w:color w:val="auto"/>
        </w:rPr>
      </w:pPr>
      <w:r>
        <w:rPr>
          <w:rFonts w:ascii="Arial" w:cs="Arial" w:eastAsia="Arial" w:hAnsi="Arial"/>
          <w:sz w:val="14"/>
          <w:szCs w:val="14"/>
          <w:color w:val="auto"/>
        </w:rPr>
        <w:t>We have enrolled or are planning to enroll patients in our clinical trials outside the United States, including in Europe, Australia and South Korea. Although the FDA may accept data from clinical trials conducted outside the United States, acceptance of this data is subject to certain conditions imposed by the FDA. For example, such clinical trials must be conducted in accordance with GCPs, and the FDA must be able to validate the data through an on-site inspection if deemed necessary. Conducting clinical trials outside the United States also exposes us to additional risks, including risks associated with additional foreign regulatory requirements; foreign exchange fluctuations; patient monitoring and compliance; compliance with foreign manufacturing, customs, shipment and storage requirements; the severity of the COVID-19 pandemic in such jurisdictions; and cultural differences in medical practice and clinical research. We are also subject to risks associated with doing business globally, including commercial, political, and financial risks. In addition, we are subject to potential disruption caused by military conflicts; potentially unstable governments or legal systems; civil or political upheaval or unrest; local labor policies and conditions; possible expropriation, nationalization, or confiscation of assets; problems with repatriation of foreign earnings; economic or trade sanctions; closure of markets to imports; anti-American sentiment; terrorism or other types of violence in or outside the United States; health pandemics; and a significant reduction in global travel. For example, pandemics and public health emergencies, such as the COVID-19 pandemic, have disrupted and delayed and could in the future disrupt or delay enrollment in our clinical trials in Europe, South Korea and elsewhere. Our success will depend, in part, on our ability to overcome the challenges we encounter with respect to these risks and other factors affecting U.S. companies with global operations. If our global clinical trials or foreign third-party suppliers were to experience significant disruption due to these risks or for other reasons, it could have a material adverse effect on our business, financial condition, results of operations and prospects.</w:t>
      </w:r>
    </w:p>
    <w:p>
      <w:pPr>
        <w:spacing w:after="0" w:line="200" w:lineRule="exact"/>
        <w:rPr>
          <w:sz w:val="20"/>
          <w:szCs w:val="20"/>
          <w:color w:val="auto"/>
        </w:rPr>
      </w:pPr>
    </w:p>
    <w:p>
      <w:pPr>
        <w:spacing w:after="0" w:line="246" w:lineRule="exact"/>
        <w:rPr>
          <w:sz w:val="20"/>
          <w:szCs w:val="20"/>
          <w:color w:val="auto"/>
        </w:rPr>
      </w:pPr>
    </w:p>
    <w:p>
      <w:pPr>
        <w:ind w:right="360"/>
        <w:spacing w:after="0" w:line="368" w:lineRule="auto"/>
        <w:rPr>
          <w:sz w:val="20"/>
          <w:szCs w:val="20"/>
          <w:color w:val="auto"/>
        </w:rPr>
      </w:pPr>
      <w:r>
        <w:rPr>
          <w:rFonts w:ascii="Arial" w:cs="Arial" w:eastAsia="Arial" w:hAnsi="Arial"/>
          <w:sz w:val="14"/>
          <w:szCs w:val="14"/>
          <w:b w:val="1"/>
          <w:bCs w:val="1"/>
          <w:i w:val="1"/>
          <w:iCs w:val="1"/>
          <w:color w:val="auto"/>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3" w:lineRule="exact"/>
        <w:rPr>
          <w:sz w:val="20"/>
          <w:szCs w:val="20"/>
          <w:color w:val="auto"/>
        </w:rPr>
      </w:pPr>
    </w:p>
    <w:p>
      <w:pPr>
        <w:spacing w:after="0" w:line="300" w:lineRule="auto"/>
        <w:rPr>
          <w:sz w:val="20"/>
          <w:szCs w:val="20"/>
          <w:color w:val="auto"/>
        </w:rPr>
      </w:pPr>
      <w:r>
        <w:rPr>
          <w:rFonts w:ascii="Arial" w:cs="Arial" w:eastAsia="Arial" w:hAnsi="Arial"/>
          <w:sz w:val="14"/>
          <w:szCs w:val="14"/>
          <w:color w:val="auto"/>
        </w:rPr>
        <w:t>We rely on third-party contract manufacturers to manufacture our clinical trial and preclinical study product supplies which, in addition to having other issues, could be adversely impacted by the COVID-19 pandemic. Most of our clinical trial manufacturing contractors and suppliers are our sole source for their respective manufacturing and supplies. Failure of any of these contractors could put our ability to have clinical trial material available when needed. This could result in a substantial delay of our clinical trials. For each of praluzatamab ravtansine (CX-2009), CX-2029, and pacmilimab (CX-072), our manufacturing supply chain includes several contract manufacturers, and failure by any of these manufacturers could result in interruptions of our clinical studies. For example, in November 2019, one of our contract manufacturers that manufactures pacmilimab experienced a production failure. If we had not been able to assure sufficient supplies of clinical trial drug product after the production failure, we may have been required to suspend any ongoing trials and postpone future trials. Although we have taken sufficient steps to assure our current supply of pacmilimab clinical trial drug product for our ongoing clinical trial and planned clinical trials, there can be no assurance that we will not have future production failures, which could affect our ability to conduct our trials for praluzatamab ravtansine, CX-2029, pacmilimab or any other clinical trial drug candidates on our planned timeline or at all. We do not own manufacturing facilities for producing such supplies and do not have any long-term contracts and we do not currently have an alternative to any of our third-party contract manufacturers.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 encounter issues with transferring technology to a new third-party manufacturer, and we may encounter regulatory delays if we need to move the manufacturing of our products from one third-party manufacturer to another. For example, we were dependent on ImmunoGen under our collaboration for certain steps in the manufacturing of clinical quantities of praluzatamab ravtansine. At the end of 2018, ImmunoGen closed their clinical manufacturing facility in Norwood, MA. This site provided clinical manufacturing support for the praluzatamab ravtansine program. We completed transfer of the drug substance manufacturing process from ImmunoGen to a CMO, where we have an existing relationship and which has expertise in the manufacture of antibody-drug conjugates at a clinical and commercial scale. While the manufacturing transfer process has been completed, there can be no assurance that we will not experience a disruption in the supply of praluzatamab ravtansine as a result of such transfer or that we will not experience any other disruption in the manufacture of praluzatamab ravtansine.</w:t>
      </w:r>
    </w:p>
    <w:p>
      <w:pPr>
        <w:spacing w:after="0" w:line="34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Practices (“cGMPs”). In the event that any of our manufacturers fails to comply with such requirements or to perform its obligations to us in relation to quality, timing or otherwise, such as the pacmilimab manufacturing production failure our contract manufacturer experienced in November 2019, or if our supply of components or other materials becomes limited or interrupted for other reasons, such as one of our manufacturers going out of business, we may be forced to manufacture the materials ourselves, for which we currently do not have the capabilities or resources, or enter into an agreement with another third party, which we may not be able to do on reasonable terms, if at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48" w:name="page49"/>
    <w:bookmarkEnd w:id="48"/>
    <w:p>
      <w:pPr>
        <w:ind w:right="40"/>
        <w:spacing w:after="0" w:line="265" w:lineRule="auto"/>
        <w:rPr>
          <w:sz w:val="20"/>
          <w:szCs w:val="20"/>
          <w:color w:val="auto"/>
        </w:rPr>
      </w:pPr>
      <w:r>
        <w:rPr>
          <w:rFonts w:ascii="Arial" w:cs="Arial" w:eastAsia="Arial" w:hAnsi="Arial"/>
          <w:sz w:val="16"/>
          <w:szCs w:val="16"/>
          <w:color w:val="auto"/>
        </w:rPr>
        <w:t>all.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72" w:lineRule="exact"/>
        <w:rPr>
          <w:sz w:val="20"/>
          <w:szCs w:val="20"/>
          <w:color w:val="auto"/>
        </w:rPr>
      </w:pPr>
    </w:p>
    <w:p>
      <w:pPr>
        <w:ind w:right="80"/>
        <w:spacing w:after="0" w:line="310" w:lineRule="auto"/>
        <w:rPr>
          <w:sz w:val="20"/>
          <w:szCs w:val="20"/>
          <w:color w:val="auto"/>
        </w:rPr>
      </w:pPr>
      <w:r>
        <w:rPr>
          <w:rFonts w:ascii="Arial" w:cs="Arial" w:eastAsia="Arial" w:hAnsi="Arial"/>
          <w:sz w:val="14"/>
          <w:szCs w:val="14"/>
          <w:color w:val="auto"/>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We may find that our third-party manufacturer is unable to scale up the process in order to produce commercial quantities of our products. Our or a third party’s failure to execute on our manufacturing requirements and comply with cGMPs could adversely affect our business in a number of ways, including:</w:t>
      </w:r>
    </w:p>
    <w:p>
      <w:pPr>
        <w:spacing w:after="0" w:line="44" w:lineRule="exact"/>
        <w:rPr>
          <w:sz w:val="20"/>
          <w:szCs w:val="20"/>
          <w:color w:val="auto"/>
        </w:rPr>
      </w:pPr>
    </w:p>
    <w:p>
      <w:pPr>
        <w:ind w:left="1020" w:hanging="512"/>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 inability to initiate or continue clinical trials of product candidates under development;</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delay in submitting regulatory applications, or receiving regulatory approvals, for product candidates;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loss of the cooperation of a collaborator;</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subjecting third-party manufacturing facilities or our manufacturing facilities to additional inspections by regulatory authorities;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requirements to cease distribution or to recall batches of our product candidates; and</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202" w:lineRule="exact"/>
        <w:rPr>
          <w:sz w:val="20"/>
          <w:szCs w:val="20"/>
          <w:color w:val="auto"/>
        </w:rPr>
      </w:pPr>
    </w:p>
    <w:p>
      <w:pPr>
        <w:ind w:right="20"/>
        <w:spacing w:after="0" w:line="332" w:lineRule="auto"/>
        <w:rPr>
          <w:sz w:val="20"/>
          <w:szCs w:val="20"/>
          <w:color w:val="auto"/>
        </w:rPr>
      </w:pPr>
      <w:r>
        <w:rPr>
          <w:rFonts w:ascii="Arial" w:cs="Arial" w:eastAsia="Arial" w:hAnsi="Arial"/>
          <w:sz w:val="14"/>
          <w:szCs w:val="14"/>
          <w:color w:val="auto"/>
        </w:rPr>
        <w:t>The supply chain for the manufacturing of our product candidates is complicated and can involve many parties. This is especially the case for our clinical-stage conditionally activated ADCs, praluzatamab ravtansine and CX-2029. If we were to experience any supply chain issues, our product supply could be seriously disrupted. In addition, we expect the logistical challenges associated with our supply chain to grow more complex as additional product candidates commence any clinical trials.</w:t>
      </w:r>
    </w:p>
    <w:p>
      <w:pPr>
        <w:spacing w:after="0" w:line="226"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b w:val="1"/>
          <w:bCs w:val="1"/>
          <w:i w:val="1"/>
          <w:iCs w:val="1"/>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72" w:lineRule="exact"/>
        <w:rPr>
          <w:sz w:val="20"/>
          <w:szCs w:val="20"/>
          <w:color w:val="auto"/>
        </w:rPr>
      </w:pPr>
    </w:p>
    <w:p>
      <w:pPr>
        <w:spacing w:after="0" w:line="300" w:lineRule="auto"/>
        <w:rPr>
          <w:sz w:val="20"/>
          <w:szCs w:val="20"/>
          <w:color w:val="auto"/>
        </w:rPr>
      </w:pPr>
      <w:r>
        <w:rPr>
          <w:rFonts w:ascii="Arial" w:cs="Arial" w:eastAsia="Arial" w:hAnsi="Arial"/>
          <w:sz w:val="14"/>
          <w:szCs w:val="14"/>
          <w:color w:val="auto"/>
        </w:rPr>
        <w:t>It may prove more challenging than we anticipate to manufacture products that incorporate our Probody therapeutic technology. In order to conduct clinical trials of our product candidates, including our clinical trials for praluzatamab ravtansine (CX-2009), CX-2029, and pacmilimab (CX-072), we will need to manufacture them in large quantities. To date, we have generally been able to successfully manufacture praluzatamab ravtansine, CX-2029, and pacmilimab for our ongoing early-stage clinical trials. However, in November 2019, we had a production failure at one of our contract manufacturers that manufactured pacmilimab for our Phase 1/2 clinical trial and for our future trials. If we had not been able to assure sufficient supplies of clinical trial drug product after the production failure, we may have been required to suspend any ongoing trials and postpone future trials. Although we have taken sufficient steps to assure our current supply of pacmilimab clinical trial drug product for our planned clinical trials, there can be no assurance that we will not have future production failures, which could affect our ability to conduct our trials for praluzatamab ravtansine, CX-2029, pacmilimab or any other clinical trial drug candidates on our planned timeline or at all. Furthermore, in order to conduct later stage clinical trials of our product candidates, such as our Phase 2 clinical trial for praluzatamab ravtansine,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For example, we are currently working with our CMOs to change our manufacturing processes and formulations as well as scaling up for larger drug manufacturing capability, including praluzatamab ravtansine drug product for late-stage clinical trials and commercialization. However, we may have to start late-stage trials with our early clinical trial drug product and switch to late-stage or commercial drug product mid trial. In such event, the FDA will require us to complete bridging studies to compare the earlier stage material with late-stage or commercial material to assure comparability between the earlier trial material and the late- stage or commercial material. Changing formulation and scaling up the process is a complicated and difficult task. While we believe we can complete this process successfully, there can be no assurances that the changes we make to the drug product and manufacturing process will be successful or completed in a timely manner or that the FDA will not require additional development</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49" w:name="page50"/>
    <w:bookmarkEnd w:id="49"/>
    <w:p>
      <w:pPr>
        <w:ind w:right="40"/>
        <w:spacing w:after="0" w:line="275" w:lineRule="auto"/>
        <w:rPr>
          <w:sz w:val="20"/>
          <w:szCs w:val="20"/>
          <w:color w:val="auto"/>
        </w:rPr>
      </w:pPr>
      <w:r>
        <w:rPr>
          <w:rFonts w:ascii="Arial" w:cs="Arial" w:eastAsia="Arial" w:hAnsi="Arial"/>
          <w:sz w:val="16"/>
          <w:szCs w:val="16"/>
          <w:color w:val="auto"/>
        </w:rPr>
        <w:t>steps or studies from those we believe are necessary. If we are not able to scale up our manufacturing capabilities with respect to praluzatamab ravtansine, pacmilimab or any of our other product candidates, increase the life of drug stability of product candidates, or successfully complete the FDA’s bridging requirements, we may not be able to successfully obtain FDA approval and commercialize product candidates in a timely manner or at all.</w:t>
      </w:r>
    </w:p>
    <w:p>
      <w:pPr>
        <w:spacing w:after="0" w:line="162" w:lineRule="exact"/>
        <w:rPr>
          <w:sz w:val="20"/>
          <w:szCs w:val="20"/>
          <w:color w:val="auto"/>
        </w:rPr>
      </w:pPr>
    </w:p>
    <w:p>
      <w:pPr>
        <w:ind w:right="120"/>
        <w:spacing w:after="0" w:line="305" w:lineRule="auto"/>
        <w:rPr>
          <w:sz w:val="20"/>
          <w:szCs w:val="20"/>
          <w:color w:val="auto"/>
        </w:rPr>
      </w:pPr>
      <w:r>
        <w:rPr>
          <w:rFonts w:ascii="Arial" w:cs="Arial" w:eastAsia="Arial" w:hAnsi="Arial"/>
          <w:sz w:val="14"/>
          <w:szCs w:val="14"/>
          <w:color w:val="auto"/>
        </w:rPr>
        <w:t>Additionally, we were dependent on ImmunoGen under our collaboration for certain steps in the manufacturing of clinical quantities of praluzatamab ravtansine. At the end of 2018, ImmunoGen closed their clinical manufacturing facility in Norwood, Massachusetts, which provided clinical manufacturing support for the praluzatamab ravtansine program. We completed the transfer of the drug substance manufacturing process from ImmunoGen to a contract manufacturer, where we have an existing relationship and with expertise in the manufacture of antibody drug conjugates at a clinical and commercial scale. While the manufacturing transfer process has been completed, there can be no assurance that we will not experience a disruption in the supply of praluzatamab ravtansine in connection with such transfer or that we will not experience any other disruption in the manufacturing of praluzatamab ravtansine. In addition, for CX-2029, the manufacturing of additional clinical quantities could be particularly difficult because we are relying on three different parties to manufacture supplies. If we, or any manufacturing partners,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w:t>
      </w:r>
    </w:p>
    <w:p>
      <w:pPr>
        <w:spacing w:after="0" w:line="245"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b w:val="1"/>
          <w:bCs w:val="1"/>
          <w:i w:val="1"/>
          <w:iCs w:val="1"/>
          <w:color w:val="auto"/>
        </w:rPr>
        <w:t>We may expend our limited resources to pursue a particular product candidate and fail to capitalize on product candidates that may be more profitable or for which there is a greater likelihood of success.</w:t>
      </w:r>
    </w:p>
    <w:p>
      <w:pPr>
        <w:spacing w:after="0" w:line="72" w:lineRule="exact"/>
        <w:rPr>
          <w:sz w:val="20"/>
          <w:szCs w:val="20"/>
          <w:color w:val="auto"/>
        </w:rPr>
      </w:pPr>
    </w:p>
    <w:p>
      <w:pPr>
        <w:spacing w:after="0" w:line="308" w:lineRule="auto"/>
        <w:rPr>
          <w:sz w:val="20"/>
          <w:szCs w:val="20"/>
          <w:color w:val="auto"/>
        </w:rPr>
      </w:pPr>
      <w:r>
        <w:rPr>
          <w:rFonts w:ascii="Arial" w:cs="Arial" w:eastAsia="Arial" w:hAnsi="Arial"/>
          <w:sz w:val="14"/>
          <w:szCs w:val="14"/>
          <w:color w:val="auto"/>
        </w:rPr>
        <w:t>Because we have limited financial and managerial resources, we focus on specific product candidates and indications, including praluzatamab ravtansine (CX-2009), CX-2029, and pacmilimab (CX-072). As a result, we may forgo or delay pursuit of opportunities with those products in other indications or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programs, including CX-2043 and CX-904,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experience difficulties in managing our growth and expanding our operations successfully.</w:t>
      </w:r>
    </w:p>
    <w:p>
      <w:pPr>
        <w:spacing w:after="0" w:line="103"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We will need to grow our organization substantially to continue development and pursue the potential commercialization of praluzatamab ravtansine (CX-2009), CX-2029, and pacmilimab (CX-072) and our other product candidates, including CX-2043 and CX-904, as well as function as a public company. As we increase the number of our product candidates entering and advancing through preclinical studies and clinical trials, we will need to expand our development, regulatory and manufacturing capabilities or contract with additional organizations to provide these capabilities for us. In addition, we expect our collaborations to require greater resources as the development of our product candidates under such agreements progresses. In the future, we expect to also have to manage additional relationships with collaborators or partners, suppliers and other organizations. In particular, if the third parties on which we currently rely are not capable of delivering services or supplies in a manner that is sufficient to meet our requirements as we expand our operations, we could be required to contract with new third parties and there can be no assurances that the services or supplies of such third parties will be available on commercially reasonable terms, or at all. Furthermore, our ability to manage our operations and future growth will require us to continue to increase headcount as well as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spacing w:after="0" w:line="274"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63" w:lineRule="exact"/>
        <w:rPr>
          <w:sz w:val="20"/>
          <w:szCs w:val="20"/>
          <w:color w:val="auto"/>
        </w:rPr>
      </w:pPr>
    </w:p>
    <w:p>
      <w:pPr>
        <w:ind w:right="80"/>
        <w:spacing w:after="0" w:line="310" w:lineRule="auto"/>
        <w:rPr>
          <w:sz w:val="20"/>
          <w:szCs w:val="20"/>
          <w:color w:val="auto"/>
        </w:rPr>
      </w:pPr>
      <w:r>
        <w:rPr>
          <w:rFonts w:ascii="Arial" w:cs="Arial" w:eastAsia="Arial" w:hAnsi="Arial"/>
          <w:sz w:val="14"/>
          <w:szCs w:val="14"/>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or will develop product candidates and processes competitive with our product candidates. Competitive therapeutic treatments include those that have already been approved and accepted by the medical community and any new treatments that enter the market. We believe that a significant number of products are currently under development, and may become commercially available in the future, for the treatment of conditions for which we may try to develop product candidates. Additionally, there is intense and rapidly evolving competition in the biotechnology,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50" w:name="page51"/>
    <w:bookmarkEnd w:id="50"/>
    <w:p>
      <w:pPr>
        <w:spacing w:after="0" w:line="261" w:lineRule="auto"/>
        <w:rPr>
          <w:sz w:val="20"/>
          <w:szCs w:val="20"/>
          <w:color w:val="auto"/>
        </w:rPr>
      </w:pPr>
      <w:r>
        <w:rPr>
          <w:rFonts w:ascii="Arial" w:cs="Arial" w:eastAsia="Arial" w:hAnsi="Arial"/>
          <w:sz w:val="17"/>
          <w:szCs w:val="17"/>
          <w:color w:val="auto"/>
        </w:rPr>
        <w:t>biopharmaceutical and antibody and immunoregulatory therapeutics fields, and our competitors include larger and better funded biopharmaceutical, biotechnological and therapeutics companies. In addition, these companies compete with us in recruiting scientific and managerial talent.</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4"/>
          <w:szCs w:val="14"/>
          <w:color w:val="auto"/>
        </w:rPr>
        <w:t>We believe that while our Probody platform, its associated intellectual property and our scientific and technical know-how, give us a competitive advantage in this space, competition from many sources remains. The clinical development pipeline for cancer includes small molecules, antibodies and therapies from a variety of groups. In addition, numerous compounds are in clinical development for cancer treatment. As a result, our success will partially depend on our ability to develop and protect therapeutics that are safer and more effective than competing products. Our commercial opportunity and success will be reduced or eliminated if competing products that are safer, more effective, or less expensive than the therapeutics we develop or if we are unable to utilize our Probody therapeutic technology to differentiate our Probody therapeutics from the products of our competitors. For instance, if any of our lead product candidates, including, praluzatamab ravtansine and CX-2029 are approved, they will compete with a range of therapeutic treatments that are either in development or currently marketed. A variety of oncology drugs and therapeutic biologics are currently on the market or in clinical development. The market for immunotherapies like pacmilimab (CX-072) is, in particular, highly competitive and the field is changing quickly. In March 2020, we made the strategic decision to terminate our Phase 2 study evaluating pacmilimab in combination ipilimumab. This decision followed a re-evaluation of the evolving clinical, competitive and commercial landscapes in immuno-oncology, taken together with impact of the COVID-19 pandemic. Given the amount of time required to successfully develop and obtain regulatory approval for each of our product candidates, it is therefore possible that by the time we obtain any such approval, if ever, and commence sales, we may no longer be able to differentiate such product candidate from those of our competitors.</w:t>
      </w:r>
    </w:p>
    <w:p>
      <w:pPr>
        <w:spacing w:after="0" w:line="152" w:lineRule="exact"/>
        <w:rPr>
          <w:sz w:val="20"/>
          <w:szCs w:val="20"/>
          <w:color w:val="auto"/>
        </w:rPr>
      </w:pPr>
    </w:p>
    <w:p>
      <w:pPr>
        <w:ind w:right="80"/>
        <w:spacing w:after="0" w:line="305" w:lineRule="auto"/>
        <w:rPr>
          <w:sz w:val="20"/>
          <w:szCs w:val="20"/>
          <w:color w:val="auto"/>
        </w:rPr>
      </w:pPr>
      <w:r>
        <w:rPr>
          <w:rFonts w:ascii="Arial" w:cs="Arial" w:eastAsia="Arial" w:hAnsi="Arial"/>
          <w:sz w:val="14"/>
          <w:szCs w:val="14"/>
          <w:color w:val="auto"/>
        </w:rPr>
        <w:t>We face substantial competition from pharmaceutical companies developing products in immuno-oncology, including companies such as Amgen, AstraZeneca PLC, Bristol Myers Squibb, GlaxoSmithKline plc, Merck &amp; Co., Inc. Novartis AG, Pfizer, Roche Holding Ltd. and Sanofi SA. Many large and mid-sized biotech companies, including BeiGene, Incyte, Nektar, and Alkermes have ongoing efforts in cancer immunotherapy. Finally, numerous small companies are also working in the space. Several companies, including Xilio, Amgen, Amunix, BioAtla, Halozyme, Harpoon Therapeutics, Maverick Therapeutics, Pandion Therapeutics, Revitope, Roche, and Seagen are exploring antibody masking and/or conditional activation strategies, which could compete with our Probody platform. We are also aware of several companies that are developing ADCs, such as AbbVie, Gilead, ImmunoGen, Seagen, Pfizer, Roche Holding Ltd. and Takeda. Furthermore, several large pharmaceutical companies, including Amgen, Novartis AG and Roche Holding Ltd., are developing T-cell engaging immunotherapies, and we are aware of several mid-sized biotech companies, such as Macrogenics and Xencor, and small companies with ongoing efforts to develop T-cell engaging immunotherapies. Any of these companies may be well capitalized and may have significant clinical experience. In addition, these companies include our collaborators.</w:t>
      </w:r>
    </w:p>
    <w:p>
      <w:pPr>
        <w:spacing w:after="0" w:line="145"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less differentiated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inability to attract and retain qualified key management and technical personnel would impair our ability to implement our business plan.</w:t>
      </w:r>
    </w:p>
    <w:p>
      <w:pPr>
        <w:spacing w:after="0" w:line="114" w:lineRule="exact"/>
        <w:rPr>
          <w:sz w:val="20"/>
          <w:szCs w:val="20"/>
          <w:color w:val="auto"/>
        </w:rPr>
      </w:pPr>
    </w:p>
    <w:p>
      <w:pPr>
        <w:ind w:right="100"/>
        <w:spacing w:after="0" w:line="304" w:lineRule="auto"/>
        <w:rPr>
          <w:sz w:val="20"/>
          <w:szCs w:val="20"/>
          <w:color w:val="auto"/>
        </w:rPr>
      </w:pPr>
      <w:r>
        <w:rPr>
          <w:rFonts w:ascii="Arial" w:cs="Arial" w:eastAsia="Arial" w:hAnsi="Arial"/>
          <w:sz w:val="14"/>
          <w:szCs w:val="14"/>
          <w:color w:val="auto"/>
        </w:rPr>
        <w:t>Our success largely depends on the continued service of key management, advisors and other specialized personnel, including Sean A. McCarthy, D.Phil., our president and chief executive officer, and Amy C. Peterson, M.D., our chief development officer. The loss of one or more members of our management team or other key employees or advisors could delay our research and development programs and have a material and adverse effect on our business, financial condition, results of operations and prospects. The relationships that our key managers have cultivated within our industry make us particularly dependent upon their continued employment with us. We are dependent on the continued service of our technical personnel because of the highly technical nature of our product candidates and technologies and the specialized nature of the regulatory approval process. Because our management team and key employees are not obligated to provide us with continued service, they could terminate their employment with us at any time without penalty. Our future success will depend in large part on our continued ability to attract and retain other highly qualified scientific, technical and management personnel, as well as personnel with expertise in clinical testing, manufacturing, governmental regulation and commercialization. We face competition for personnel from other companies, universities, public and private research institutions, government entities and other organizations, especially as job opportunities in the biotechnology industry have recently increased significantly in the San Francisco Bay Area.</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425" w:right="359" w:bottom="1440" w:gutter="0" w:footer="0" w:header="0"/>
        </w:sectPr>
      </w:pPr>
    </w:p>
    <w:bookmarkStart w:id="51" w:name="page52"/>
    <w:bookmarkEnd w:id="51"/>
    <w:p>
      <w:pPr>
        <w:ind w:right="80"/>
        <w:spacing w:after="0" w:line="252" w:lineRule="auto"/>
        <w:rPr>
          <w:sz w:val="20"/>
          <w:szCs w:val="20"/>
          <w:color w:val="auto"/>
        </w:rPr>
      </w:pPr>
      <w:r>
        <w:rPr>
          <w:rFonts w:ascii="Arial" w:cs="Arial" w:eastAsia="Arial" w:hAnsi="Arial"/>
          <w:sz w:val="17"/>
          <w:szCs w:val="17"/>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80"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We currently have no sales, marketing or distribution capabilities or experience. If any of our product candidates is approved,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could be materially and adversely affected.</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Price controls imposed in foreign markets may adversely affect our future profitability.</w:t>
      </w:r>
    </w:p>
    <w:p>
      <w:pPr>
        <w:spacing w:after="0" w:line="103"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future collaborators may be required to conduct a clinical trial or other studies that compare the cost-effectiveness of our Probody therapeutic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We currently do not know how the exit of the United Kingdom from the European Union will affect the pricing of prescription drugs, either in the United Kingdom or in the remaining European Union member states.</w:t>
      </w:r>
    </w:p>
    <w:p>
      <w:pPr>
        <w:spacing w:after="0" w:line="200" w:lineRule="exact"/>
        <w:rPr>
          <w:sz w:val="20"/>
          <w:szCs w:val="20"/>
          <w:color w:val="auto"/>
        </w:rPr>
      </w:pPr>
    </w:p>
    <w:p>
      <w:pPr>
        <w:spacing w:after="0" w:line="244" w:lineRule="exact"/>
        <w:rPr>
          <w:sz w:val="20"/>
          <w:szCs w:val="20"/>
          <w:color w:val="auto"/>
        </w:rPr>
      </w:pPr>
    </w:p>
    <w:p>
      <w:pPr>
        <w:ind w:right="340"/>
        <w:spacing w:after="0" w:line="261" w:lineRule="auto"/>
        <w:rPr>
          <w:sz w:val="20"/>
          <w:szCs w:val="20"/>
          <w:color w:val="auto"/>
        </w:rPr>
      </w:pPr>
      <w:r>
        <w:rPr>
          <w:rFonts w:ascii="Arial" w:cs="Arial" w:eastAsia="Arial" w:hAnsi="Arial"/>
          <w:sz w:val="17"/>
          <w:szCs w:val="17"/>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72" w:lineRule="exact"/>
        <w:rPr>
          <w:sz w:val="20"/>
          <w:szCs w:val="20"/>
          <w:color w:val="auto"/>
        </w:rPr>
      </w:pPr>
    </w:p>
    <w:p>
      <w:pPr>
        <w:spacing w:after="0" w:line="303" w:lineRule="auto"/>
        <w:rPr>
          <w:sz w:val="20"/>
          <w:szCs w:val="20"/>
          <w:color w:val="auto"/>
        </w:rPr>
      </w:pPr>
      <w:r>
        <w:rPr>
          <w:rFonts w:ascii="Arial" w:cs="Arial" w:eastAsia="Arial" w:hAnsi="Arial"/>
          <w:sz w:val="14"/>
          <w:szCs w:val="14"/>
          <w:color w:val="auto"/>
        </w:rPr>
        <w:t>We are exposed to significant product liability risks inherent in the development, testing, manufacturing and marketing of therapeutic treatments, including as a result of the clinical testing of praluzatamab ravtansine (CX-2009), CX-2029, BMS-986249, BMS-986288, pacmilimab (CX-072) and any of our other product candidates or those of our collaborators. Product liability claims could delay or prevent completion of our development programs. If we succeed in marketing product candidates, such claims could result in an FDA investigation of the safety and effectiveness of our product candidates, our manufacturing processes and facilities (or the manufacturing processes and facilities of our third-party manufacturers)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insurance that we believe is appropriate for our stage of development and may need to obtain higher levels of insurance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200" w:lineRule="exact"/>
        <w:rPr>
          <w:sz w:val="20"/>
          <w:szCs w:val="20"/>
          <w:color w:val="auto"/>
        </w:rPr>
      </w:pPr>
    </w:p>
    <w:p>
      <w:pPr>
        <w:spacing w:after="0" w:line="246" w:lineRule="exact"/>
        <w:rPr>
          <w:sz w:val="20"/>
          <w:szCs w:val="20"/>
          <w:color w:val="auto"/>
        </w:rPr>
      </w:pPr>
    </w:p>
    <w:p>
      <w:pPr>
        <w:ind w:right="580"/>
        <w:spacing w:after="0" w:line="261" w:lineRule="auto"/>
        <w:rPr>
          <w:sz w:val="20"/>
          <w:szCs w:val="20"/>
          <w:color w:val="auto"/>
        </w:rPr>
      </w:pPr>
      <w:r>
        <w:rPr>
          <w:rFonts w:ascii="Arial" w:cs="Arial" w:eastAsia="Arial" w:hAnsi="Arial"/>
          <w:sz w:val="17"/>
          <w:szCs w:val="17"/>
          <w:b w:val="1"/>
          <w:bCs w:val="1"/>
          <w:i w:val="1"/>
          <w:iCs w:val="1"/>
          <w:color w:val="auto"/>
        </w:rPr>
        <w:t>Our employees and independent contractors may engage in misconduct or other improper activities, including noncompliance with regulatory standards and requirements.</w:t>
      </w:r>
    </w:p>
    <w:p>
      <w:pPr>
        <w:spacing w:after="0" w:line="72" w:lineRule="exact"/>
        <w:rPr>
          <w:sz w:val="20"/>
          <w:szCs w:val="20"/>
          <w:color w:val="auto"/>
        </w:rPr>
      </w:pPr>
    </w:p>
    <w:p>
      <w:pPr>
        <w:ind w:right="180"/>
        <w:spacing w:after="0" w:line="320" w:lineRule="auto"/>
        <w:rPr>
          <w:sz w:val="20"/>
          <w:szCs w:val="20"/>
          <w:color w:val="auto"/>
        </w:rPr>
      </w:pPr>
      <w:r>
        <w:rPr>
          <w:rFonts w:ascii="Arial" w:cs="Arial" w:eastAsia="Arial" w:hAnsi="Arial"/>
          <w:sz w:val="14"/>
          <w:szCs w:val="14"/>
          <w:color w:val="auto"/>
        </w:rPr>
        <w:t>We are exposed to the risk of fraud or other misconduct by our employees or independent contractors. Misconduct by these parties could include intentional failures to comply with FDA regulations, provide accurate information to the FDA, comply with manufacturing standards we may establish, comply with federal and state data privacy, security, fraud and abuse, and other healthcare laws and regulations, report financial information or data accurately or disclose unauthorized activities to us. In particular, sales, marketing and business arrangements in the healthcare industry are subject to extensive laws and regulations intended to prevent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52" w:name="page53"/>
    <w:bookmarkEnd w:id="52"/>
    <w:p>
      <w:pPr>
        <w:spacing w:after="0" w:line="306" w:lineRule="auto"/>
        <w:rPr>
          <w:sz w:val="20"/>
          <w:szCs w:val="20"/>
          <w:color w:val="auto"/>
        </w:rPr>
      </w:pPr>
      <w:r>
        <w:rPr>
          <w:rFonts w:ascii="Arial" w:cs="Arial" w:eastAsia="Arial" w:hAnsi="Arial"/>
          <w:sz w:val="14"/>
          <w:szCs w:val="14"/>
          <w:color w:val="auto"/>
        </w:rPr>
        <w:t>fraud,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w:t>
      </w:r>
    </w:p>
    <w:p>
      <w:pPr>
        <w:spacing w:after="0" w:line="245" w:lineRule="exact"/>
        <w:rPr>
          <w:sz w:val="20"/>
          <w:szCs w:val="20"/>
          <w:color w:val="auto"/>
        </w:rPr>
      </w:pPr>
    </w:p>
    <w:p>
      <w:pPr>
        <w:ind w:right="480"/>
        <w:spacing w:after="0" w:line="368" w:lineRule="auto"/>
        <w:rPr>
          <w:sz w:val="20"/>
          <w:szCs w:val="20"/>
          <w:color w:val="auto"/>
        </w:rPr>
      </w:pPr>
      <w:r>
        <w:rPr>
          <w:rFonts w:ascii="Arial" w:cs="Arial" w:eastAsia="Arial" w:hAnsi="Arial"/>
          <w:sz w:val="14"/>
          <w:szCs w:val="14"/>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w:t>
      </w:r>
    </w:p>
    <w:p>
      <w:pPr>
        <w:spacing w:after="0" w:line="3" w:lineRule="exact"/>
        <w:rPr>
          <w:sz w:val="20"/>
          <w:szCs w:val="20"/>
          <w:color w:val="auto"/>
        </w:rPr>
      </w:pPr>
    </w:p>
    <w:p>
      <w:pPr>
        <w:ind w:right="40"/>
        <w:spacing w:after="0" w:line="303" w:lineRule="auto"/>
        <w:rPr>
          <w:sz w:val="20"/>
          <w:szCs w:val="20"/>
          <w:color w:val="auto"/>
        </w:rPr>
      </w:pPr>
      <w:r>
        <w:rPr>
          <w:rFonts w:ascii="Arial" w:cs="Arial" w:eastAsia="Arial" w:hAnsi="Arial"/>
          <w:sz w:val="14"/>
          <w:szCs w:val="14"/>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For example, in March 2020, the COVID-19 pandemic caused us to restrict access to our facility and initiate a work-from-home program limiting onsite activity to a substantially reduced level of laboratory research activities. Although we have gradually increased levels of our laboratory research activities, there can be no assurance that we will be able to continue to increase or maintain current levels of such activity or that the COVID-19 pandemic will not continue to impact our ability to conduct business.</w:t>
      </w:r>
    </w:p>
    <w:p>
      <w:pPr>
        <w:spacing w:after="0" w:line="347"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and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U.S.</w:t>
      </w:r>
    </w:p>
    <w:p>
      <w:pPr>
        <w:spacing w:after="0" w:line="103" w:lineRule="exact"/>
        <w:rPr>
          <w:sz w:val="20"/>
          <w:szCs w:val="20"/>
          <w:color w:val="auto"/>
        </w:rPr>
      </w:pPr>
    </w:p>
    <w:p>
      <w:pPr>
        <w:ind w:right="100"/>
        <w:spacing w:after="0" w:line="304" w:lineRule="auto"/>
        <w:rPr>
          <w:sz w:val="20"/>
          <w:szCs w:val="20"/>
          <w:color w:val="auto"/>
        </w:rPr>
      </w:pPr>
      <w:r>
        <w:rPr>
          <w:rFonts w:ascii="Arial" w:cs="Arial" w:eastAsia="Arial" w:hAnsi="Arial"/>
          <w:sz w:val="14"/>
          <w:szCs w:val="14"/>
          <w:color w:val="auto"/>
        </w:rPr>
        <w:t xml:space="preserve">We prepare our financial statements in conformity with accounting principles generally accepted in the U.S. These accounting principles are subject to interpretation by the Financial Accounting Standards Board (“FASB”) and the SEC. A change in these policies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 For example, in May 2014, the FASB issued Accounting Standards Update (“ASU”) 2014-09, </w:t>
      </w:r>
      <w:r>
        <w:rPr>
          <w:rFonts w:ascii="Arial" w:cs="Arial" w:eastAsia="Arial" w:hAnsi="Arial"/>
          <w:sz w:val="14"/>
          <w:szCs w:val="14"/>
          <w:i w:val="1"/>
          <w:iCs w:val="1"/>
          <w:color w:val="auto"/>
        </w:rPr>
        <w:t>Revenue from Contracts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with Customers (Topic 606), </w:t>
      </w:r>
      <w:r>
        <w:rPr>
          <w:rFonts w:ascii="Arial" w:cs="Arial" w:eastAsia="Arial" w:hAnsi="Arial"/>
          <w:sz w:val="14"/>
          <w:szCs w:val="14"/>
          <w:color w:val="auto"/>
        </w:rPr>
        <w:t>which requires an entity to recognize the amount of revenue to which it expects to be entitled for the transfer of promised goods or services</w:t>
      </w:r>
      <w:r>
        <w:rPr>
          <w:rFonts w:ascii="Arial" w:cs="Arial" w:eastAsia="Arial" w:hAnsi="Arial"/>
          <w:sz w:val="14"/>
          <w:szCs w:val="14"/>
          <w:i w:val="1"/>
          <w:iCs w:val="1"/>
          <w:color w:val="auto"/>
        </w:rPr>
        <w:t xml:space="preserve"> </w:t>
      </w:r>
      <w:r>
        <w:rPr>
          <w:rFonts w:ascii="Arial" w:cs="Arial" w:eastAsia="Arial" w:hAnsi="Arial"/>
          <w:sz w:val="14"/>
          <w:szCs w:val="14"/>
          <w:color w:val="auto"/>
        </w:rPr>
        <w:t>to customers. The ASU replaced most existing revenue recognition guidance in the U.S. GAAP when it became effective. The new standard was effective at the beginning of our fiscal year 2018 with early adoption permitted for our fiscal year 2017. We evaluated the impact of ASU 2014-09 on our financial statements and adoption of the standard had a significant impact on our financial statements and retroactively affected the accounting treatment of transactions completed before adoption. Additionally, for the purpose of revenue recognition, we are required to estimate research service periods as well as the related cost to completion, of our research development program. Such estimates are inherently uncertain and may result in changes in estimates to financial statements in subsequent periods.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103" w:lineRule="exact"/>
        <w:rPr>
          <w:sz w:val="20"/>
          <w:szCs w:val="20"/>
          <w:color w:val="auto"/>
        </w:rPr>
      </w:pPr>
    </w:p>
    <w:p>
      <w:pPr>
        <w:ind w:right="60"/>
        <w:spacing w:after="0" w:line="306" w:lineRule="auto"/>
        <w:rPr>
          <w:sz w:val="20"/>
          <w:szCs w:val="20"/>
          <w:color w:val="auto"/>
        </w:rPr>
      </w:pPr>
      <w:r>
        <w:rPr>
          <w:rFonts w:ascii="Arial" w:cs="Arial" w:eastAsia="Arial" w:hAnsi="Arial"/>
          <w:sz w:val="14"/>
          <w:szCs w:val="14"/>
          <w:color w:val="auto"/>
        </w:rPr>
        <w:t>Under Sections 382 and 383 of the Internal Revenue Code of 1986, as amended (the “IRC”), if a corporation undergoes an “ownership change” (generally defined as a greater than 50 percentage points change (by value) in the ownership of its equity over a rolling three-year period), the corporation’s ability to use its pre-change net operating loss carryforwards and certain other pre-change tax attributes to offset its post-change income and taxes may be limited. California has similar rules. For example, we performed an IRC Section 382 analysis in 2017 and determined there was an ownership change that resulted in Section 382 limitations. The ownership change limited our ability to utilize net operating losses against taxable income in 2018 for both federal and California tax purposes. The remaining net operating losses and credit will be available in future years before expiration during their respective carryforward periods. We may experience ownership changes in the future as a result of shifts in our stock ownership, some of which are outside our control, and our ability to utilize net operating loss carryforwards could be limited by an “ownership change” as described above, which could result in additional increased tax liability to the Company.</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107"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b w:val="1"/>
          <w:bCs w:val="1"/>
          <w:i w:val="1"/>
          <w:iCs w:val="1"/>
          <w:color w:val="auto"/>
        </w:rPr>
        <w:t>If we are not able to obtain and enforce patent protection for our technologies or product candidates, development and commercialization of our product candidates may be adversely affected.</w:t>
      </w:r>
    </w:p>
    <w:p>
      <w:pPr>
        <w:spacing w:after="0" w:line="84" w:lineRule="exact"/>
        <w:rPr>
          <w:sz w:val="20"/>
          <w:szCs w:val="20"/>
          <w:color w:val="auto"/>
        </w:rPr>
      </w:pPr>
    </w:p>
    <w:p>
      <w:pPr>
        <w:ind w:right="40"/>
        <w:spacing w:after="0" w:line="301" w:lineRule="auto"/>
        <w:rPr>
          <w:sz w:val="20"/>
          <w:szCs w:val="20"/>
          <w:color w:val="auto"/>
        </w:rPr>
      </w:pPr>
      <w:r>
        <w:rPr>
          <w:rFonts w:ascii="Arial" w:cs="Arial" w:eastAsia="Arial" w:hAnsi="Arial"/>
          <w:sz w:val="14"/>
          <w:szCs w:val="14"/>
          <w:color w:val="auto"/>
        </w:rPr>
        <w:t xml:space="preserve">Our success depends in part on our ability to obtain and maintain patents and other forms of intellectual property rights, including in-licenses of intellectual property rights of others, for our product candidates, methods used to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We have a substantial number of issued patents and pending patent applications, some of which are co-owned with a third party, covering our Probody platforms and products as well as methods of use and production thereof; we have exclusively licensed UCSB’s interest in the patent family co-owned with UCSB that covers Probody and other pro-protein technology in the fields of therapeutics,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diagnostics and prophylactics. In addition, we have exclusively licensed a patent portfolio of three patent families from UCSB that includes patents and patent applications that cover compositions and methods related to the screening for and identification of the masks and protease-cleavable linkers that we incorporate into our Probody candidates. We may not be able to apply for patents on certain aspects of our product candidates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 Moreover, the patent position of biotechnology and biopharmaceutical companies can be highly uncertain because it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w:t>
      </w:r>
    </w:p>
    <w:p>
      <w:pPr>
        <w:spacing w:after="0" w:line="349" w:lineRule="exact"/>
        <w:rPr>
          <w:sz w:val="20"/>
          <w:szCs w:val="20"/>
          <w:color w:val="auto"/>
        </w:rPr>
      </w:pPr>
    </w:p>
    <w:p>
      <w:pPr>
        <w:spacing w:after="0" w:line="308" w:lineRule="auto"/>
        <w:rPr>
          <w:sz w:val="20"/>
          <w:szCs w:val="20"/>
          <w:color w:val="auto"/>
        </w:rPr>
      </w:pPr>
      <w:r>
        <w:rPr>
          <w:rFonts w:ascii="Arial" w:cs="Arial" w:eastAsia="Arial" w:hAnsi="Arial"/>
          <w:sz w:val="14"/>
          <w:szCs w:val="14"/>
          <w:color w:val="auto"/>
        </w:rPr>
        <w:t>The U.S. Patent and Trademark Office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proprietary products and technology. While we will endeavor to try to protect our product candidates with intellectual property rights such as patents, as appropriate, the process of obtaining patents is time-consuming, expensive and sometimes unpredictable.</w:t>
      </w:r>
    </w:p>
    <w:p>
      <w:pPr>
        <w:spacing w:after="0" w:line="143"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 xml:space="preserve">In addition, there are numerous recent changes to the patent laws and proposed changes to the rules of the USPTO that may have a significant impact on our ability to protect our technology and enforce our intellectual property rights. For example, the America Invents Act (“AIA”) enacted within the last several years involves significant changes in patent legislation. The Supreme Court has ruled on several patent cases in recent years, some of which cases either narrow the scope of patent protection available in certain circumstances or weaken the rights of patent owners in certain situations. The recent decision by the Supreme Court in </w:t>
      </w:r>
      <w:r>
        <w:rPr>
          <w:rFonts w:ascii="Arial" w:cs="Arial" w:eastAsia="Arial" w:hAnsi="Arial"/>
          <w:sz w:val="16"/>
          <w:szCs w:val="16"/>
          <w:i w:val="1"/>
          <w:iCs w:val="1"/>
          <w:color w:val="auto"/>
        </w:rPr>
        <w:t>Association for</w:t>
      </w:r>
      <w:r>
        <w:rPr>
          <w:rFonts w:ascii="Arial" w:cs="Arial" w:eastAsia="Arial" w:hAnsi="Arial"/>
          <w:sz w:val="16"/>
          <w:szCs w:val="16"/>
          <w:color w:val="auto"/>
        </w:rPr>
        <w:t xml:space="preserve"> </w:t>
      </w:r>
      <w:r>
        <w:rPr>
          <w:rFonts w:ascii="Arial" w:cs="Arial" w:eastAsia="Arial" w:hAnsi="Arial"/>
          <w:sz w:val="16"/>
          <w:szCs w:val="16"/>
          <w:i w:val="1"/>
          <w:iCs w:val="1"/>
          <w:color w:val="auto"/>
        </w:rPr>
        <w:t>Molecular Pathology v. Myriad Genetics, Inc</w:t>
      </w:r>
      <w:r>
        <w:rPr>
          <w:rFonts w:ascii="Arial" w:cs="Arial" w:eastAsia="Arial" w:hAnsi="Arial"/>
          <w:sz w:val="16"/>
          <w:szCs w:val="16"/>
          <w:color w:val="auto"/>
        </w:rPr>
        <w:t>. precludes a claim to a nucleic acid having a stated nucleotide sequence that is identical to a sequence found in nature and</w:t>
      </w:r>
      <w:r>
        <w:rPr>
          <w:rFonts w:ascii="Arial" w:cs="Arial" w:eastAsia="Arial" w:hAnsi="Arial"/>
          <w:sz w:val="16"/>
          <w:szCs w:val="16"/>
          <w:i w:val="1"/>
          <w:iCs w:val="1"/>
          <w:color w:val="auto"/>
        </w:rPr>
        <w:t xml:space="preserve"> </w:t>
      </w:r>
      <w:r>
        <w:rPr>
          <w:rFonts w:ascii="Arial" w:cs="Arial" w:eastAsia="Arial" w:hAnsi="Arial"/>
          <w:sz w:val="16"/>
          <w:szCs w:val="16"/>
          <w:color w:val="auto"/>
        </w:rPr>
        <w:t>has not been modified. We currently are not aware of an immediate impact of this decision on our patents or patent applications because we are developing product candidates that contain modifications, such as our Probody substrates and masks, that we believe are not found in nature. However, this decision has yet to be clearly interpreted by courts and by the USPTO. We cannot assure you that the interpretations of this decision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54" w:name="page55"/>
    <w:bookmarkEnd w:id="54"/>
    <w:p>
      <w:pPr>
        <w:ind w:right="160"/>
        <w:spacing w:after="0" w:line="270" w:lineRule="auto"/>
        <w:rPr>
          <w:sz w:val="20"/>
          <w:szCs w:val="20"/>
          <w:color w:val="auto"/>
        </w:rPr>
      </w:pPr>
      <w:r>
        <w:rPr>
          <w:rFonts w:ascii="Arial" w:cs="Arial" w:eastAsia="Arial" w:hAnsi="Arial"/>
          <w:sz w:val="16"/>
          <w:szCs w:val="16"/>
          <w:color w:val="auto"/>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allowed or granted claims thus attacked, or may lose the allowed or granted claims altogether. In addition, there can be no assurance that:</w:t>
      </w:r>
    </w:p>
    <w:p>
      <w:pPr>
        <w:spacing w:after="0" w:line="66" w:lineRule="exact"/>
        <w:rPr>
          <w:sz w:val="20"/>
          <w:szCs w:val="20"/>
          <w:color w:val="auto"/>
        </w:rPr>
      </w:pPr>
    </w:p>
    <w:p>
      <w:pPr>
        <w:ind w:left="1020" w:right="40" w:hanging="512"/>
        <w:spacing w:after="0" w:line="261" w:lineRule="auto"/>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Others will not or may not be able to make, use or sell compounds that are the same as or similar to our product candidates but that are not covered by the claims of the patents that we own or license.</w:t>
      </w:r>
    </w:p>
    <w:p>
      <w:pPr>
        <w:spacing w:after="0" w:line="71" w:lineRule="exact"/>
        <w:rPr>
          <w:rFonts w:ascii="Arial" w:cs="Arial" w:eastAsia="Arial" w:hAnsi="Arial"/>
          <w:sz w:val="17"/>
          <w:szCs w:val="17"/>
          <w:color w:val="auto"/>
        </w:rPr>
      </w:pPr>
    </w:p>
    <w:p>
      <w:pPr>
        <w:ind w:left="1020" w:right="20" w:hanging="512"/>
        <w:spacing w:after="0" w:line="261" w:lineRule="auto"/>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or our licensors, or our collaborators are the first to make the inventions covered by each of our issued patents and pending patent applications that we own or license.</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or our licensors, or our collaborators are the first to file patent applications covering certain aspects of our inventions.</w:t>
      </w:r>
    </w:p>
    <w:p>
      <w:pPr>
        <w:spacing w:after="0" w:line="102" w:lineRule="exact"/>
        <w:rPr>
          <w:rFonts w:ascii="Arial" w:cs="Arial" w:eastAsia="Arial" w:hAnsi="Arial"/>
          <w:sz w:val="17"/>
          <w:szCs w:val="17"/>
          <w:color w:val="auto"/>
        </w:rPr>
      </w:pPr>
    </w:p>
    <w:p>
      <w:pPr>
        <w:ind w:left="1020" w:right="320" w:hanging="512"/>
        <w:spacing w:after="0" w:line="261" w:lineRule="auto"/>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Others will not independently develop similar or alternative technologies or duplicate any of our technologies without infringing, misappropriating or otherwise violating our intellectual property rights.</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third party may not challenge our patents and, if challenged, a court would hold that our patents are valid, enforceable and infringed.</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issued patents that we own or have licensed will provide us with any competitive advantages, or will not be challenged by third parties.</w:t>
      </w:r>
    </w:p>
    <w:p>
      <w:pPr>
        <w:spacing w:after="0" w:line="114" w:lineRule="exact"/>
        <w:rPr>
          <w:rFonts w:ascii="Arial" w:cs="Arial" w:eastAsia="Arial" w:hAnsi="Arial"/>
          <w:sz w:val="16"/>
          <w:szCs w:val="16"/>
          <w:color w:val="auto"/>
        </w:rPr>
      </w:pPr>
    </w:p>
    <w:p>
      <w:pPr>
        <w:ind w:left="1020" w:hanging="512"/>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develop additional proprietary technologies that are patentable.</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patents of others will not have a material or adverse effect on our business, financial condition, results of operations and prospects.</w:t>
      </w:r>
    </w:p>
    <w:p>
      <w:pPr>
        <w:spacing w:after="0" w:line="102" w:lineRule="exact"/>
        <w:rPr>
          <w:rFonts w:ascii="Arial" w:cs="Arial" w:eastAsia="Arial" w:hAnsi="Arial"/>
          <w:sz w:val="17"/>
          <w:szCs w:val="17"/>
          <w:color w:val="auto"/>
        </w:rPr>
      </w:pPr>
    </w:p>
    <w:p>
      <w:pPr>
        <w:ind w:left="1020" w:right="600" w:hanging="512"/>
        <w:spacing w:after="0" w:line="292"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248" w:lineRule="exact"/>
        <w:rPr>
          <w:sz w:val="20"/>
          <w:szCs w:val="20"/>
          <w:color w:val="auto"/>
        </w:rPr>
      </w:pPr>
    </w:p>
    <w:p>
      <w:pPr>
        <w:spacing w:after="0" w:line="261" w:lineRule="auto"/>
        <w:rPr>
          <w:sz w:val="20"/>
          <w:szCs w:val="20"/>
          <w:color w:val="auto"/>
        </w:rPr>
      </w:pPr>
      <w:r>
        <w:rPr>
          <w:rFonts w:ascii="Arial" w:cs="Arial" w:eastAsia="Arial" w:hAnsi="Arial"/>
          <w:sz w:val="17"/>
          <w:szCs w:val="17"/>
          <w:b w:val="1"/>
          <w:bCs w:val="1"/>
          <w:i w:val="1"/>
          <w:iCs w:val="1"/>
          <w:color w:val="auto"/>
        </w:rPr>
        <w:t>Other companies or organizations may challenge our or our licensors’ patent rights or may assert patent rights that prevent us from developing and commercializing our products.</w:t>
      </w:r>
    </w:p>
    <w:p>
      <w:pPr>
        <w:spacing w:after="0" w:line="72" w:lineRule="exact"/>
        <w:rPr>
          <w:sz w:val="20"/>
          <w:szCs w:val="20"/>
          <w:color w:val="auto"/>
        </w:rPr>
      </w:pPr>
    </w:p>
    <w:p>
      <w:pPr>
        <w:ind w:right="140"/>
        <w:spacing w:after="0" w:line="314" w:lineRule="auto"/>
        <w:rPr>
          <w:sz w:val="20"/>
          <w:szCs w:val="20"/>
          <w:color w:val="auto"/>
        </w:rPr>
      </w:pPr>
      <w:r>
        <w:rPr>
          <w:rFonts w:ascii="Arial" w:cs="Arial" w:eastAsia="Arial" w:hAnsi="Arial"/>
          <w:sz w:val="14"/>
          <w:szCs w:val="14"/>
          <w:color w:val="auto"/>
        </w:rPr>
        <w:t>Probody therapeutics are a relatively new scientific field. We have obtained grants and issuances of Probody therapeutic patents and have licensed one patent family comprising several of these patents from a third party on an exclusive basis for therapeutics applications.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and have licensed a portfolio of patents, patent applications and other intellectual property covering Probody compositions of matter as well as their methods of manufacturing and use.</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w:t>
      </w:r>
    </w:p>
    <w:p>
      <w:pPr>
        <w:spacing w:after="0" w:line="179"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62" w:lineRule="exact"/>
        <w:rPr>
          <w:sz w:val="20"/>
          <w:szCs w:val="20"/>
          <w:color w:val="auto"/>
        </w:rPr>
      </w:pPr>
    </w:p>
    <w:p>
      <w:pPr>
        <w:spacing w:after="0" w:line="320" w:lineRule="auto"/>
        <w:rPr>
          <w:sz w:val="20"/>
          <w:szCs w:val="20"/>
          <w:color w:val="auto"/>
        </w:rPr>
      </w:pPr>
      <w:r>
        <w:rPr>
          <w:rFonts w:ascii="Arial" w:cs="Arial" w:eastAsia="Arial" w:hAnsi="Arial"/>
          <w:sz w:val="14"/>
          <w:szCs w:val="14"/>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Probody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103" w:lineRule="exact"/>
        <w:rPr>
          <w:sz w:val="20"/>
          <w:szCs w:val="20"/>
          <w:color w:val="auto"/>
        </w:rPr>
      </w:pPr>
    </w:p>
    <w:p>
      <w:pPr>
        <w:ind w:right="40"/>
        <w:spacing w:after="0" w:line="306" w:lineRule="auto"/>
        <w:rPr>
          <w:sz w:val="20"/>
          <w:szCs w:val="20"/>
          <w:color w:val="auto"/>
        </w:rPr>
      </w:pPr>
      <w:r>
        <w:rPr>
          <w:rFonts w:ascii="Arial" w:cs="Arial" w:eastAsia="Arial" w:hAnsi="Arial"/>
          <w:sz w:val="14"/>
          <w:szCs w:val="14"/>
          <w:color w:val="auto"/>
        </w:rPr>
        <w:t>Obtaining a valid and enforceable issued or granted patent covering our technology in the U.S.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spacing w:after="0" w:line="146"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 xml:space="preserve">We generally file a provisional patent application first (a priority filing) at the USPTO. An international application under the Patent Cooperation Treaty (“PCT”) is usually filed within twelve months after the priority filing. Based on the PCT filing, national and regional patent applications may be filed in the United States, Europe, Japan, Australia and Canada and, depending on the individual case, also in any or all of, </w:t>
      </w:r>
      <w:r>
        <w:rPr>
          <w:rFonts w:ascii="Arial" w:cs="Arial" w:eastAsia="Arial" w:hAnsi="Arial"/>
          <w:sz w:val="16"/>
          <w:szCs w:val="16"/>
          <w:i w:val="1"/>
          <w:iCs w:val="1"/>
          <w:color w:val="auto"/>
        </w:rPr>
        <w:t>inter alia</w:t>
      </w:r>
      <w:r>
        <w:rPr>
          <w:rFonts w:ascii="Arial" w:cs="Arial" w:eastAsia="Arial" w:hAnsi="Arial"/>
          <w:sz w:val="16"/>
          <w:szCs w:val="16"/>
          <w:color w:val="auto"/>
        </w:rPr>
        <w:t>, Brazil, China, Hong Kong, India, Indonesia, Israel, Malaysia, Mexico, New Zealand, Russia or Eurasian Patent Organization, Singapore,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various scopes of patent protection may be granted on the same product candidate or technology.</w:t>
      </w:r>
    </w:p>
    <w:p>
      <w:pPr>
        <w:spacing w:after="0" w:line="175" w:lineRule="exact"/>
        <w:rPr>
          <w:sz w:val="20"/>
          <w:szCs w:val="20"/>
          <w:color w:val="auto"/>
        </w:rPr>
      </w:pPr>
    </w:p>
    <w:p>
      <w:pPr>
        <w:ind w:right="280"/>
        <w:spacing w:after="0" w:line="263" w:lineRule="auto"/>
        <w:rPr>
          <w:sz w:val="20"/>
          <w:szCs w:val="20"/>
          <w:color w:val="auto"/>
        </w:rPr>
      </w:pPr>
      <w:r>
        <w:rPr>
          <w:rFonts w:ascii="Arial" w:cs="Arial" w:eastAsia="Arial" w:hAnsi="Arial"/>
          <w:sz w:val="16"/>
          <w:szCs w:val="16"/>
          <w:color w:val="auto"/>
        </w:rPr>
        <w:t>The laws of some jurisdictions do not protect intellectual property rights to the same extent as the laws in the U.S.,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274"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b w:val="1"/>
          <w:bCs w:val="1"/>
          <w:i w:val="1"/>
          <w:iCs w:val="1"/>
          <w:color w:val="auto"/>
        </w:rPr>
        <w:t>We or our licensors,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time consuming, delay or prevent the development and commercialization of our product candidates, or put our patents and other proprietary rights at risk.</w:t>
      </w:r>
    </w:p>
    <w:p>
      <w:pPr>
        <w:spacing w:after="0" w:line="83"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We or our licensors,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For example, in March 2020, Vytacera Bio, LLC 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The Company believes that the lawsuit is without merit and intends to vigorously defend itself. However, there can be no assurance that a court might not rule against us in these proceedings. Even if we are successful in defending against such claim, this litigation could divert management’s attention, as well as our resources, from our business and any claims paid out of our cash reserves would harm our financial condition and operating results.</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56" w:name="page57"/>
    <w:bookmarkEnd w:id="56"/>
    <w:p>
      <w:pPr>
        <w:ind w:right="100"/>
        <w:spacing w:after="0" w:line="270" w:lineRule="auto"/>
        <w:rPr>
          <w:sz w:val="20"/>
          <w:szCs w:val="20"/>
          <w:color w:val="auto"/>
        </w:rPr>
      </w:pPr>
      <w:r>
        <w:rPr>
          <w:rFonts w:ascii="Arial" w:cs="Arial" w:eastAsia="Arial" w:hAnsi="Arial"/>
          <w:sz w:val="16"/>
          <w:szCs w:val="16"/>
          <w:color w:val="auto"/>
        </w:rPr>
        <w:t>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165"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If we were to initiate legal proceedings against a third party to enforce a patent covering one of our products or our technology, the defendant could counterclaim that our patent is invalid or unenforceable. In patent litigation in the U.S.,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misappropriating or otherwise violating our patents or other intellectual property rights.</w:t>
      </w:r>
    </w:p>
    <w:p>
      <w:pPr>
        <w:spacing w:after="0" w:line="200" w:lineRule="exact"/>
        <w:rPr>
          <w:sz w:val="20"/>
          <w:szCs w:val="20"/>
          <w:color w:val="auto"/>
        </w:rPr>
      </w:pPr>
    </w:p>
    <w:p>
      <w:pPr>
        <w:spacing w:after="0" w:line="249"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80"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Because the antibody landscape is still evolving, including the masked antibody landscape, it is difficult to conclusively assess our freedom to operate without infringing on third-party rights. There are numerous companies that have pending patent applications and issued patents broadly covering antibodies generally or covering antibodies directed against the same targets as, or targets similar to, those we are pursuing. There are many issued patents and patent applications covering antibodies targeted against PD-1 and PD-L1, and the intellectual property covering PD-1 and PD-L1 antibodies has been the subject of litigation and licensing, especially regarding how broadly certain claims should be construed. If the claims were to be construed broadly by the courts, we may need to obtain a license to some of such intellectual property, covering PD-1 and/or PD-L1 antibodies, which would decrease the profits we would realize from the sale of such products. An increasing number of third parties are filing masked antibody patent applications, several of which contain claims that are patterned after our own patent claims. Our competitive position may suffer if patents issued to third parties or other third-party intellectual property rights cover our products or product candidates or elements thereof, or our manufacture or uses relevant to our development plans.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our Probody therapeutic technologies. There also may be pending patent applications of which we are not aware that may result in issued patents, which could be alleged to be infringed by our Probody therapeutic technologies. If such an infringement claim should be brought and be successful, we may be required to pay substantial damages, be forced to abandon our product candidates or seek a license from any patent holders. No assurances can be given that a license will be available on commercially reasonable terms, if at all.</w:t>
      </w:r>
    </w:p>
    <w:p>
      <w:pPr>
        <w:spacing w:after="0" w:line="352" w:lineRule="exact"/>
        <w:rPr>
          <w:sz w:val="20"/>
          <w:szCs w:val="20"/>
          <w:color w:val="auto"/>
        </w:rPr>
      </w:pPr>
    </w:p>
    <w:p>
      <w:pPr>
        <w:ind w:right="40"/>
        <w:spacing w:after="0" w:line="303" w:lineRule="auto"/>
        <w:rPr>
          <w:sz w:val="20"/>
          <w:szCs w:val="20"/>
          <w:color w:val="auto"/>
        </w:rPr>
      </w:pPr>
      <w:r>
        <w:rPr>
          <w:rFonts w:ascii="Arial" w:cs="Arial" w:eastAsia="Arial" w:hAnsi="Arial"/>
          <w:sz w:val="14"/>
          <w:szCs w:val="14"/>
          <w:color w:val="auto"/>
        </w:rPr>
        <w:t>It is also possible that we have failed to identify relevant third-party patents or applications.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03" w:lineRule="exact"/>
        <w:rPr>
          <w:sz w:val="20"/>
          <w:szCs w:val="20"/>
          <w:color w:val="auto"/>
        </w:rPr>
      </w:pPr>
    </w:p>
    <w:p>
      <w:pPr>
        <w:spacing w:after="0" w:line="308" w:lineRule="auto"/>
        <w:rPr>
          <w:sz w:val="20"/>
          <w:szCs w:val="20"/>
          <w:color w:val="auto"/>
        </w:rPr>
      </w:pPr>
      <w:r>
        <w:rPr>
          <w:rFonts w:ascii="Arial" w:cs="Arial" w:eastAsia="Arial" w:hAnsi="Arial"/>
          <w:sz w:val="14"/>
          <w:szCs w:val="14"/>
          <w:color w:val="auto"/>
        </w:rPr>
        <w:t>Litigation, including the ongoing patent infringement lawsuit brought by Vytacera Bio, LLC (“Vytacera”) against us,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4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or from successfully challenging our intellectual property rights. For example, although we believe the Vytacera lawsuit is without merit and we intend to vigorously defend ourselves, we cannot provide any assurance that we will be successful. Uncertainties resulting from the initiation and continuation of patent litigation or other proceedings could have a material and adverse effect on our ability to compete in the marketplace.</w:t>
      </w:r>
    </w:p>
    <w:p>
      <w:pPr>
        <w:spacing w:after="0" w:line="271" w:lineRule="exact"/>
        <w:rPr>
          <w:sz w:val="20"/>
          <w:szCs w:val="20"/>
          <w:color w:val="auto"/>
        </w:rPr>
      </w:pPr>
    </w:p>
    <w:p>
      <w:pPr>
        <w:ind w:right="460"/>
        <w:spacing w:after="0" w:line="368" w:lineRule="auto"/>
        <w:rPr>
          <w:sz w:val="20"/>
          <w:szCs w:val="20"/>
          <w:color w:val="auto"/>
        </w:rPr>
      </w:pPr>
      <w:r>
        <w:rPr>
          <w:rFonts w:ascii="Arial" w:cs="Arial" w:eastAsia="Arial" w:hAnsi="Arial"/>
          <w:sz w:val="14"/>
          <w:szCs w:val="14"/>
          <w:b w:val="1"/>
          <w:bCs w:val="1"/>
          <w:i w:val="1"/>
          <w:iCs w:val="1"/>
          <w:color w:val="auto"/>
        </w:rPr>
        <w:t>If we fail to comply with our obligations under any license, collaboration or other agreements, we may be required to pay damages and could lose our rights to intellectual property rights that are necessary for developing and protecting our product candidates or we could lose certain rights to grant sublicenses.</w:t>
      </w:r>
    </w:p>
    <w:p>
      <w:pPr>
        <w:spacing w:after="0" w:line="3"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Our licenses from Amgen, ImmunoGen and UCSB impose, and any future licenses we enter into are likely to impose, various development, commercialization, funding, diligence, sublicensing, insurance, patent prosecution and enforcement and/or other obligations on us, including various payment obligations such as milestone and royalty payments and payments based on sublicensing revenues. Our rights under our agreements with our licensors or collaborators may be limited or modified according to their terms. Additionally,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and collaborators may own or control intellectual property that has not been licensed to us and, as a result, we may be subject to claims, regardless of their merit, that we are infringing, misappropriating or otherwise violating the licensor’s rights. In addition, while we cannot currently determine the amount of the royalty or sublicense revenue payment obligations we would be required to pay on development or sales of future products, if any, the amounts may be significant. The amount of our future royalty or sublicense revenue payment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00" w:lineRule="exact"/>
        <w:rPr>
          <w:sz w:val="20"/>
          <w:szCs w:val="20"/>
          <w:color w:val="auto"/>
        </w:rPr>
      </w:pPr>
    </w:p>
    <w:p>
      <w:pPr>
        <w:spacing w:after="0" w:line="244" w:lineRule="exact"/>
        <w:rPr>
          <w:sz w:val="20"/>
          <w:szCs w:val="20"/>
          <w:color w:val="auto"/>
        </w:rPr>
      </w:pPr>
    </w:p>
    <w:p>
      <w:pPr>
        <w:jc w:val="both"/>
        <w:ind w:right="220"/>
        <w:spacing w:after="0" w:line="252" w:lineRule="auto"/>
        <w:rPr>
          <w:sz w:val="20"/>
          <w:szCs w:val="20"/>
          <w:color w:val="auto"/>
        </w:rPr>
      </w:pPr>
      <w:r>
        <w:rPr>
          <w:rFonts w:ascii="Arial" w:cs="Arial" w:eastAsia="Arial" w:hAnsi="Arial"/>
          <w:sz w:val="17"/>
          <w:szCs w:val="17"/>
          <w:b w:val="1"/>
          <w:bCs w:val="1"/>
          <w:i w:val="1"/>
          <w:iCs w:val="1"/>
          <w:color w:val="auto"/>
        </w:rPr>
        <w:t>Our intellectual property agreements with our licensors, collaborators and third parties may be subject to disagreements over contract interpretation, which could narrow the scope of, or result in termination of, our rights to the relevant intellectual property or technology or increase our financial or other obligations to such third parties.</w:t>
      </w:r>
    </w:p>
    <w:p>
      <w:pPr>
        <w:spacing w:after="0" w:line="80"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Certain provisions in our intellectual property agreements may be susceptible to multiple interpretations. For example, we may disagree with our licensors or collaborators regarding whether, when and to what extent various obligations under these agreements apply to certain of our product candidates and products, including various payment, development, commercialization, funding, diligence, sublicensing, insurance, patent prosecution and enforcement and/or other obligations. The resolution of any contract interpretation disagreement that may arise could affect the scope of our rights to the relevant intellectual property or technology, or affect financial or other obligations under the relevant agreement. In either case, such disagreement could have a material adverse effect on our business, financial condition, results of operations and prospects.</w:t>
      </w:r>
    </w:p>
    <w:p>
      <w:pPr>
        <w:spacing w:after="0" w:line="184" w:lineRule="exact"/>
        <w:rPr>
          <w:sz w:val="20"/>
          <w:szCs w:val="20"/>
          <w:color w:val="auto"/>
        </w:rPr>
      </w:pPr>
    </w:p>
    <w:p>
      <w:pPr>
        <w:ind w:right="40"/>
        <w:spacing w:after="0" w:line="202" w:lineRule="exact"/>
        <w:rPr>
          <w:sz w:val="20"/>
          <w:szCs w:val="20"/>
          <w:color w:val="auto"/>
        </w:rPr>
      </w:pPr>
      <w:r>
        <w:rPr>
          <w:rFonts w:ascii="Arial" w:cs="Arial" w:eastAsia="Arial" w:hAnsi="Arial"/>
          <w:sz w:val="14"/>
          <w:szCs w:val="14"/>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w:t>
      </w:r>
      <w:r>
        <w:rPr>
          <w:rFonts w:ascii="MS PGothic" w:cs="MS PGothic" w:eastAsia="MS PGothic" w:hAnsi="MS PGothic"/>
          <w:sz w:val="14"/>
          <w:szCs w:val="14"/>
          <w:color w:val="auto"/>
        </w:rPr>
        <w:t>‑</w:t>
      </w:r>
      <w:r>
        <w:rPr>
          <w:rFonts w:ascii="Arial" w:cs="Arial" w:eastAsia="Arial" w:hAnsi="Arial"/>
          <w:sz w:val="14"/>
          <w:szCs w:val="14"/>
          <w:color w:val="auto"/>
        </w:rPr>
        <w:t>executing or may be breached, and we may be forced to bring claims against third parties, or defend claims they may bring against us, to determine the ownership of what we regard as our intellectual property.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103"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In addition to seeking patent protection for certain aspects of our product candidates, we also consider trade secrets, including confidential and unpatented know-how, important to the maintenance of our competitive position. We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w:t>
      </w:r>
    </w:p>
    <w:p>
      <w:pPr>
        <w:spacing w:after="0" w:line="169"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283"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80" w:lineRule="exact"/>
        <w:rPr>
          <w:sz w:val="20"/>
          <w:szCs w:val="20"/>
          <w:color w:val="auto"/>
        </w:rPr>
      </w:pPr>
    </w:p>
    <w:p>
      <w:pPr>
        <w:ind w:right="60"/>
        <w:spacing w:after="0" w:line="310" w:lineRule="auto"/>
        <w:rPr>
          <w:sz w:val="20"/>
          <w:szCs w:val="20"/>
          <w:color w:val="auto"/>
        </w:rPr>
      </w:pPr>
      <w:r>
        <w:rPr>
          <w:rFonts w:ascii="Arial" w:cs="Arial" w:eastAsia="Arial" w:hAnsi="Arial"/>
          <w:sz w:val="14"/>
          <w:szCs w:val="14"/>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242"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72"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Government Regulation</w:t>
      </w:r>
    </w:p>
    <w:p>
      <w:pPr>
        <w:spacing w:after="0" w:line="107"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b w:val="1"/>
          <w:bCs w:val="1"/>
          <w:i w:val="1"/>
          <w:iCs w:val="1"/>
          <w:color w:val="auto"/>
        </w:rPr>
        <w:t>We may be unable to obtain or be delayed in obtaining U.S. or foreign regulatory approval and, as a result, be unable or delayed in being able to commercialize our product candidates.</w:t>
      </w:r>
    </w:p>
    <w:p>
      <w:pPr>
        <w:spacing w:after="0" w:line="72"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Our product candidates that we are currently developing are regulated as therapeutic biologics that are subject to requirements for review and approval of a BLA by the FDA’s Center for Drug Evaluation and Research (“CDER”). Therefore, 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and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 consuming, uncertain and subject to unanticipated delays. For example, at this time it is impossible to predict whether the COVID-19 pandemic will cause regulatory delays in the U.S. or foreign jurisdictions. It is possible that none of the product candidates we may develop will obtain the regulatory approvals necessary for us or our existing or future collaborators to begin selling them.</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624" w:right="359" w:bottom="1440" w:gutter="0" w:footer="0" w:header="0"/>
        </w:sectPr>
      </w:pPr>
    </w:p>
    <w:bookmarkStart w:id="59" w:name="page60"/>
    <w:bookmarkEnd w:id="59"/>
    <w:p>
      <w:pPr>
        <w:spacing w:after="0" w:line="304" w:lineRule="auto"/>
        <w:rPr>
          <w:sz w:val="20"/>
          <w:szCs w:val="20"/>
          <w:color w:val="auto"/>
        </w:rPr>
      </w:pPr>
      <w:r>
        <w:rPr>
          <w:rFonts w:ascii="Arial" w:cs="Arial" w:eastAsia="Arial" w:hAnsi="Arial"/>
          <w:sz w:val="14"/>
          <w:szCs w:val="14"/>
          <w:color w:val="auto"/>
        </w:rPr>
        <w:t>As a company, we have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Further, government shutdowns, such as the partial U.S. federal government shutdown in late 2018 or the uncertain impact of the United Kingdom’s departure from the European Union may impact our ability to access government agencies in a timely manner or otherwise impact our ability to move our product candidates through the regulatory process. It is impossible to predict whether legislative changes will be enacted, or whether FDA or foreign regulations, guidance or interpretations will be changed, or what the impact of such changes, if any, may be.</w:t>
      </w:r>
    </w:p>
    <w:p>
      <w:pPr>
        <w:spacing w:after="0" w:line="350"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Moreover, the FDA may respond to our submissions by defining requirements we may not have anticipated. Such responses could lead to significant delays in the clinical development of our 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and therapeutic biologics, and the FDA’s standards, especially regarding product safety, appear to have become more stringent.</w:t>
      </w:r>
    </w:p>
    <w:p>
      <w:pPr>
        <w:spacing w:after="0" w:line="184" w:lineRule="exact"/>
        <w:rPr>
          <w:sz w:val="20"/>
          <w:szCs w:val="20"/>
          <w:color w:val="auto"/>
        </w:rPr>
      </w:pPr>
    </w:p>
    <w:p>
      <w:pPr>
        <w:ind w:right="20"/>
        <w:spacing w:after="0" w:line="310" w:lineRule="auto"/>
        <w:rPr>
          <w:sz w:val="20"/>
          <w:szCs w:val="20"/>
          <w:color w:val="auto"/>
        </w:rPr>
      </w:pPr>
      <w:r>
        <w:rPr>
          <w:rFonts w:ascii="Arial" w:cs="Arial" w:eastAsia="Arial" w:hAnsi="Arial"/>
          <w:sz w:val="14"/>
          <w:szCs w:val="14"/>
          <w:color w:val="auto"/>
        </w:rPr>
        <w:t>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REMS as part of a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43" w:lineRule="exact"/>
        <w:rPr>
          <w:sz w:val="20"/>
          <w:szCs w:val="20"/>
          <w:color w:val="auto"/>
        </w:rPr>
      </w:pPr>
    </w:p>
    <w:p>
      <w:pPr>
        <w:ind w:right="80"/>
        <w:spacing w:after="0" w:line="320" w:lineRule="auto"/>
        <w:rPr>
          <w:sz w:val="20"/>
          <w:szCs w:val="20"/>
          <w:color w:val="auto"/>
        </w:rPr>
      </w:pPr>
      <w:r>
        <w:rPr>
          <w:rFonts w:ascii="Arial" w:cs="Arial" w:eastAsia="Arial" w:hAnsi="Arial"/>
          <w:sz w:val="14"/>
          <w:szCs w:val="14"/>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U.S. and vice versa.</w:t>
      </w:r>
    </w:p>
    <w:p>
      <w:pPr>
        <w:spacing w:after="0" w:line="234" w:lineRule="exact"/>
        <w:rPr>
          <w:sz w:val="20"/>
          <w:szCs w:val="20"/>
          <w:color w:val="auto"/>
        </w:rPr>
      </w:pPr>
    </w:p>
    <w:p>
      <w:pPr>
        <w:ind w:right="140"/>
        <w:spacing w:after="0" w:line="332" w:lineRule="auto"/>
        <w:rPr>
          <w:sz w:val="20"/>
          <w:szCs w:val="20"/>
          <w:color w:val="auto"/>
        </w:rPr>
      </w:pPr>
      <w:r>
        <w:rPr>
          <w:rFonts w:ascii="Arial" w:cs="Arial" w:eastAsia="Arial" w:hAnsi="Arial"/>
          <w:sz w:val="14"/>
          <w:szCs w:val="14"/>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27"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Any regulatory approvals that we or our collaborators obtain for our product candidates may also be subject to limitations on the approved indicated uses for which a product may be marketed or to the conditions of approval, or contain requirements for potentially costly post-marketing testing, including “Phase 4” clinical trials, and surveillance to monitor the safety and efficacy of the product candidate. 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47" w:lineRule="exact"/>
        <w:rPr>
          <w:sz w:val="20"/>
          <w:szCs w:val="20"/>
          <w:color w:val="auto"/>
        </w:rPr>
      </w:pPr>
    </w:p>
    <w:p>
      <w:pPr>
        <w:ind w:left="1020" w:hanging="512"/>
        <w:spacing w:after="0"/>
        <w:tabs>
          <w:tab w:leader="none" w:pos="10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restrictions on the marketing or manufacturing of the product, withdrawal of the product from the market or voluntary or mandatory product recalls;</w:t>
      </w:r>
    </w:p>
    <w:p>
      <w:pPr>
        <w:spacing w:after="0" w:line="137" w:lineRule="exact"/>
        <w:rPr>
          <w:rFonts w:ascii="Arial" w:cs="Arial" w:eastAsia="Arial" w:hAnsi="Arial"/>
          <w:sz w:val="14"/>
          <w:szCs w:val="14"/>
          <w:color w:val="auto"/>
        </w:rPr>
      </w:pPr>
    </w:p>
    <w:p>
      <w:pPr>
        <w:ind w:left="1020" w:hanging="512"/>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fines, warning letters or holds on clinical trials;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refusal by the FDA to approve pending applications or supplements to approved applications filed by us or our strategic partners;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60" w:name="page61"/>
    <w:bookmarkEnd w:id="60"/>
    <w:p>
      <w:pPr>
        <w:ind w:left="1020" w:hanging="512"/>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suspension or revocation of product license approvals;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products; and</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202" w:lineRule="exact"/>
        <w:rPr>
          <w:sz w:val="20"/>
          <w:szCs w:val="20"/>
          <w:color w:val="auto"/>
        </w:rPr>
      </w:pPr>
    </w:p>
    <w:p>
      <w:pPr>
        <w:ind w:right="40"/>
        <w:spacing w:after="0" w:line="332" w:lineRule="auto"/>
        <w:rPr>
          <w:sz w:val="20"/>
          <w:szCs w:val="20"/>
          <w:color w:val="auto"/>
        </w:rPr>
      </w:pPr>
      <w:r>
        <w:rPr>
          <w:rFonts w:ascii="Arial" w:cs="Arial" w:eastAsia="Arial" w:hAnsi="Arial"/>
          <w:sz w:val="14"/>
          <w:szCs w:val="14"/>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27" w:lineRule="exact"/>
        <w:rPr>
          <w:sz w:val="20"/>
          <w:szCs w:val="20"/>
          <w:color w:val="auto"/>
        </w:rPr>
      </w:pPr>
    </w:p>
    <w:p>
      <w:pPr>
        <w:ind w:right="100"/>
        <w:spacing w:after="0" w:line="306" w:lineRule="auto"/>
        <w:rPr>
          <w:sz w:val="20"/>
          <w:szCs w:val="20"/>
          <w:color w:val="auto"/>
        </w:rPr>
      </w:pPr>
      <w:r>
        <w:rPr>
          <w:rFonts w:ascii="Arial" w:cs="Arial" w:eastAsia="Arial" w:hAnsi="Arial"/>
          <w:sz w:val="14"/>
          <w:szCs w:val="14"/>
          <w:color w:val="auto"/>
        </w:rPr>
        <w:t>We also cannot predict the likelihood, nature or extent of government regulation that may arise from future legislation or administrative or executive action, either in the United States or abroad. For example, the results of the 2020 U.S. Presidential Election may impact our business and industry. Namely, the Trump administration took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whether or how these executive actions will be implemented, or whether they will be rescinded and replaced under the Biden administration. The policies and priorities of a new administration are unknown and could materially impact the regulations governing our product candidates.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product candidates for which we intend to seek approval as biologic products may face competition sooner than anticipated.</w:t>
      </w:r>
    </w:p>
    <w:p>
      <w:pPr>
        <w:spacing w:after="0" w:line="103"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The Affordable Care Act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p>
    <w:p>
      <w:pPr>
        <w:spacing w:after="0" w:line="185"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283"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80" w:lineRule="exact"/>
        <w:rPr>
          <w:sz w:val="20"/>
          <w:szCs w:val="20"/>
          <w:color w:val="auto"/>
        </w:rPr>
      </w:pPr>
    </w:p>
    <w:p>
      <w:pPr>
        <w:spacing w:after="0" w:line="308" w:lineRule="auto"/>
        <w:rPr>
          <w:sz w:val="20"/>
          <w:szCs w:val="20"/>
          <w:color w:val="auto"/>
        </w:rPr>
      </w:pPr>
      <w:r>
        <w:rPr>
          <w:rFonts w:ascii="Arial" w:cs="Arial" w:eastAsia="Arial" w:hAnsi="Arial"/>
          <w:sz w:val="14"/>
          <w:szCs w:val="14"/>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inherently fluid and unpredictable. Disruptions at the FDA and other agencies may also slow the time necessary for therapeutic biologics or modifications to approved therapeutic 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FDA employees and stop critical activities.</w:t>
      </w:r>
    </w:p>
    <w:p>
      <w:pPr>
        <w:spacing w:after="0" w:line="143"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Separately, in response to the global pandemic of COVID-19, on March 10, 2020, the FDA announced its intention to postpone most inspections of foreign manufacturing facilities,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61" w:name="page62"/>
    <w:bookmarkEnd w:id="61"/>
    <w:p>
      <w:pPr>
        <w:ind w:right="200"/>
        <w:spacing w:after="0" w:line="267" w:lineRule="auto"/>
        <w:rPr>
          <w:sz w:val="20"/>
          <w:szCs w:val="20"/>
          <w:color w:val="auto"/>
        </w:rPr>
      </w:pPr>
      <w:r>
        <w:rPr>
          <w:rFonts w:ascii="Arial" w:cs="Arial" w:eastAsia="Arial" w:hAnsi="Arial"/>
          <w:sz w:val="16"/>
          <w:szCs w:val="16"/>
          <w:color w:val="auto"/>
        </w:rPr>
        <w:t>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legislative reform measures may have a material and adverse effect on our business and results of operations.</w:t>
      </w:r>
    </w:p>
    <w:p>
      <w:pPr>
        <w:spacing w:after="0" w:line="103" w:lineRule="exact"/>
        <w:rPr>
          <w:sz w:val="20"/>
          <w:szCs w:val="20"/>
          <w:color w:val="auto"/>
        </w:rPr>
      </w:pPr>
    </w:p>
    <w:p>
      <w:pPr>
        <w:ind w:right="20"/>
        <w:spacing w:after="0" w:line="304" w:lineRule="auto"/>
        <w:rPr>
          <w:sz w:val="20"/>
          <w:szCs w:val="20"/>
          <w:color w:val="auto"/>
        </w:rPr>
      </w:pPr>
      <w:r>
        <w:rPr>
          <w:rFonts w:ascii="Arial" w:cs="Arial" w:eastAsia="Arial" w:hAnsi="Arial"/>
          <w:sz w:val="14"/>
          <w:szCs w:val="14"/>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(together, the “ACA”), was passed, which substantially changed the way healthcare is financed by both governmental and private insurers, and significantly impacts the U.S. pharmaceutical industry. The ACA, among other things, subjected therapeutic biologics to potential competition by lower-cost biosimilars, addressed a new methodology by which rebates owed by manufacturers under the Medicaid Drug Rebate Program are calculated for drugs and therapeutic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therapeutic biologics, and created a new Medicare Part D coverage gap discount program, in which manufacturers must agree to offer 50% point-of-sale discounts, which, through subsequent legislative amendments, was increased to 70% starting in 2019, off negotiated prices of applicable brand drugs and therapeutic biologics to eligible beneficiaries during their coverage gap period, as a condition for the manufacturer’s outpatient drugs and therapeutic biologics to be covered under Medicare Part D.</w:t>
      </w:r>
    </w:p>
    <w:p>
      <w:pPr>
        <w:spacing w:after="0" w:line="350"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Since its enactment, there have been judicial and Congressional challenges to certain aspects of the ACA. By way of example, the Tax Cuts and Jobs Act of 2017 includes a provision repealing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ruled that the individual mandate is a critical and inseverable feature of the ACA, and therefore, because it was repealed as part of the Tax Cuts and Jobs Act, the remaining provisions of the ACA are invalid as well. On December 18, 2019, the U.S. Court of Appeals for the 5th Circuit upheld the District Court's decision that the individual mandate was unconstitutional but remanded the case back to the District Court to determine whether the remaining provisions of the ACA are invalid as well. The U.S. Supreme Court is currently reviewing the case, and its ruling may impact the application and effect of ACA. In addition, there may be other efforts to challenge, repeal, or replace the ACA. We are continuing to monitor any changes to the ACA that, in turn, may potentially impact our business in the future.</w:t>
      </w:r>
    </w:p>
    <w:p>
      <w:pPr>
        <w:spacing w:after="0" w:line="146"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to reduce healthcare expenditures.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2, 2020 through March 31, 2021, unless additional Congressional action is taken.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177" w:lineRule="exact"/>
        <w:rPr>
          <w:sz w:val="20"/>
          <w:szCs w:val="20"/>
          <w:color w:val="auto"/>
        </w:rPr>
      </w:pPr>
    </w:p>
    <w:p>
      <w:pPr>
        <w:spacing w:after="0" w:line="303" w:lineRule="auto"/>
        <w:rPr>
          <w:sz w:val="20"/>
          <w:szCs w:val="20"/>
          <w:color w:val="auto"/>
        </w:rPr>
      </w:pPr>
      <w:r>
        <w:rPr>
          <w:rFonts w:ascii="Arial" w:cs="Arial" w:eastAsia="Arial" w:hAnsi="Arial"/>
          <w:sz w:val="14"/>
          <w:szCs w:val="14"/>
          <w:color w:val="auto"/>
        </w:rPr>
        <w:t xml:space="preserve">Moreover, payment methodologies, including payment for companion diagnostics, may be subject to changes in healthcare legislation and regulatory initiatives. For example, the Centers for Medicare &amp; Medicaid Services (“CMS”) has begun bundling the Medicare payments for certain laboratory tests ordered while a patient received services in a hospital outpatient setting. Additionally, CMS significantly altered the payment methodology under the Medicare Clinical Laboratory Fee Schedule (CLFS). Effective 2018, the CFLS is based on a weighted average of reported prices that private payors, Medicare Advantage plans, and Medicaid Managed Care plans pay for laboratory services. Further, in March 2018, CMS finalized a national coverage determination extending coverage under the Medicare program for certain diagnostic laboratory tests using next generation sequencing (“NGS”) that are approved by the FDA as a companion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diagnostic and used in a cancer with an FDA-approved companion diagnostic indication. Under the national coverage determination, diagnostic tests that meet these criteria are covered only in patients with recurrent, metastatic, relapsed, refractory or stages III or IV cancer if the test has an FDA-approved or cleared indication for use in that patient’s cancer and results are provided to the treating physician for management of the patient using a report template to specify treatment options. Although the Medicare program increasingly is used as a model for how private payors and other governmental payors develop their coverage and reimbursement policies, it is difficult to predict at this time what third-party payors will decide with respect to the coverage and reimbursement for any companion diagnostics associated with our product candidates.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62" w:name="page63"/>
    <w:bookmarkEnd w:id="62"/>
    <w:p>
      <w:pPr>
        <w:spacing w:after="0" w:line="301" w:lineRule="auto"/>
        <w:rPr>
          <w:sz w:val="20"/>
          <w:szCs w:val="20"/>
          <w:color w:val="auto"/>
        </w:rPr>
      </w:pPr>
      <w:r>
        <w:rPr>
          <w:rFonts w:ascii="Arial" w:cs="Arial" w:eastAsia="Arial" w:hAnsi="Arial"/>
          <w:sz w:val="14"/>
          <w:szCs w:val="14"/>
          <w:color w:val="auto"/>
        </w:rPr>
        <w:t>In addition,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For example, the 21st Century Cures Act changed the reimbursement methodology for infusion drugs and biologics furnished through durable medical equipment in an attempt to remedy over- and underpayment of certain products. Furthermore, with the new Presidential administration and both houses of Congress under the control of one party, which has promoted substantial changes to the healthcare system and drug pricing rules, some changes are likely. If certain of these changes are implemented, it could have a materially adverse impact on the ability of biotechnology and pharmaceutical companies, like us, to obtain capital to further their research or develop their product candidates make it economically unfeasible for such companies to continue to develop needed new innovative therapies.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companion diagnostics or additional pricing pressures.</w:t>
      </w:r>
    </w:p>
    <w:p>
      <w:pPr>
        <w:spacing w:after="0" w:line="253" w:lineRule="exact"/>
        <w:rPr>
          <w:sz w:val="20"/>
          <w:szCs w:val="20"/>
          <w:color w:val="auto"/>
        </w:rPr>
      </w:pPr>
    </w:p>
    <w:p>
      <w:pPr>
        <w:ind w:right="500"/>
        <w:spacing w:after="0" w:line="292" w:lineRule="auto"/>
        <w:rPr>
          <w:sz w:val="20"/>
          <w:szCs w:val="20"/>
          <w:color w:val="auto"/>
        </w:rPr>
      </w:pPr>
      <w:r>
        <w:rPr>
          <w:rFonts w:ascii="Arial" w:cs="Arial" w:eastAsia="Arial" w:hAnsi="Arial"/>
          <w:sz w:val="16"/>
          <w:szCs w:val="16"/>
          <w:b w:val="1"/>
          <w:bCs w:val="1"/>
          <w:i w:val="1"/>
          <w:iCs w:val="1"/>
          <w:color w:val="auto"/>
        </w:rPr>
        <w:t>If we or our collaborators, manufacturers or service providers fail to comply with healthcare laws and regulations, we or they could be subject to enforcement actions, which could affect our ability to develop, market and sell our products and may harm our reputation.</w:t>
      </w:r>
    </w:p>
    <w:p>
      <w:pPr>
        <w:spacing w:after="0" w:line="49" w:lineRule="exact"/>
        <w:rPr>
          <w:sz w:val="20"/>
          <w:szCs w:val="20"/>
          <w:color w:val="auto"/>
        </w:rPr>
      </w:pPr>
    </w:p>
    <w:p>
      <w:pPr>
        <w:ind w:right="60"/>
        <w:spacing w:after="0" w:line="310" w:lineRule="auto"/>
        <w:rPr>
          <w:sz w:val="20"/>
          <w:szCs w:val="20"/>
          <w:color w:val="auto"/>
        </w:rPr>
      </w:pPr>
      <w:r>
        <w:rPr>
          <w:rFonts w:ascii="Arial" w:cs="Arial" w:eastAsia="Arial" w:hAnsi="Arial"/>
          <w:sz w:val="14"/>
          <w:szCs w:val="14"/>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spacing w:after="0" w:line="44" w:lineRule="exact"/>
        <w:rPr>
          <w:sz w:val="20"/>
          <w:szCs w:val="20"/>
          <w:color w:val="auto"/>
        </w:rPr>
      </w:pPr>
    </w:p>
    <w:p>
      <w:pPr>
        <w:ind w:left="1020" w:right="20" w:hanging="512"/>
        <w:spacing w:after="0" w:line="320" w:lineRule="auto"/>
        <w:tabs>
          <w:tab w:leader="none" w:pos="10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35" w:lineRule="exact"/>
        <w:rPr>
          <w:rFonts w:ascii="Arial" w:cs="Arial" w:eastAsia="Arial" w:hAnsi="Arial"/>
          <w:sz w:val="14"/>
          <w:szCs w:val="14"/>
          <w:color w:val="auto"/>
        </w:rPr>
      </w:pPr>
    </w:p>
    <w:p>
      <w:pPr>
        <w:ind w:left="1020" w:right="180" w:hanging="512"/>
        <w:spacing w:after="0" w:line="247"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84" w:lineRule="exact"/>
        <w:rPr>
          <w:rFonts w:ascii="Arial" w:cs="Arial" w:eastAsia="Arial" w:hAnsi="Arial"/>
          <w:sz w:val="17"/>
          <w:szCs w:val="17"/>
          <w:color w:val="auto"/>
        </w:rPr>
      </w:pPr>
    </w:p>
    <w:p>
      <w:pPr>
        <w:ind w:left="1020" w:right="40" w:hanging="512"/>
        <w:spacing w:after="0" w:line="248"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82" w:lineRule="exact"/>
        <w:rPr>
          <w:rFonts w:ascii="Arial" w:cs="Arial" w:eastAsia="Arial" w:hAnsi="Arial"/>
          <w:sz w:val="17"/>
          <w:szCs w:val="17"/>
          <w:color w:val="auto"/>
        </w:rPr>
      </w:pPr>
    </w:p>
    <w:p>
      <w:pPr>
        <w:ind w:left="1020" w:right="40" w:hanging="512"/>
        <w:spacing w:after="0" w:line="314" w:lineRule="auto"/>
        <w:tabs>
          <w:tab w:leader="none" w:pos="10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teaching hospitals and, beginning in 2022, certain other health care professionals, as well as ownership and investment interests held by the physicians described above and their immediate family members;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63" w:name="page64"/>
    <w:bookmarkEnd w:id="63"/>
    <w:p>
      <w:pPr>
        <w:ind w:left="1020" w:right="40" w:hanging="512"/>
        <w:spacing w:after="0" w:line="267" w:lineRule="auto"/>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state laws that require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pricing information.</w:t>
      </w:r>
    </w:p>
    <w:p>
      <w:pPr>
        <w:spacing w:after="0" w:line="169"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penalties, including civil or criminal penalties, monetary damages, the curtailment or restructuring of our operations, loss of eligibility to obtain approvals from the FDA, or exclusion from participation in government contracting, healthcare reimbursement or other government programs, including Medicare and Medicaid, any of which could adversely our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72"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If we or future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80" w:lineRule="exact"/>
        <w:rPr>
          <w:sz w:val="20"/>
          <w:szCs w:val="20"/>
          <w:color w:val="auto"/>
        </w:rPr>
      </w:pPr>
    </w:p>
    <w:p>
      <w:pPr>
        <w:ind w:left="1020" w:hanging="512"/>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adverse regulatory inspection findings;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warning letters;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voluntary or mandatory product recalls or public notification or medical product safety alerts to healthcare professionals;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restrictions on, or prohibitions against, marketing our products;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restrictions on, or prohibitions against, importation or exportation of our products;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suspension of review or refusal to approve pending applications or supplements to approved applications;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exclusion from participation in government-funded healthcare programs;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exclusion from eligibility for the award of government contracts for our products;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suspension or withdrawal of product approvals;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seizures or administrative detention of products;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injunctions; and</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civil and criminal penalties and fines.</w:t>
      </w:r>
    </w:p>
    <w:p>
      <w:pPr>
        <w:spacing w:after="0" w:line="301"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72"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If we rely on third-party manufacturers, we will not have control over compliance with applicable rules and regulations by such manufacturers. Any product promotion and advertising will also be subject to regulatory requirements and continuing regulatory review. If we or our collaborators, manufacturers or service providers fail to</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425" w:right="359" w:bottom="1440" w:gutter="0" w:footer="0" w:header="0"/>
        </w:sectPr>
      </w:pPr>
    </w:p>
    <w:bookmarkStart w:id="64" w:name="page65"/>
    <w:bookmarkEnd w:id="64"/>
    <w:p>
      <w:pPr>
        <w:ind w:right="20"/>
        <w:spacing w:after="0" w:line="249" w:lineRule="auto"/>
        <w:rPr>
          <w:sz w:val="20"/>
          <w:szCs w:val="20"/>
          <w:color w:val="auto"/>
        </w:rPr>
      </w:pPr>
      <w:r>
        <w:rPr>
          <w:rFonts w:ascii="Arial" w:cs="Arial" w:eastAsia="Arial" w:hAnsi="Arial"/>
          <w:sz w:val="17"/>
          <w:szCs w:val="17"/>
          <w:color w:val="auto"/>
        </w:rPr>
        <w:t>comply with applicable continuing regulatory requirements in the U.S. or foreign jurisdictions in which we seek to market our products, we or they may be subject to, among other things, fines, warning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 civil penalties and criminal prosecution.</w:t>
      </w:r>
    </w:p>
    <w:p>
      <w:pPr>
        <w:spacing w:after="0" w:line="281"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b w:val="1"/>
          <w:bCs w:val="1"/>
          <w:i w:val="1"/>
          <w:iCs w:val="1"/>
          <w:color w:val="auto"/>
        </w:rPr>
        <w:t>We face regulation and potential liability related to the privacy, data protection and information security which may require significant resources and may adversely affect our business, operations and financial performance.</w:t>
      </w:r>
    </w:p>
    <w:p>
      <w:pPr>
        <w:spacing w:after="0" w:line="7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regulatory environment surrounding information security, data collection and privacy is increasingly demanding. We are subject to numerous U.S. federal and state laws and non-U.S. regulations governing the protection of personal and confidential information of our clinical subjects, clinical investigators, employees and vendors/business contacts, including in relation to medical records, credit card data and financial information. For example, on May 25, 2018, the European Union General Data Protection Regulation, or GDPR, became effective, implementing more stringent requirements in relation to our use of personal data relating to individuals located in the E.U. (and E.E.A.). The GDPR is directly applicable in all E.U. and E.E.A. member states. The GDPR significantly increased fining levels to up to 4% total worldwide annual turnover or up to €20 million (whichever is higher) for non-compliance with its requirements. Further, following the withdrawal of the United Kingdom from the E.U. and the expiry of the transition period, from January 1, 2021, we have to comply with the GDPR and separately the GDPR as implemented in the United Kingdom, with each regime having the ability to issue substantial fines. The relationship between the United Kingdom and the E.U. in relation to certain aspects of data protection law remains unclear, including how data transfers between E.U. member states and the United Kingdom will be treated. These changes may lead to additional compliance costs and could increase our overall risk. We will be subject to the GDPR where we have an E.U. presence or “establishment” (</w:t>
      </w:r>
      <w:r>
        <w:rPr>
          <w:rFonts w:ascii="Arial" w:cs="Arial" w:eastAsia="Arial" w:hAnsi="Arial"/>
          <w:sz w:val="16"/>
          <w:szCs w:val="16"/>
          <w:i w:val="1"/>
          <w:iCs w:val="1"/>
          <w:color w:val="auto"/>
        </w:rPr>
        <w:t>e.g</w:t>
      </w:r>
      <w:r>
        <w:rPr>
          <w:rFonts w:ascii="Arial" w:cs="Arial" w:eastAsia="Arial" w:hAnsi="Arial"/>
          <w:sz w:val="16"/>
          <w:szCs w:val="16"/>
          <w:color w:val="auto"/>
        </w:rPr>
        <w:t>., E.U. based subsidiary or operations), when conducting clinical trials with E.U. based data subjects (whether the trials are conducted directly by us or through a clinical vendor or collaborator) or offering approved products or services (if relevant) to E.U. and E.E.A. based data subjects (regardless of whether involving our E.U. based subsidiary or operations).</w:t>
      </w:r>
    </w:p>
    <w:p>
      <w:pPr>
        <w:spacing w:after="0" w:line="180"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The GDPR sets out a number of requirements that must be complied with when handling the personal data of such data subjects within the E.U. and the E.E.A. including: providing expanded disclosures about how their personal data will be used; higher standards for organizations to demonstrate that they have obtained valid consent or have another legal basis in place to justify their data processing activities; the obligation to appoint data protection officers in certain circumstances; new rights for individuals to be “forgotten” and rights to data portability, as well as enhanced current rights (e.g., access requests); the principal of accountability and demonstrating compliance through policies, procedures, training and audit; the new mandatory data breach regime. In particular, medical or health data, genetic data and biometric data where the latter is used to uniquely identify an individual (even, in certain situations, where such data is key coded) are all classified as “special category” data under GDPR and afford greater protection and require additional compliance obligations. Further, E.U. and EEA member states have a broad right to impose additional conditions – including restrictions – on these data categories. This is because the GDPR allows E.U. and E.E.A. member states to derogate from the requirements of the GDPR mainly in regard to specific processing situations (including special category data and processing for scientific or statistical purposes).</w:t>
      </w:r>
    </w:p>
    <w:p>
      <w:pPr>
        <w:spacing w:after="0" w:line="145" w:lineRule="exact"/>
        <w:rPr>
          <w:sz w:val="20"/>
          <w:szCs w:val="20"/>
          <w:color w:val="auto"/>
        </w:rPr>
      </w:pPr>
    </w:p>
    <w:p>
      <w:pPr>
        <w:ind w:right="20"/>
        <w:spacing w:after="0" w:line="302" w:lineRule="auto"/>
        <w:rPr>
          <w:sz w:val="20"/>
          <w:szCs w:val="20"/>
          <w:color w:val="auto"/>
        </w:rPr>
      </w:pPr>
      <w:r>
        <w:rPr>
          <w:rFonts w:ascii="Arial" w:cs="Arial" w:eastAsia="Arial" w:hAnsi="Arial"/>
          <w:sz w:val="14"/>
          <w:szCs w:val="14"/>
          <w:color w:val="auto"/>
        </w:rPr>
        <w:t>We will also be subject to evolving E.U. laws on data export, where we transfer data outside the E.U. (or E.E.A.) to group companies or third parties. Recent legal developments in Europe have created complexity and uncertainty regarding transfers of personal data from the E.E.A. to the United States. For example, on July 16, 2020, the Court of Justice of the European Union (CJEU) invalidated the EU-US Privacy Shield Framework (Privacy Shield) under which personal data could be transferred from the E.E.A. to United States entities which had self-certified under the Privacy Shield scheme.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Use of the standard contractual clauses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These recent developments will require us to review and amend the legal mechanisms by which we transfer personal data from the E.E.A. to the United States. As supervisory authorities issue further guidance on personal data export mechanisms, including circumstances where the standard contractual clauses cannot be used, or start taking enforcement action, we could suffer additional costs, complaints and/or regulatory investigations or fines, 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350"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Where we rely on third parties to carry out a number of services for us, including processing personal data on our behalf, we are required under GDPR to enter into contractual arrangements to help ensure that these third parties only process such data according to our instructions and have sufficient security measures in place. Any security breach or non-compliance with our contractual terms 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65" w:name="page66"/>
    <w:bookmarkEnd w:id="65"/>
    <w:p>
      <w:pPr>
        <w:ind w:right="280"/>
        <w:spacing w:after="0" w:line="261" w:lineRule="auto"/>
        <w:rPr>
          <w:sz w:val="20"/>
          <w:szCs w:val="20"/>
          <w:color w:val="auto"/>
        </w:rPr>
      </w:pPr>
      <w:r>
        <w:rPr>
          <w:rFonts w:ascii="Arial" w:cs="Arial" w:eastAsia="Arial" w:hAnsi="Arial"/>
          <w:sz w:val="17"/>
          <w:szCs w:val="17"/>
          <w:color w:val="auto"/>
        </w:rPr>
        <w:t>breach of applicable law by such third parties could result in enforcement actions, litigation, fines and penalties or adverse publicity and could cause our customers to lose trust in us, which could have an adverse impact on our reputation and business.</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In recent years, U.S. and European lawmakers and regulators have expressed concern over electronic marketing and the use of third-party cookies, web beacons and similar technology for online behavioral advertising. In the E.U., marketing is defined broadly to include any promotional material and the rules specifically on e-marketing are currently set out in the ePrivacy Directive which will be replaced by a new ePrivacy Regulation. While the ePrivacy Regulation was originally intended to be adopted on May 25, 2018 (alongside the GDPR), it is still going through the European legislative process. The current draft of the ePrivacy Regulation imposes strict opt-in e-marketing rules with limited exceptions to business to business communications and significantly increases fining powers to the same levels as GDPR (see above). Regulation of cookies and web beacons may lead to broader restrictions on our online activities, including efforts to understand followers’ internet usage and promote ourselves to them.</w:t>
      </w:r>
    </w:p>
    <w:p>
      <w:pPr>
        <w:spacing w:after="0" w:line="173"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We may find it necessary or desirable to join self-regulatory bodies or other privacy-related organizations, particularly relating to biopharmacy and/or scientific research, that require compliance with their rules pertaining to privacy and data security.</w:t>
      </w:r>
    </w:p>
    <w:p>
      <w:pPr>
        <w:spacing w:after="0" w:line="171" w:lineRule="exact"/>
        <w:rPr>
          <w:sz w:val="20"/>
          <w:szCs w:val="20"/>
          <w:color w:val="auto"/>
        </w:rPr>
      </w:pPr>
    </w:p>
    <w:p>
      <w:pPr>
        <w:ind w:right="20"/>
        <w:spacing w:after="0" w:line="314" w:lineRule="auto"/>
        <w:rPr>
          <w:sz w:val="20"/>
          <w:szCs w:val="20"/>
          <w:color w:val="auto"/>
        </w:rPr>
      </w:pPr>
      <w:r>
        <w:rPr>
          <w:rFonts w:ascii="Arial" w:cs="Arial" w:eastAsia="Arial" w:hAnsi="Arial"/>
          <w:sz w:val="14"/>
          <w:szCs w:val="14"/>
          <w:color w:val="auto"/>
        </w:rPr>
        <w:t>In the United States, California enacted the California Consumer Privacy Act (“CCPA”) on June 28, 2018, which went into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139" w:lineRule="exact"/>
        <w:rPr>
          <w:sz w:val="20"/>
          <w:szCs w:val="20"/>
          <w:color w:val="auto"/>
        </w:rPr>
      </w:pPr>
    </w:p>
    <w:p>
      <w:pPr>
        <w:ind w:right="20"/>
        <w:spacing w:after="0" w:line="314" w:lineRule="auto"/>
        <w:rPr>
          <w:sz w:val="20"/>
          <w:szCs w:val="20"/>
          <w:color w:val="auto"/>
        </w:rPr>
      </w:pPr>
      <w:r>
        <w:rPr>
          <w:rFonts w:ascii="Arial" w:cs="Arial" w:eastAsia="Arial" w:hAnsi="Arial"/>
          <w:sz w:val="14"/>
          <w:szCs w:val="14"/>
          <w:color w:val="auto"/>
        </w:rPr>
        <w:t>If any person, including any of our employees, clinical vendors or collaborators or those with whom we share such information, negligently disregards or intentionally breaches our established controls with respect to our clinical subject, clinical investigator or employee data, or otherwise mismanages or misappropriates that data, we could be subject to significant monetary damages, regulatory enforcement actions, fines and/or criminal prosecution in one or more jurisdictions. As above, under the GDPR there are significant new punishments for non-compliance which could result in a penalty of up to 4% of a firm’s global annual revenue. In addition, a data breach could result in negative publicity which could damage our reputation and have an adverse effect on our business, financial condition or results of operations.</w:t>
      </w:r>
    </w:p>
    <w:p>
      <w:pPr>
        <w:spacing w:after="0" w:line="139" w:lineRule="exact"/>
        <w:rPr>
          <w:sz w:val="20"/>
          <w:szCs w:val="20"/>
          <w:color w:val="auto"/>
        </w:rPr>
      </w:pPr>
    </w:p>
    <w:p>
      <w:pPr>
        <w:ind w:right="180"/>
        <w:spacing w:after="0" w:line="247" w:lineRule="auto"/>
        <w:rPr>
          <w:sz w:val="20"/>
          <w:szCs w:val="20"/>
          <w:color w:val="auto"/>
        </w:rPr>
      </w:pPr>
      <w:r>
        <w:rPr>
          <w:rFonts w:ascii="Arial" w:cs="Arial" w:eastAsia="Arial" w:hAnsi="Arial"/>
          <w:sz w:val="17"/>
          <w:szCs w:val="17"/>
          <w:color w:val="auto"/>
        </w:rPr>
        <w:t>Efforts to comply with these and other data privacy and security restrictions that may be enacted could require us to modify our data processing practices and policies and increase the cost of our operations. We strive to comply with all applicable laws, but they may conflict with each other, and by complying with the laws or regulations of one jurisdiction, we may find that we are violating the laws or regulations of another jurisdiction. Despite our efforts, we may not have fully complied in the past and may not in the future. If we become liable under laws or regulations applicable to us, we could be required to pay significant fines and penalties, our reputation may be harmed and we may be forced to change the way we operate. That could require us to incur significant expenses or to discontinue certain services, which could negatively affect our business.</w:t>
      </w:r>
    </w:p>
    <w:p>
      <w:pPr>
        <w:spacing w:after="0" w:line="283"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72"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87"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Our ability to commercialize any products successfully also will depend in part on the extent to which coverage and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 There may be significant delays in obtaining reimbursement for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66" w:name="page67"/>
    <w:bookmarkEnd w:id="66"/>
    <w:p>
      <w:pPr>
        <w:ind w:right="20"/>
        <w:spacing w:after="0" w:line="304" w:lineRule="auto"/>
        <w:rPr>
          <w:sz w:val="20"/>
          <w:szCs w:val="20"/>
          <w:color w:val="auto"/>
        </w:rPr>
      </w:pPr>
      <w:r>
        <w:rPr>
          <w:rFonts w:ascii="Arial" w:cs="Arial" w:eastAsia="Arial" w:hAnsi="Arial"/>
          <w:sz w:val="14"/>
          <w:szCs w:val="14"/>
          <w:color w:val="auto"/>
        </w:rPr>
        <w:t>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not be 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U.S. Third-party payors often rely upon Medicare coverage policy and payment limitations in setting their own reimbursement rates. Our inability to promptly obtain coverage and adequate reimbursement rates from both government-funded and private payors for new drugs or therapeutic biologics that we develop and for which we obtain regulatory approval could have a material and adverse effect on our operating results, our ability to raise capital needed to commercialize products and our financial condition.</w:t>
      </w:r>
    </w:p>
    <w:p>
      <w:pPr>
        <w:spacing w:after="0" w:line="200" w:lineRule="exact"/>
        <w:rPr>
          <w:sz w:val="20"/>
          <w:szCs w:val="20"/>
          <w:color w:val="auto"/>
        </w:rPr>
      </w:pPr>
    </w:p>
    <w:p>
      <w:pPr>
        <w:spacing w:after="0" w:line="244" w:lineRule="exact"/>
        <w:rPr>
          <w:sz w:val="20"/>
          <w:szCs w:val="20"/>
          <w:color w:val="auto"/>
        </w:rPr>
      </w:pPr>
    </w:p>
    <w:p>
      <w:pPr>
        <w:spacing w:after="0" w:line="332" w:lineRule="auto"/>
        <w:rPr>
          <w:sz w:val="20"/>
          <w:szCs w:val="20"/>
          <w:color w:val="auto"/>
        </w:rPr>
      </w:pPr>
      <w:r>
        <w:rPr>
          <w:rFonts w:ascii="Arial" w:cs="Arial" w:eastAsia="Arial" w:hAnsi="Arial"/>
          <w:sz w:val="14"/>
          <w:szCs w:val="14"/>
          <w:b w:val="1"/>
          <w:bCs w:val="1"/>
          <w:i w:val="1"/>
          <w:iCs w:val="1"/>
          <w:color w:val="auto"/>
        </w:rPr>
        <w:t>We may seek and fail to obtain fast track or breakthrough therapy designations for our current or future product candidates. If we are successful, these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spacing w:after="0" w:line="27"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If a product is intended for the treatment of a serious or life-threatening condition and preclinical or clinical data demonstrate the potential to address an unmet medical need for this condition, the product sponsor may apply for fast track designation. Fast track designation provides increased opportunities for sponsor meetings with the FDA during preclinical and clinical development, in addition to the potential for rolling review of a BLA, if the sponsor provides a schedule for the submission of the sections of the BLA, the FDA agrees to accept sections of the BLA and determines that the schedule is acceptable, and the sponsor pays any required user fees upon submission of the first section of the BLA.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175" w:lineRule="exact"/>
        <w:rPr>
          <w:sz w:val="20"/>
          <w:szCs w:val="20"/>
          <w:color w:val="auto"/>
        </w:rPr>
      </w:pPr>
    </w:p>
    <w:p>
      <w:pPr>
        <w:ind w:right="40"/>
        <w:spacing w:after="0" w:line="306" w:lineRule="auto"/>
        <w:rPr>
          <w:sz w:val="20"/>
          <w:szCs w:val="20"/>
          <w:color w:val="auto"/>
        </w:rPr>
      </w:pPr>
      <w:r>
        <w:rPr>
          <w:rFonts w:ascii="Arial" w:cs="Arial" w:eastAsia="Arial" w:hAnsi="Arial"/>
          <w:sz w:val="14"/>
          <w:szCs w:val="14"/>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146" w:lineRule="exact"/>
        <w:rPr>
          <w:sz w:val="20"/>
          <w:szCs w:val="20"/>
          <w:color w:val="auto"/>
        </w:rPr>
      </w:pPr>
    </w:p>
    <w:p>
      <w:pPr>
        <w:ind w:right="40"/>
        <w:spacing w:after="0" w:line="304" w:lineRule="auto"/>
        <w:rPr>
          <w:sz w:val="20"/>
          <w:szCs w:val="20"/>
          <w:color w:val="auto"/>
        </w:rPr>
      </w:pPr>
      <w:r>
        <w:rPr>
          <w:rFonts w:ascii="Arial" w:cs="Arial" w:eastAsia="Arial" w:hAnsi="Arial"/>
          <w:sz w:val="14"/>
          <w:szCs w:val="14"/>
          <w:color w:val="auto"/>
        </w:rPr>
        <w:t>Product candidates may also be eligible for accelerated approval if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Products receiving accelerated approval may be subject to expedited withdrawal procedures if the sponsor fails to conduct the required post-marketing studies or if such studies fail to verify the predicted clinical benefit. In addition, the FDA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200" w:lineRule="exact"/>
        <w:rPr>
          <w:sz w:val="20"/>
          <w:szCs w:val="20"/>
          <w:color w:val="auto"/>
        </w:rPr>
      </w:pPr>
    </w:p>
    <w:p>
      <w:pPr>
        <w:spacing w:after="0" w:line="249"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w:t>
      </w:r>
    </w:p>
    <w:p>
      <w:pPr>
        <w:spacing w:after="0" w:line="72" w:lineRule="exact"/>
        <w:rPr>
          <w:sz w:val="20"/>
          <w:szCs w:val="20"/>
          <w:color w:val="auto"/>
        </w:rPr>
      </w:pPr>
    </w:p>
    <w:p>
      <w:pPr>
        <w:ind w:right="160"/>
        <w:spacing w:after="0" w:line="314" w:lineRule="auto"/>
        <w:rPr>
          <w:sz w:val="20"/>
          <w:szCs w:val="20"/>
          <w:color w:val="auto"/>
        </w:rPr>
      </w:pPr>
      <w:r>
        <w:rPr>
          <w:rFonts w:ascii="Arial" w:cs="Arial" w:eastAsia="Arial" w:hAnsi="Arial"/>
          <w:sz w:val="14"/>
          <w:szCs w:val="14"/>
          <w:color w:val="auto"/>
        </w:rPr>
        <w:t>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it is a drug or therapeutic biologic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or therapeutic biologic will be recovered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67" w:name="page68"/>
    <w:bookmarkEnd w:id="67"/>
    <w:p>
      <w:pPr>
        <w:spacing w:after="0" w:line="267" w:lineRule="auto"/>
        <w:rPr>
          <w:sz w:val="20"/>
          <w:szCs w:val="20"/>
          <w:color w:val="auto"/>
        </w:rPr>
      </w:pPr>
      <w:r>
        <w:rPr>
          <w:rFonts w:ascii="Arial" w:cs="Arial" w:eastAsia="Arial" w:hAnsi="Arial"/>
          <w:sz w:val="16"/>
          <w:szCs w:val="16"/>
          <w:color w:val="auto"/>
        </w:rPr>
        <w:t>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BLA, to market the same product for the same indication for seven years, except in limited circumstances, such as a showing of clinical superiority to the product with orphan drug exclusivity or where the manufacturer is unable to assure sufficient product quantity.</w:t>
      </w:r>
    </w:p>
    <w:p>
      <w:pPr>
        <w:spacing w:after="0" w:line="169"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Even if we obtain Orphan Drug Designation for our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biologics can be approved for the same condition. Even after an orphan product is approved, the FDA can subsequently approve the same drug or therapeutic biologic for the same condition if the FDA concludes that the later drug or therapeutic biologic is safer, more effective or makes a major contribution to patient care. Orphan Drug Designation neither shortens the development time or regulatory review time of a drug or therapeutic biologic nor gives the drug or therapeutic biologic any advantage in the regulatory review or approval process. In addition, while we may seek Orphan Drug Designation for our product candidates, we may never receive such designations.</w:t>
      </w:r>
    </w:p>
    <w:p>
      <w:pPr>
        <w:spacing w:after="0" w:line="177" w:lineRule="exact"/>
        <w:rPr>
          <w:sz w:val="20"/>
          <w:szCs w:val="20"/>
          <w:color w:val="auto"/>
        </w:rPr>
      </w:pPr>
    </w:p>
    <w:p>
      <w:pPr>
        <w:ind w:right="280"/>
        <w:spacing w:after="0" w:line="368" w:lineRule="auto"/>
        <w:rPr>
          <w:sz w:val="20"/>
          <w:szCs w:val="20"/>
          <w:color w:val="auto"/>
        </w:rPr>
      </w:pPr>
      <w:r>
        <w:rPr>
          <w:rFonts w:ascii="Arial" w:cs="Arial" w:eastAsia="Arial" w:hAnsi="Arial"/>
          <w:sz w:val="14"/>
          <w:szCs w:val="14"/>
          <w:color w:val="auto"/>
        </w:rPr>
        <w:t>Tax reform legislation passed in 2017 reduced the amount of the qualified clinical research costs for a designated orphan product that a sponsor may claim as a credit from 50% to 25%. Thus, further limiting the advantage and may impact our future business strategy of seeking the Orphan Drug Designation.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Ownership of Our Common Stock</w:t>
      </w:r>
    </w:p>
    <w:p>
      <w:pPr>
        <w:spacing w:after="0" w:line="107"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We expect our operating results to be subject to quarterly fluctuations. Our net loss and other operating results will be affected by numerous factors, including:</w:t>
      </w:r>
    </w:p>
    <w:p>
      <w:pPr>
        <w:spacing w:after="0" w:line="114" w:lineRule="exact"/>
        <w:rPr>
          <w:sz w:val="20"/>
          <w:szCs w:val="20"/>
          <w:color w:val="auto"/>
        </w:rPr>
      </w:pPr>
    </w:p>
    <w:p>
      <w:pPr>
        <w:ind w:left="1020" w:hanging="512"/>
        <w:spacing w:after="0"/>
        <w:tabs>
          <w:tab w:leader="none" w:pos="10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variations in the level of expense related to the ongoing development of our Probody platform, our product candidates or future development programs;</w:t>
      </w:r>
    </w:p>
    <w:p>
      <w:pPr>
        <w:spacing w:after="0" w:line="137" w:lineRule="exact"/>
        <w:rPr>
          <w:rFonts w:ascii="Arial" w:cs="Arial" w:eastAsia="Arial" w:hAnsi="Arial"/>
          <w:sz w:val="14"/>
          <w:szCs w:val="14"/>
          <w:color w:val="auto"/>
        </w:rPr>
      </w:pPr>
    </w:p>
    <w:p>
      <w:pPr>
        <w:ind w:left="1020" w:hanging="512"/>
        <w:spacing w:after="0"/>
        <w:tabs>
          <w:tab w:leader="none" w:pos="10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results of clinical trials, or the addition or termination of clinical trials or funding support by us, or existing or future collaborators or licensing partners;</w:t>
      </w:r>
    </w:p>
    <w:p>
      <w:pPr>
        <w:spacing w:after="0" w:line="137" w:lineRule="exact"/>
        <w:rPr>
          <w:rFonts w:ascii="Arial" w:cs="Arial" w:eastAsia="Arial" w:hAnsi="Arial"/>
          <w:sz w:val="14"/>
          <w:szCs w:val="14"/>
          <w:color w:val="auto"/>
        </w:rPr>
      </w:pPr>
    </w:p>
    <w:p>
      <w:pPr>
        <w:ind w:left="1020" w:right="220" w:hanging="512"/>
        <w:spacing w:after="0" w:line="261"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71" w:lineRule="exact"/>
        <w:rPr>
          <w:rFonts w:ascii="Arial" w:cs="Arial" w:eastAsia="Arial" w:hAnsi="Arial"/>
          <w:sz w:val="17"/>
          <w:szCs w:val="17"/>
          <w:color w:val="auto"/>
        </w:rPr>
      </w:pPr>
    </w:p>
    <w:p>
      <w:pPr>
        <w:ind w:left="1020" w:right="20" w:hanging="512"/>
        <w:spacing w:after="0" w:line="261"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developments or disputes concerning patents or other proprietary rights, including patents, litigation matters and our ability to obtain patent protection for our products;</w:t>
      </w:r>
    </w:p>
    <w:p>
      <w:pPr>
        <w:spacing w:after="0" w:line="71" w:lineRule="exact"/>
        <w:rPr>
          <w:rFonts w:ascii="Arial" w:cs="Arial" w:eastAsia="Arial" w:hAnsi="Arial"/>
          <w:sz w:val="17"/>
          <w:szCs w:val="17"/>
          <w:color w:val="auto"/>
        </w:rPr>
      </w:pPr>
    </w:p>
    <w:p>
      <w:pPr>
        <w:ind w:left="1020" w:right="280" w:hanging="512"/>
        <w:spacing w:after="0" w:line="261"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 including the ongoing patent infringement lawsuit brought by Vytacera against us;</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additions and departures of key personnel;</w:t>
      </w:r>
    </w:p>
    <w:p>
      <w:pPr>
        <w:spacing w:after="0" w:line="102" w:lineRule="exact"/>
        <w:rPr>
          <w:rFonts w:ascii="Arial" w:cs="Arial" w:eastAsia="Arial" w:hAnsi="Arial"/>
          <w:sz w:val="17"/>
          <w:szCs w:val="17"/>
          <w:color w:val="auto"/>
        </w:rPr>
      </w:pPr>
    </w:p>
    <w:p>
      <w:pPr>
        <w:ind w:left="1020" w:right="420" w:hanging="512"/>
        <w:spacing w:after="0" w:line="261"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strategic decisions by us or our competitors, such as acquisitions, divestitures, spin-offs, joint ventures, strategic investments or changes in business strategy;</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if any of our product candidates receives regulatory approval, the terms of such approval and market acceptance and demand for such product candidates;</w:t>
      </w:r>
    </w:p>
    <w:p>
      <w:pPr>
        <w:spacing w:after="0" w:line="137" w:lineRule="exact"/>
        <w:rPr>
          <w:rFonts w:ascii="Arial" w:cs="Arial" w:eastAsia="Arial" w:hAnsi="Arial"/>
          <w:sz w:val="14"/>
          <w:szCs w:val="14"/>
          <w:color w:val="auto"/>
        </w:rPr>
      </w:pPr>
    </w:p>
    <w:p>
      <w:pPr>
        <w:ind w:left="1020" w:hanging="512"/>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regulatory developments affecting our product candidates or those of our competitors; and</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general market and economic conditions.</w:t>
      </w:r>
    </w:p>
    <w:p>
      <w:pPr>
        <w:spacing w:after="0" w:line="202"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425" w:right="35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i w:val="1"/>
          <w:iCs w:val="1"/>
          <w:color w:val="auto"/>
        </w:rPr>
        <w:t>Our stock price may be volatile and purchasers of our common stock could incur substantial losses.</w:t>
      </w:r>
    </w:p>
    <w:p>
      <w:pPr>
        <w:spacing w:after="0" w:line="103" w:lineRule="exact"/>
        <w:rPr>
          <w:sz w:val="20"/>
          <w:szCs w:val="20"/>
          <w:color w:val="auto"/>
        </w:rPr>
      </w:pPr>
    </w:p>
    <w:p>
      <w:pPr>
        <w:ind w:right="40"/>
        <w:spacing w:after="0" w:line="368" w:lineRule="auto"/>
        <w:rPr>
          <w:sz w:val="20"/>
          <w:szCs w:val="20"/>
          <w:color w:val="auto"/>
        </w:rPr>
      </w:pPr>
      <w:r>
        <w:rPr>
          <w:rFonts w:ascii="Arial" w:cs="Arial" w:eastAsia="Arial" w:hAnsi="Arial"/>
          <w:sz w:val="14"/>
          <w:szCs w:val="14"/>
          <w:color w:val="auto"/>
        </w:rPr>
        <w:t>Our stock price is volatile. Since our initial public offering (“IPO”), our stock had low and high sales prices in the range of $3.60 and $35.00 per share. The market price for our common stock may be influenced by many factors, including the other risks described in this section titled “Risk Factors” and the following:</w:t>
      </w:r>
    </w:p>
    <w:p>
      <w:pPr>
        <w:spacing w:after="0" w:line="3" w:lineRule="exact"/>
        <w:rPr>
          <w:sz w:val="20"/>
          <w:szCs w:val="20"/>
          <w:color w:val="auto"/>
        </w:rPr>
      </w:pPr>
    </w:p>
    <w:p>
      <w:pPr>
        <w:ind w:left="1020" w:hanging="512"/>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results of clinical trials and preclinical studies of our product candidates, or those of our competitors or our collaborators;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regulatory or legal developments in the U.S. and other countries, especially changes in laws or regulations applicable to our products;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success of competitive products or technologies;</w:t>
      </w:r>
    </w:p>
    <w:p>
      <w:pPr>
        <w:spacing w:after="0" w:line="102" w:lineRule="exact"/>
        <w:rPr>
          <w:rFonts w:ascii="Arial" w:cs="Arial" w:eastAsia="Arial" w:hAnsi="Arial"/>
          <w:sz w:val="17"/>
          <w:szCs w:val="17"/>
          <w:color w:val="auto"/>
        </w:rPr>
      </w:pPr>
    </w:p>
    <w:p>
      <w:pPr>
        <w:ind w:left="1020" w:right="40" w:hanging="512"/>
        <w:spacing w:after="0" w:line="261"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introductions and announcements of new products by us, our future commercialization partners, or our competitors, and the timing of these introductions or announcements;</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products, clinical studies, manufacturing process or sales and marketing terms;</w:t>
      </w:r>
    </w:p>
    <w:p>
      <w:pPr>
        <w:spacing w:after="0" w:line="114" w:lineRule="exact"/>
        <w:rPr>
          <w:rFonts w:ascii="Arial" w:cs="Arial" w:eastAsia="Arial" w:hAnsi="Arial"/>
          <w:sz w:val="16"/>
          <w:szCs w:val="16"/>
          <w:color w:val="auto"/>
        </w:rPr>
      </w:pPr>
    </w:p>
    <w:p>
      <w:pPr>
        <w:ind w:left="1020" w:right="360" w:hanging="512"/>
        <w:spacing w:after="0" w:line="368" w:lineRule="auto"/>
        <w:tabs>
          <w:tab w:leader="none" w:pos="10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extent to which the COVID-19 pandemic and related governmental regulations and restrictions may impact our business, including our research, clinical trials, manufacturing and financial condition, as well as the impact of other pandemics, natural disasters and other calamities;</w:t>
      </w:r>
    </w:p>
    <w:p>
      <w:pPr>
        <w:spacing w:after="0" w:line="2" w:lineRule="exact"/>
        <w:rPr>
          <w:rFonts w:ascii="Arial" w:cs="Arial" w:eastAsia="Arial" w:hAnsi="Arial"/>
          <w:sz w:val="14"/>
          <w:szCs w:val="14"/>
          <w:color w:val="auto"/>
        </w:rPr>
      </w:pPr>
    </w:p>
    <w:p>
      <w:pPr>
        <w:ind w:left="1020" w:hanging="512"/>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actual or anticipated variations in our financial results or those of companies that are perceived to be similar to us;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success of our efforts to acquire or in-license additional technologies, products or product candidates;</w:t>
      </w:r>
    </w:p>
    <w:p>
      <w:pPr>
        <w:spacing w:after="0" w:line="102" w:lineRule="exact"/>
        <w:rPr>
          <w:rFonts w:ascii="Arial" w:cs="Arial" w:eastAsia="Arial" w:hAnsi="Arial"/>
          <w:sz w:val="17"/>
          <w:szCs w:val="17"/>
          <w:color w:val="auto"/>
        </w:rPr>
      </w:pPr>
    </w:p>
    <w:p>
      <w:pPr>
        <w:ind w:left="1020" w:right="420" w:hanging="512"/>
        <w:spacing w:after="0" w:line="261"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developments concerning any existing or future collaborations, including but not limited to those with our sources of manufacturing supply and our commercialization partners;</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market conditions in the pharmaceutical and biotechnology sectors;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02" w:lineRule="exact"/>
        <w:rPr>
          <w:rFonts w:ascii="Arial" w:cs="Arial" w:eastAsia="Arial" w:hAnsi="Arial"/>
          <w:sz w:val="17"/>
          <w:szCs w:val="17"/>
          <w:color w:val="auto"/>
        </w:rPr>
      </w:pPr>
    </w:p>
    <w:p>
      <w:pPr>
        <w:ind w:left="1020" w:hanging="512"/>
        <w:spacing w:after="0" w:line="261"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developments or disputes concerning patents or other proprietary rights, including patents, litigation matters and our ability to obtain patent protection for our products;</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or inability to raise additional capital and the terms on which we raise it;</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recruitment or departure of key personnel;</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w:t>
      </w:r>
    </w:p>
    <w:p>
      <w:pPr>
        <w:spacing w:after="0" w:line="102" w:lineRule="exact"/>
        <w:rPr>
          <w:rFonts w:ascii="Arial" w:cs="Arial" w:eastAsia="Arial" w:hAnsi="Arial"/>
          <w:sz w:val="17"/>
          <w:szCs w:val="17"/>
          <w:color w:val="auto"/>
        </w:rPr>
      </w:pPr>
    </w:p>
    <w:p>
      <w:pPr>
        <w:ind w:left="1020" w:right="100" w:hanging="512"/>
        <w:spacing w:after="0" w:line="261"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actual or anticipated changes in earnings estimates or changes in stock market analyst recommendations regarding our common stock, other comparable companies or our industry generally;</w:t>
      </w:r>
    </w:p>
    <w:p>
      <w:pPr>
        <w:spacing w:after="0" w:line="71" w:lineRule="exact"/>
        <w:rPr>
          <w:rFonts w:ascii="Arial" w:cs="Arial" w:eastAsia="Arial" w:hAnsi="Arial"/>
          <w:sz w:val="17"/>
          <w:szCs w:val="17"/>
          <w:color w:val="auto"/>
        </w:rPr>
      </w:pPr>
    </w:p>
    <w:p>
      <w:pPr>
        <w:ind w:left="1020" w:hanging="512"/>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fluctuations in the valuation of companies perceived by investors to be comparable to us;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announcement and expectation of additional financing efforts;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speculation in the press or investment community;</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trading volume of our common stock;</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sales of our common stock by us or our stockholders;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concentrated ownership of our common stock;</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accounting principles;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terrorist acts, acts of war or periods of widespread civil unrest;</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natural disasters and other calamities; and</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general economic, industry and market conditions.</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00"/>
          </w:cols>
          <w:pgMar w:left="320" w:top="624" w:right="379" w:bottom="1440" w:gutter="0" w:footer="0" w:header="0"/>
        </w:sectPr>
      </w:pPr>
    </w:p>
    <w:bookmarkStart w:id="69" w:name="page70"/>
    <w:bookmarkEnd w:id="69"/>
    <w:p>
      <w:pPr>
        <w:ind w:right="160"/>
        <w:spacing w:after="0" w:line="252" w:lineRule="auto"/>
        <w:rPr>
          <w:sz w:val="20"/>
          <w:szCs w:val="20"/>
          <w:color w:val="auto"/>
        </w:rPr>
      </w:pPr>
      <w:r>
        <w:rPr>
          <w:rFonts w:ascii="Arial" w:cs="Arial" w:eastAsia="Arial" w:hAnsi="Arial"/>
          <w:sz w:val="17"/>
          <w:szCs w:val="17"/>
          <w:color w:val="auto"/>
        </w:rPr>
        <w:t>The stock markets in general, and the markets for pharmaceutical, biopharmaceutical and biotechnology stocks in particular, have experienced extreme volatility, including as a result of the COVID-19 pandemic, that has been often unrelated to the operating performance of the issuer. These broad market and industry factors may seriously harm the market price of our common stock, regardless of our operating performance.</w:t>
      </w:r>
    </w:p>
    <w:p>
      <w:pPr>
        <w:spacing w:after="0" w:line="179" w:lineRule="exact"/>
        <w:rPr>
          <w:sz w:val="20"/>
          <w:szCs w:val="20"/>
          <w:color w:val="auto"/>
        </w:rPr>
      </w:pPr>
    </w:p>
    <w:p>
      <w:pPr>
        <w:ind w:right="520"/>
        <w:spacing w:after="0" w:line="261" w:lineRule="auto"/>
        <w:rPr>
          <w:sz w:val="20"/>
          <w:szCs w:val="20"/>
          <w:color w:val="auto"/>
        </w:rPr>
      </w:pPr>
      <w:r>
        <w:rPr>
          <w:rFonts w:ascii="Arial" w:cs="Arial" w:eastAsia="Arial" w:hAnsi="Arial"/>
          <w:sz w:val="17"/>
          <w:szCs w:val="17"/>
          <w:color w:val="auto"/>
        </w:rPr>
        <w:t>In addition, the spread of COVID-19 may negatively impact the trading price of shares of our common stock and could further severely impact our ability to raise additional capital on a timely basis or at all.</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future issuance of equity or of debt securities that are convertible into equity will dilute our share capital.</w:t>
      </w:r>
    </w:p>
    <w:p>
      <w:pPr>
        <w:spacing w:after="0" w:line="103"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On February 27, 2020, we entered into an Open Market Sale Agreement (the “Sales Agreement”) with Jefferies LLC (“Jefferies”), to sell shares of our common stock, par value $0.00001 per share, with aggregate gross sales proceeds of up to $75,000,000, from time to time, through an at the market offering under which Jefferies will act as sales agent. We have issued securities under the Sales Agreement and may do so in the future. In January and February 2021, we sold 16,428,571 shares of our common stock at $7.00 per share in an underwritten public offering. Future issuances of our common stock or other equity securities pursuant to the Sales Agreement or otherwise,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271"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b w:val="1"/>
          <w:bCs w:val="1"/>
          <w:i w:val="1"/>
          <w:iCs w:val="1"/>
          <w:color w:val="auto"/>
        </w:rPr>
        <w:t>The employment agreements with our executive officers may require us to pay severance benefits to officers in connection with termination of employment or upon a change of control of us, which could harm our financial condition.</w:t>
      </w:r>
    </w:p>
    <w:p>
      <w:pPr>
        <w:spacing w:after="0" w:line="72" w:lineRule="exact"/>
        <w:rPr>
          <w:sz w:val="20"/>
          <w:szCs w:val="20"/>
          <w:color w:val="auto"/>
        </w:rPr>
      </w:pPr>
    </w:p>
    <w:p>
      <w:pPr>
        <w:ind w:right="20"/>
        <w:spacing w:after="0" w:line="306" w:lineRule="auto"/>
        <w:rPr>
          <w:sz w:val="20"/>
          <w:szCs w:val="20"/>
          <w:color w:val="auto"/>
        </w:rPr>
      </w:pPr>
      <w:r>
        <w:rPr>
          <w:rFonts w:ascii="Arial" w:cs="Arial" w:eastAsia="Arial" w:hAnsi="Arial"/>
          <w:sz w:val="14"/>
          <w:szCs w:val="14"/>
          <w:color w:val="auto"/>
        </w:rPr>
        <w:t>Each of our executive officers is entitled to receive a lump sum payment equal to one year or more of his or her base salary as well as continued medical and dental coverage for a period of one year or more plus a prorated portion of his or her target annual bonus for the calendar year in which his or her employment is terminated following his or her termination of employment due to good reason or without cause. In the event of a change in control and a termination of employment without cause or due to good reason, each of our executive officers would similarly receive one year or more of his or her base salary as well as continued medical and dental coverage for a period of one year or more, as well as an additional lump sum payment equal to 100% or more of his or her target annual bonus for the calendar year in which his or her employment is terminated and full vesting of his or her outstanding option awards. The accelerated vesting of options could result in dilution to our existing stockholders and harm the market price of our common stock. Furthermore, the payment of these severance benefits could harm our financial condition. In addition, these potential severance payments may discourage or prevent third parties from seeking a business combination with us.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market for our common stock may not be maintained.</w:t>
      </w:r>
    </w:p>
    <w:p>
      <w:pPr>
        <w:spacing w:after="0" w:line="103"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Prior to our IPO in October 2015, there had been no public market for shares of our common stock. Our stock began trading on the Nasdaq Global Select Market in 2015, and we can provide no assurance that we will be able to maintain an active trading market on The Nasdaq Global Select Market or any other exchange in the future. If an active market for our common stock is not maintained, it may be difficult for our stockholders to sell shares without depressing the market price for the shares or at all.</w:t>
      </w:r>
    </w:p>
    <w:p>
      <w:pPr>
        <w:spacing w:after="0" w:line="1"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An inactive market may also impair our ability to raise capital by selling shares and may impair our ability to acquire other businesses, applications or technologies using our shares as consideration.</w:t>
      </w:r>
    </w:p>
    <w:p>
      <w:pPr>
        <w:spacing w:after="0" w:line="282" w:lineRule="exact"/>
        <w:rPr>
          <w:sz w:val="20"/>
          <w:szCs w:val="20"/>
          <w:color w:val="auto"/>
        </w:rPr>
      </w:pPr>
    </w:p>
    <w:p>
      <w:pPr>
        <w:ind w:right="800"/>
        <w:spacing w:after="0" w:line="261" w:lineRule="auto"/>
        <w:rPr>
          <w:sz w:val="20"/>
          <w:szCs w:val="20"/>
          <w:color w:val="auto"/>
        </w:rPr>
      </w:pPr>
      <w:r>
        <w:rPr>
          <w:rFonts w:ascii="Arial" w:cs="Arial" w:eastAsia="Arial" w:hAnsi="Arial"/>
          <w:sz w:val="17"/>
          <w:szCs w:val="17"/>
          <w:b w:val="1"/>
          <w:bCs w:val="1"/>
          <w:i w:val="1"/>
          <w:iCs w:val="1"/>
          <w:color w:val="auto"/>
        </w:rPr>
        <w:t>Our principal stockholders and management own a significant percentage of our stock and will be able to exert significant control over matters subject to stockholder approval.</w:t>
      </w:r>
    </w:p>
    <w:p>
      <w:pPr>
        <w:spacing w:after="0" w:line="72" w:lineRule="exact"/>
        <w:rPr>
          <w:sz w:val="20"/>
          <w:szCs w:val="20"/>
          <w:color w:val="auto"/>
        </w:rPr>
      </w:pPr>
    </w:p>
    <w:p>
      <w:pPr>
        <w:ind w:right="100"/>
        <w:spacing w:after="0" w:line="314" w:lineRule="auto"/>
        <w:rPr>
          <w:sz w:val="20"/>
          <w:szCs w:val="20"/>
          <w:color w:val="auto"/>
        </w:rPr>
      </w:pPr>
      <w:r>
        <w:rPr>
          <w:rFonts w:ascii="Arial" w:cs="Arial" w:eastAsia="Arial" w:hAnsi="Arial"/>
          <w:sz w:val="14"/>
          <w:szCs w:val="14"/>
          <w:color w:val="auto"/>
        </w:rPr>
        <w:t>As of March 31, 2021, our executive officers, directors, holders of 5% or more of our capital stock based on publicly available filings made with the SEC and their respective affiliates beneficially owned approximately 30% of our outstanding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723" w:right="339" w:bottom="1440" w:gutter="0" w:footer="0" w:header="0"/>
        </w:sectPr>
      </w:pPr>
    </w:p>
    <w:bookmarkStart w:id="70" w:name="page71"/>
    <w:bookmarkEnd w:id="70"/>
    <w:p>
      <w:pPr>
        <w:ind w:right="340"/>
        <w:spacing w:after="0" w:line="261"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72" w:lineRule="exact"/>
        <w:rPr>
          <w:sz w:val="20"/>
          <w:szCs w:val="20"/>
          <w:color w:val="auto"/>
        </w:rPr>
      </w:pPr>
    </w:p>
    <w:p>
      <w:pPr>
        <w:ind w:right="240"/>
        <w:spacing w:after="0" w:line="320" w:lineRule="auto"/>
        <w:rPr>
          <w:sz w:val="20"/>
          <w:szCs w:val="20"/>
          <w:color w:val="auto"/>
        </w:rPr>
      </w:pPr>
      <w:r>
        <w:rPr>
          <w:rFonts w:ascii="Arial" w:cs="Arial" w:eastAsia="Arial" w:hAnsi="Arial"/>
          <w:sz w:val="14"/>
          <w:szCs w:val="14"/>
          <w:color w:val="auto"/>
        </w:rPr>
        <w:t>Provisions in our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35" w:lineRule="exact"/>
        <w:rPr>
          <w:sz w:val="20"/>
          <w:szCs w:val="20"/>
          <w:color w:val="auto"/>
        </w:rPr>
      </w:pPr>
    </w:p>
    <w:p>
      <w:pPr>
        <w:ind w:left="1020" w:hanging="512"/>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prohibition on actions by our stockholders by written consent;</w:t>
      </w:r>
    </w:p>
    <w:p>
      <w:pPr>
        <w:spacing w:after="0" w:line="102" w:lineRule="exact"/>
        <w:rPr>
          <w:rFonts w:ascii="Arial" w:cs="Arial" w:eastAsia="Arial" w:hAnsi="Arial"/>
          <w:sz w:val="17"/>
          <w:szCs w:val="17"/>
          <w:color w:val="auto"/>
        </w:rPr>
      </w:pPr>
    </w:p>
    <w:p>
      <w:pPr>
        <w:ind w:left="1020" w:hanging="512"/>
        <w:spacing w:after="0" w:line="320" w:lineRule="auto"/>
        <w:tabs>
          <w:tab w:leader="none" w:pos="10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 requirement that special meetings of stockholders, which our company is not obligated to call more than once per calendar year, be called only by the chairman of our board of directors, our chief executive officer, our board of directors pursuant to a resolution adopted by a majority of the total number of authorized directors, or, subject to certain conditions, by our secretary at the request of the stockholders holding of record, in the aggregate, shares entitled to cast not less than ten percent of the votes at a meeting of the stockholders (assuming all shares entitled to vote at such meeting were present and voted);</w:t>
      </w:r>
    </w:p>
    <w:p>
      <w:pPr>
        <w:spacing w:after="0" w:line="35" w:lineRule="exact"/>
        <w:rPr>
          <w:rFonts w:ascii="Arial" w:cs="Arial" w:eastAsia="Arial" w:hAnsi="Arial"/>
          <w:sz w:val="14"/>
          <w:szCs w:val="14"/>
          <w:color w:val="auto"/>
        </w:rPr>
      </w:pPr>
    </w:p>
    <w:p>
      <w:pPr>
        <w:ind w:left="1020" w:hanging="512"/>
        <w:spacing w:after="0"/>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advance notice requirements for election to our board of directors and for proposing matters that can be acted upon at stockholder meetings;</w:t>
      </w:r>
    </w:p>
    <w:p>
      <w:pPr>
        <w:spacing w:after="0" w:line="114" w:lineRule="exact"/>
        <w:rPr>
          <w:rFonts w:ascii="Arial" w:cs="Arial" w:eastAsia="Arial" w:hAnsi="Arial"/>
          <w:sz w:val="16"/>
          <w:szCs w:val="16"/>
          <w:color w:val="auto"/>
        </w:rPr>
      </w:pPr>
    </w:p>
    <w:p>
      <w:pPr>
        <w:ind w:left="1020" w:hanging="512"/>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division of our board of directors into three classes, serving staggered terms of three years each; and</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authority of the board of directors to issue preferred stock with such terms as the board of directors may determine.</w:t>
      </w:r>
    </w:p>
    <w:p>
      <w:pPr>
        <w:spacing w:after="0" w:line="202" w:lineRule="exact"/>
        <w:rPr>
          <w:sz w:val="20"/>
          <w:szCs w:val="20"/>
          <w:color w:val="auto"/>
        </w:rPr>
      </w:pPr>
    </w:p>
    <w:p>
      <w:pPr>
        <w:jc w:val="both"/>
        <w:ind w:right="180"/>
        <w:spacing w:after="0" w:line="320" w:lineRule="auto"/>
        <w:rPr>
          <w:sz w:val="20"/>
          <w:szCs w:val="20"/>
          <w:color w:val="auto"/>
        </w:rPr>
      </w:pPr>
      <w:r>
        <w:rPr>
          <w:rFonts w:ascii="Arial" w:cs="Arial" w:eastAsia="Arial" w:hAnsi="Arial"/>
          <w:sz w:val="14"/>
          <w:szCs w:val="14"/>
          <w:color w:val="auto"/>
        </w:rPr>
        <w:t>Moreover, because we are incorporated in Delaware, we are governed by the provisions of Section 203 of the Delaware General Corporation Law, as amended, which prohibits a person who owns in excess of 15 percent of our outstanding voting stock from merging or combining with us for a period of three years after the date of the transaction in which the person acquired in excess of 15 percent of our outstanding voting stock, unless the merger or combination is approved in a prescribed manner. These provisions would apply even if the proposed merger or acquisition could be considered beneficial by some stockholders.</w:t>
      </w:r>
    </w:p>
    <w:p>
      <w:pPr>
        <w:spacing w:after="0" w:line="234"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b w:val="1"/>
          <w:bCs w:val="1"/>
          <w:i w:val="1"/>
          <w:iCs w:val="1"/>
          <w:color w:val="auto"/>
        </w:rPr>
        <w:t>We incur increased costs as a result of operating as a public company, and our management is required to devote substantial time to new compliance initiatives and corporate governance practices.</w:t>
      </w:r>
    </w:p>
    <w:p>
      <w:pPr>
        <w:spacing w:after="0" w:line="72"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As a public company, we incur significant legal, accounting and other expenses.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 and make some activities more time 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45"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b w:val="1"/>
          <w:bCs w:val="1"/>
          <w:i w:val="1"/>
          <w:iCs w:val="1"/>
          <w:color w:val="auto"/>
        </w:rPr>
        <w:t>If we are not able to comply with the requirements of Section 404 of the Sarbanes-Oxley Act of 2002 in a timely manner or with adequate compliance, we may be subject to sanctions by regulatory authorities.</w:t>
      </w:r>
    </w:p>
    <w:p>
      <w:pPr>
        <w:spacing w:after="0" w:line="72"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Section 404 of the Sarbanes-Oxley Act of 2002 requires that we evaluate and determine the effectiveness of our internal controls over financial reporting and provide a management report on the internal control over financial reporting. If we have a material weakness in our internal controls over financial reporting, we may not detect errors on a timely basis and our financial statements may be materially misstated. We evaluate our internal controls systems to allow management to report on the effectiveness of the operation of our internal controls.</w:t>
      </w:r>
    </w:p>
    <w:p>
      <w:pPr>
        <w:spacing w:after="0" w:line="18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However, if we are not able to comply with the requirements of Section 404, or if we or our independent registered public accounting firm identify deficiencies in our internal controls that are deemed to be material weaknesses, we could be subject to sanctions or investigations by The Nasdaq Global Select Market, the SEC or other regulatory authorities, which would entail expenditure of additional financial and management resources and could materially adversely affect our stock price. Deficient internal controls could also cause us to fail to meet our reporting obligations or cause investors to lose confidence in our reported financial information, which could have a negative effect on our stock price.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i w:val="1"/>
          <w:iCs w:val="1"/>
          <w:color w:val="auto"/>
        </w:rPr>
        <w:t>Because we do not anticipate paying any cash dividends on our capital stock in the foreseeable future, capital appreciation, if any, will be your sole source of gain.</w:t>
      </w:r>
    </w:p>
    <w:p>
      <w:pPr>
        <w:spacing w:after="0" w:line="13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significant costs from class action litigation due to our expected stock volatility.</w:t>
      </w:r>
    </w:p>
    <w:p>
      <w:pPr>
        <w:spacing w:after="0" w:line="103" w:lineRule="exact"/>
        <w:rPr>
          <w:sz w:val="20"/>
          <w:szCs w:val="20"/>
          <w:color w:val="auto"/>
        </w:rPr>
      </w:pPr>
    </w:p>
    <w:p>
      <w:pPr>
        <w:ind w:right="320"/>
        <w:spacing w:after="0" w:line="252" w:lineRule="auto"/>
        <w:rPr>
          <w:sz w:val="20"/>
          <w:szCs w:val="20"/>
          <w:color w:val="auto"/>
        </w:rPr>
      </w:pPr>
      <w:r>
        <w:rPr>
          <w:rFonts w:ascii="Arial" w:cs="Arial" w:eastAsia="Arial" w:hAnsi="Arial"/>
          <w:sz w:val="17"/>
          <w:szCs w:val="17"/>
          <w:color w:val="auto"/>
        </w:rPr>
        <w:t>Our stock price may fluctuate for many reasons, including as a result of public announcements regarding the progress of our development efforts or the development efforts of future collaborators or competitors, the addition or departure of our key personnel, variations in our quarterly operating results and changes in market valuations of biopharmaceutical and biotechnology companies.</w:t>
      </w:r>
    </w:p>
    <w:p>
      <w:pPr>
        <w:spacing w:after="0" w:line="179"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This risk is especially relevant to us because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the company that issued the stock. For example, in May 2020, a putative securities class action lawsuit was brought against us (“Class Action Lawsuit”). While the Class Action Lawsuit was voluntarily dismissed without prejudice by the plaintiff and his attorneys in January 2021, a similar lawsuit or another lawsuit could be filed in the future. Stockholder lawsuits of this type against us, even if it is without merit, could cause us to incur substantial costs defending the lawsuit. The lawsuit could also divert the time and attention of our management.</w:t>
      </w:r>
    </w:p>
    <w:p>
      <w:pPr>
        <w:spacing w:after="0" w:line="271" w:lineRule="exact"/>
        <w:rPr>
          <w:sz w:val="20"/>
          <w:szCs w:val="20"/>
          <w:color w:val="auto"/>
        </w:rPr>
      </w:pPr>
    </w:p>
    <w:p>
      <w:pPr>
        <w:ind w:right="340"/>
        <w:spacing w:after="0" w:line="252" w:lineRule="auto"/>
        <w:rPr>
          <w:sz w:val="20"/>
          <w:szCs w:val="20"/>
          <w:color w:val="auto"/>
        </w:rPr>
      </w:pPr>
      <w:r>
        <w:rPr>
          <w:rFonts w:ascii="Arial" w:cs="Arial" w:eastAsia="Arial" w:hAnsi="Arial"/>
          <w:sz w:val="17"/>
          <w:szCs w:val="17"/>
          <w:b w:val="1"/>
          <w:bCs w:val="1"/>
          <w:i w:val="1"/>
          <w:iCs w:val="1"/>
          <w:color w:val="auto"/>
        </w:rPr>
        <w:t>Our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80"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Our amended and restated bylaws provide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arising pursuant to any provision of the Delaware General Corporation Law, as amended, our amended and restated certificate of incorporation or our amended and restated bylaws, any action to interpret, apply, enforce or determine the validity of our amended and restated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acquire assets or form strategic alliances in the future, and we may not realize the benefits of such acquisitions</w:t>
      </w:r>
      <w:r>
        <w:rPr>
          <w:rFonts w:ascii="Arial" w:cs="Arial" w:eastAsia="Arial" w:hAnsi="Arial"/>
          <w:sz w:val="17"/>
          <w:szCs w:val="17"/>
          <w:color w:val="auto"/>
        </w:rPr>
        <w:t>.</w:t>
      </w:r>
    </w:p>
    <w:p>
      <w:pPr>
        <w:spacing w:after="0" w:line="103"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As we continue to mature our Probody platform and our clinical stage pipeline, we may seek to acquire and/or in-license other oncology products, product candidates, programs or companies that we consider complimentary to our efforts. Such efforts may never result in a transaction and any future growth through acquisition or in-licensing will depend upon the availability of suitable products, product candidates,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programs and companies is fierce, and many of our competitors are large, multinational pharmaceutical and biotechnology companies with considerably more financial, development and commercialization resources, personnel, and experience than we have. In order to compete successfully in the current business climate, we may have to pay higher prices for assets than may have been paid historically, which may make it more difficult for us to realize an adequate return on any acquisition. In addition, even if we succeed in identifying promising products, product candidates, programs or companies, we may not have the ability to develop, obtain regulatory approval for and commercialize such opportunities, or the financial resources necessary to pursue them.</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72" w:name="page73"/>
    <w:bookmarkEnd w:id="72"/>
    <w:p>
      <w:pPr>
        <w:spacing w:after="0" w:line="263" w:lineRule="auto"/>
        <w:rPr>
          <w:sz w:val="20"/>
          <w:szCs w:val="20"/>
          <w:color w:val="auto"/>
        </w:rPr>
      </w:pPr>
      <w:r>
        <w:rPr>
          <w:rFonts w:ascii="Arial" w:cs="Arial" w:eastAsia="Arial" w:hAnsi="Arial"/>
          <w:sz w:val="16"/>
          <w:szCs w:val="16"/>
          <w:color w:val="auto"/>
        </w:rPr>
        <w:t>Even if we are able to successfully identify and acquire or in-license new products, product candidates, programs or companies, we may not be able to successfully manage the risks associated with integrating any products, product candidates,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Any failure in identifying and managing these risks and uncertainties effectively would have a material adverse effect on our business.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 the integration of a product, product candidate, program or company gives rise to unforeseen difficulties and expenditures. Any failure in identifying and managing these risks and uncertainties would have a material adverse effect on our business.</w:t>
      </w:r>
    </w:p>
    <w:p>
      <w:pPr>
        <w:spacing w:after="0" w:line="172" w:lineRule="exact"/>
        <w:rPr>
          <w:sz w:val="20"/>
          <w:szCs w:val="20"/>
          <w:color w:val="auto"/>
        </w:rPr>
      </w:pPr>
    </w:p>
    <w:p>
      <w:pPr>
        <w:ind w:right="520"/>
        <w:spacing w:after="0" w:line="368" w:lineRule="auto"/>
        <w:rPr>
          <w:sz w:val="20"/>
          <w:szCs w:val="20"/>
          <w:color w:val="auto"/>
        </w:rPr>
      </w:pPr>
      <w:r>
        <w:rPr>
          <w:rFonts w:ascii="Arial" w:cs="Arial" w:eastAsia="Arial" w:hAnsi="Arial"/>
          <w:sz w:val="14"/>
          <w:szCs w:val="14"/>
          <w:color w:val="auto"/>
        </w:rPr>
        <w:t>In addition, acquisitions create other uncertainties and risks, particularly when the acquisition takes the form of a merger or other business consolidation. We may encounter unexpected difficulties, or incur unexpected costs, in connection with transition activities and integration efforts, which include:</w:t>
      </w:r>
    </w:p>
    <w:p>
      <w:pPr>
        <w:spacing w:after="0" w:line="3" w:lineRule="exact"/>
        <w:rPr>
          <w:sz w:val="20"/>
          <w:szCs w:val="20"/>
          <w:color w:val="auto"/>
        </w:rPr>
      </w:pPr>
    </w:p>
    <w:p>
      <w:pPr>
        <w:ind w:left="1020" w:hanging="512"/>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high acquisition costs;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need to incur substantial debt or engage in dilutive issuances of equity securities to pay for acquisitions;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potential disruption of our historical business and our activities under our collaboration agreements;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strain on, and need to expand, our existing operational, technical, financial and administrative infrastructure;</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lack of experience in late-stage product development and commercialization;</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difficulties in assimilating employees and corporate cultures;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difficulties in hiring qualified personnel and establishing necessary development and/or commercialization capabilities;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failure to retain key management and other personnel;</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challenges in controlling additional costs and expenses in connection with and as a result of the acquisition;</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need to write down assets or recognize impairment charges;</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diversion of our management’s attention to integration of operations and corporate and administrative infrastructures; and</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unanticipated liabilities for activities of or related to the acquired business or its operations, products or product candidates.</w:t>
      </w:r>
    </w:p>
    <w:p>
      <w:pPr>
        <w:spacing w:after="0" w:line="202" w:lineRule="exact"/>
        <w:rPr>
          <w:sz w:val="20"/>
          <w:szCs w:val="20"/>
          <w:color w:val="auto"/>
        </w:rPr>
      </w:pPr>
    </w:p>
    <w:p>
      <w:pPr>
        <w:spacing w:after="0" w:line="332" w:lineRule="auto"/>
        <w:rPr>
          <w:sz w:val="20"/>
          <w:szCs w:val="20"/>
          <w:color w:val="auto"/>
        </w:rPr>
      </w:pPr>
      <w:r>
        <w:rPr>
          <w:rFonts w:ascii="Arial" w:cs="Arial" w:eastAsia="Arial" w:hAnsi="Arial"/>
          <w:sz w:val="14"/>
          <w:szCs w:val="14"/>
          <w:color w:val="auto"/>
        </w:rPr>
        <w:t>If we fail to integrate or otherwise manage an acquired business successfully and in a timely manner, resulting operating inefficiencies could increase our costs more than we planned, could negatively impact the market price of our common stock and could otherwise distract us from execution of our strategy. Failure to maintain effective financial controls and reporting systems and procedures could also impact our ability to produce timely and accurate financial statements.</w:t>
      </w:r>
    </w:p>
    <w:p>
      <w:pPr>
        <w:spacing w:after="0" w:line="226"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b w:val="1"/>
          <w:bCs w:val="1"/>
          <w:i w:val="1"/>
          <w:iCs w:val="1"/>
          <w:color w:val="auto"/>
        </w:rPr>
        <w:t>Our future growth may depend, in part, on our ability to operate in foreign markets, where we would be subject to additional regulatory burdens and other risks and uncertainties.</w:t>
      </w:r>
    </w:p>
    <w:p>
      <w:pPr>
        <w:spacing w:after="0" w:line="72" w:lineRule="exact"/>
        <w:rPr>
          <w:sz w:val="20"/>
          <w:szCs w:val="20"/>
          <w:color w:val="auto"/>
        </w:rPr>
      </w:pPr>
    </w:p>
    <w:p>
      <w:pPr>
        <w:ind w:right="80"/>
        <w:spacing w:after="0" w:line="306" w:lineRule="auto"/>
        <w:rPr>
          <w:sz w:val="20"/>
          <w:szCs w:val="20"/>
          <w:color w:val="auto"/>
        </w:rPr>
      </w:pPr>
      <w:r>
        <w:rPr>
          <w:rFonts w:ascii="Arial" w:cs="Arial" w:eastAsia="Arial" w:hAnsi="Arial"/>
          <w:sz w:val="14"/>
          <w:szCs w:val="14"/>
          <w:color w:val="auto"/>
        </w:rPr>
        <w:t>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the reduced protection of intellectual property rights in some foreign countries. We may need to rely on third parties to market, distribute and sell our products in foreign markets.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73" w:name="page74"/>
    <w:bookmarkEnd w:id="73"/>
    <w:p>
      <w:pPr>
        <w:ind w:right="680"/>
        <w:spacing w:after="0" w:line="261" w:lineRule="auto"/>
        <w:rPr>
          <w:sz w:val="20"/>
          <w:szCs w:val="20"/>
          <w:color w:val="auto"/>
        </w:rPr>
      </w:pPr>
      <w:r>
        <w:rPr>
          <w:rFonts w:ascii="Arial" w:cs="Arial" w:eastAsia="Arial" w:hAnsi="Arial"/>
          <w:sz w:val="17"/>
          <w:szCs w:val="17"/>
          <w:b w:val="1"/>
          <w:bCs w:val="1"/>
          <w:i w:val="1"/>
          <w:iCs w:val="1"/>
          <w:color w:val="auto"/>
        </w:rPr>
        <w:t>Our information technology systems, or those of our CROs or other contractors or consultants we may utilize, may fail, suffer disruptions or suffer security breaches, which could result in a material disruption of our product development programs.</w:t>
      </w:r>
    </w:p>
    <w:p>
      <w:pPr>
        <w:spacing w:after="0" w:line="72" w:lineRule="exact"/>
        <w:rPr>
          <w:sz w:val="20"/>
          <w:szCs w:val="20"/>
          <w:color w:val="auto"/>
        </w:rPr>
      </w:pPr>
    </w:p>
    <w:p>
      <w:pPr>
        <w:ind w:right="40"/>
        <w:spacing w:after="0" w:line="306" w:lineRule="auto"/>
        <w:rPr>
          <w:sz w:val="20"/>
          <w:szCs w:val="20"/>
          <w:color w:val="auto"/>
        </w:rPr>
      </w:pPr>
      <w:r>
        <w:rPr>
          <w:rFonts w:ascii="Arial" w:cs="Arial" w:eastAsia="Arial" w:hAnsi="Arial"/>
          <w:sz w:val="14"/>
          <w:szCs w:val="14"/>
          <w:color w:val="auto"/>
        </w:rPr>
        <w:t>Our information technology and other internal infrastructure systems and those of our CROs and contractors and consultants, including corporate firewalls, servers, leased lines and connection to the Internet, face the risk of systemic failure and may be vulnerable to damage from computer viruses, unauthorized access, natural disasters, terrorism, war and telecommunication and electrical failures. Such events could cause interruptions of our operations. For instance, the loss of data from any current or future clinical trial or data from any preclinical studies involving our product candidates could result in delays in our development and regulatory filing efforts and significantly increase our costs. These challenges have been made more difficult by the COVID-19 pandemic and resulting shelter-in-place and stay-at-home restrictions, which are driving greater dependency on remote working technology and electronic monitoring of clinical trial sites. To the extent that any disruption or security breach were to result in a loss of, or damage to, our data, or inappropriate disclosure of confidential or proprietary information, we could incur liability, recovery of our data could take a prolonged period of time, and the development of our research or product candidates could be delayed.</w:t>
      </w:r>
    </w:p>
    <w:p>
      <w:pPr>
        <w:spacing w:after="0" w:line="245"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b w:val="1"/>
          <w:bCs w:val="1"/>
          <w:i w:val="1"/>
          <w:iCs w:val="1"/>
          <w:color w:val="auto"/>
        </w:rPr>
        <w:t>Cybersecurity breaches and other disruptions could compromise our information, including the theft of our intellectual property, and could expose us to liability, which could cause our business and reputation to suffer.</w:t>
      </w:r>
    </w:p>
    <w:p>
      <w:pPr>
        <w:spacing w:after="0" w:line="72" w:lineRule="exact"/>
        <w:rPr>
          <w:sz w:val="20"/>
          <w:szCs w:val="20"/>
          <w:color w:val="auto"/>
        </w:rPr>
      </w:pPr>
    </w:p>
    <w:p>
      <w:pPr>
        <w:spacing w:after="0" w:line="300" w:lineRule="auto"/>
        <w:rPr>
          <w:sz w:val="20"/>
          <w:szCs w:val="20"/>
          <w:color w:val="auto"/>
        </w:rPr>
      </w:pPr>
      <w:r>
        <w:rPr>
          <w:rFonts w:ascii="Arial" w:cs="Arial" w:eastAsia="Arial" w:hAnsi="Arial"/>
          <w:sz w:val="14"/>
          <w:szCs w:val="14"/>
          <w:color w:val="auto"/>
        </w:rPr>
        <w:t>We are increasingly dependent on information technology systems and infrastructure, including mobile technologies, to operate our business. In the ordinary course of our business, we collect and store confidential and sensitive electronic information on our networks and in our data centers. This information includes, among other things, our intellectual property and proprietary information, the confidential information of our collaborators and licensees, and the personally identifiable information of our employees. It is important to our operations and business strategy that this electronic information remains secure and is perceived to be secure. The size and complexity of our information technology systems, and those of third-party vendors with whom we contract, and the volume of data we retain, make such systems potentially vulnerable to breakdown, malicious intrusion, security breaches and other cyber-attacks. Information security risks have significantly increased in recent years in part due to the proliferation of new technologies and the increased sophistication and activities of organized crime, hackers, terrorists and other external parties, including foreign private parties and state actors. A security breach or privacy violation that leads to disclosure or modification of or prevents access to personally identifiable information or other protected information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personal data, resulting in increased costs or loss of revenue. Similarly, the loss of clinical trial data from completed or ongoing or planned clinical trials could result in delays in our regulatory approval efforts and significantly increase our costs to recover or reproduce the data. Additionally, theft of our intellectual property or proprietary business information could require substantial expenditures to remedy. If we are unable to prevent such security breaches or privacy violations or implement satisfactory remedial measures, our operations could be disrupted, and we may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 Moreover, the prevalent use of mobile devices that access confidential information increases the risk of data security breaches, which could lead to the loss of confidential information, trade secrets or other intellectual property. As cyber threats continue to evolve, we may be required to expend significant additional resources to continue to modify or enhance our protective measures or to investigate and remediate any information security vulnerabilities. While we have implemented security measures to protect our data security and information technology systems, such measures may not prevent such events. Significant disruptions of our information technology systems or breaches of data security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114" w:lineRule="exact"/>
        <w:rPr>
          <w:sz w:val="20"/>
          <w:szCs w:val="20"/>
          <w:color w:val="auto"/>
        </w:rPr>
      </w:pPr>
    </w:p>
    <w:p>
      <w:pPr>
        <w:spacing w:after="0" w:line="302" w:lineRule="auto"/>
        <w:rPr>
          <w:sz w:val="20"/>
          <w:szCs w:val="20"/>
          <w:color w:val="auto"/>
        </w:rPr>
      </w:pPr>
      <w:r>
        <w:rPr>
          <w:rFonts w:ascii="Arial" w:cs="Arial" w:eastAsia="Arial" w:hAnsi="Arial"/>
          <w:sz w:val="14"/>
          <w:szCs w:val="14"/>
          <w:color w:val="auto"/>
        </w:rPr>
        <w:t>Our research and development activities involve the use of hazardous materials and various chemicals. We maintain quantities of various flammable and toxic chemicals in our facilities in South San Francisco, California that are required for our research and development activities. We are subject to federal, state and local laws and regulations governing the use, manufacture, storage, handling and disposal of these hazardous materials. We believe our procedures for storing, handling and disposing these materials in our South San Francisco facilities comply with the relevant guidelines of South San Francisco,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74" w:name="page75"/>
    <w:bookmarkEnd w:id="74"/>
    <w:p>
      <w:pPr>
        <w:ind w:right="20"/>
        <w:spacing w:after="0" w:line="261" w:lineRule="auto"/>
        <w:rPr>
          <w:sz w:val="20"/>
          <w:szCs w:val="20"/>
          <w:color w:val="auto"/>
        </w:rPr>
      </w:pPr>
      <w:r>
        <w:rPr>
          <w:rFonts w:ascii="Arial" w:cs="Arial" w:eastAsia="Arial" w:hAnsi="Arial"/>
          <w:sz w:val="17"/>
          <w:szCs w:val="17"/>
          <w:b w:val="1"/>
          <w:bCs w:val="1"/>
          <w:i w:val="1"/>
          <w:iCs w:val="1"/>
          <w:color w:val="auto"/>
        </w:rPr>
        <w:t>Changes in U.S. or foreign tax laws or regulations that are applied adversely to us may have a material adverse effect on our business, cash flow, financial condition or results of operations.</w:t>
      </w:r>
    </w:p>
    <w:p>
      <w:pPr>
        <w:spacing w:after="0" w:line="72"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legislation enacted in 2017, informally titled the Tax Cuts and Jobs Act (the “Tax Act”), enacted many significant changes to the U.S. tax laws. Future guidance from the Internal Revenue Service and other tax authorities with respect to the Tax Act may affect us, and certain aspects of the Tax Act could be repealed or modified in future legislation. In addition, it is uncertain if and to what extent various states will conform to the Tax Act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deferred tax assets, could result in significant one-time charges, and could increase our future tax expense. Recent presidential candidate proposals for U.S. tax legislation could have a material adverse effect on our future business, financial condition and results of operations.</w:t>
      </w:r>
    </w:p>
    <w:p>
      <w:pPr>
        <w:spacing w:after="0" w:line="245" w:lineRule="exact"/>
        <w:rPr>
          <w:sz w:val="20"/>
          <w:szCs w:val="20"/>
          <w:color w:val="auto"/>
        </w:rPr>
      </w:pPr>
    </w:p>
    <w:p>
      <w:pPr>
        <w:jc w:val="both"/>
        <w:ind w:right="40"/>
        <w:spacing w:after="0" w:line="261"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or if they issue adverse or misleading opinions regarding our stock, our stock price and trading volume could decline.</w:t>
      </w:r>
    </w:p>
    <w:p>
      <w:pPr>
        <w:spacing w:after="0" w:line="72" w:lineRule="exact"/>
        <w:rPr>
          <w:sz w:val="20"/>
          <w:szCs w:val="20"/>
          <w:color w:val="auto"/>
        </w:rPr>
      </w:pPr>
    </w:p>
    <w:p>
      <w:pPr>
        <w:jc w:val="both"/>
        <w:ind w:right="20"/>
        <w:spacing w:after="0" w:line="320" w:lineRule="auto"/>
        <w:rPr>
          <w:sz w:val="20"/>
          <w:szCs w:val="20"/>
          <w:color w:val="auto"/>
        </w:rPr>
      </w:pPr>
      <w:r>
        <w:rPr>
          <w:rFonts w:ascii="Arial" w:cs="Arial" w:eastAsia="Arial" w:hAnsi="Arial"/>
          <w:sz w:val="14"/>
          <w:szCs w:val="14"/>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75" w:name="page76"/>
    <w:bookmarkEnd w:id="75"/>
    <w:p>
      <w:pPr>
        <w:spacing w:after="0"/>
        <w:tabs>
          <w:tab w:leader="none" w:pos="114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Sales of Unregistered Equity Securities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Proceeds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Repurchases of Shares or of Company Equity Securities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97"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4"/>
          <w:szCs w:val="14"/>
          <w:b w:val="1"/>
          <w:bCs w:val="1"/>
          <w:color w:val="auto"/>
        </w:rPr>
        <w:t>Defaults Upon Senior Securities.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97"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334"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4"/>
          <w:szCs w:val="14"/>
          <w:b w:val="1"/>
          <w:bCs w:val="1"/>
          <w:color w:val="auto"/>
        </w:rPr>
        <w:t>Other Information.</w:t>
      </w:r>
    </w:p>
    <w:p>
      <w:pPr>
        <w:spacing w:after="0" w:line="206"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In conjunction with Dr. Charles Fuchs’ retirement from the Company’s board of directors effective April 1, 2021, we entered into a consulting agreement (“the “Consulting Agreement”) with Dr. Charles Fuchs, pursuant to which Dr. Fuchs will serve as an advisor to the Company on corporate governance, strategy and development and on medical matters of the Company from time to time as requested but not to exceed 15 hours in any given month. As compensation for his service, we agreed to pay Dr. Fuchs a rate of $300 per hour. In addition, we agreed to reimburse Dr. Fuchs for reasonable expenses incurred for the performance of his services. The Consulting Agreement will expire on March 31, 2023 unless extended by mutual agreement between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168515"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sectPr>
      </w:pPr>
    </w:p>
    <w:bookmarkStart w:id="76" w:name="page77"/>
    <w:bookmarkEnd w:id="76"/>
    <w:tbl>
      <w:tblPr>
        <w:tblLayout w:type="fixed"/>
        <w:tblInd w:w="1" w:type="dxa"/>
        <w:tblCellMar>
          <w:top w:w="0" w:type="dxa"/>
          <w:left w:w="0" w:type="dxa"/>
          <w:bottom w:w="0" w:type="dxa"/>
          <w:right w:w="0" w:type="dxa"/>
        </w:tblCellMar>
      </w:tblPr>
      <w:tr>
        <w:trPr>
          <w:trHeight w:val="213"/>
        </w:trPr>
        <w:tc>
          <w:tcPr>
            <w:tcW w:w="1160" w:type="dxa"/>
            <w:vAlign w:val="bottom"/>
          </w:tcPr>
          <w:p>
            <w:pPr>
              <w:spacing w:after="0"/>
              <w:rPr>
                <w:sz w:val="20"/>
                <w:szCs w:val="20"/>
                <w:color w:val="auto"/>
              </w:rPr>
            </w:pPr>
            <w:r>
              <w:rPr>
                <w:rFonts w:ascii="Arial" w:cs="Arial" w:eastAsia="Arial" w:hAnsi="Arial"/>
                <w:sz w:val="17"/>
                <w:szCs w:val="17"/>
                <w:b w:val="1"/>
                <w:bCs w:val="1"/>
                <w:color w:val="auto"/>
              </w:rPr>
              <w:t>Item 6.</w:t>
            </w:r>
          </w:p>
        </w:tc>
        <w:tc>
          <w:tcPr>
            <w:tcW w:w="6120" w:type="dxa"/>
            <w:vAlign w:val="bottom"/>
            <w:gridSpan w:val="16"/>
          </w:tcPr>
          <w:p>
            <w:pPr>
              <w:ind w:left="60"/>
              <w:spacing w:after="0"/>
              <w:rPr>
                <w:sz w:val="20"/>
                <w:szCs w:val="20"/>
                <w:color w:val="auto"/>
              </w:rPr>
            </w:pPr>
            <w:r>
              <w:rPr>
                <w:rFonts w:ascii="Arial" w:cs="Arial" w:eastAsia="Arial" w:hAnsi="Arial"/>
                <w:sz w:val="17"/>
                <w:szCs w:val="17"/>
                <w:b w:val="1"/>
                <w:bCs w:val="1"/>
                <w:color w:val="auto"/>
              </w:rPr>
              <w:t>Exhibits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9"/>
        </w:trPr>
        <w:tc>
          <w:tcPr>
            <w:tcW w:w="1160" w:type="dxa"/>
            <w:vAlign w:val="bottom"/>
            <w:vMerge w:val="restart"/>
          </w:tcPr>
          <w:p>
            <w:pPr>
              <w:ind w:left="360"/>
              <w:spacing w:after="0"/>
              <w:rPr>
                <w:sz w:val="20"/>
                <w:szCs w:val="20"/>
                <w:color w:val="auto"/>
              </w:rPr>
            </w:pPr>
            <w:r>
              <w:rPr>
                <w:rFonts w:ascii="Arial" w:cs="Arial" w:eastAsia="Arial" w:hAnsi="Arial"/>
                <w:sz w:val="13"/>
                <w:szCs w:val="13"/>
                <w:b w:val="1"/>
                <w:bCs w:val="1"/>
                <w:color w:val="auto"/>
              </w:rPr>
              <w:t>Exhibit</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ind w:left="340"/>
              <w:spacing w:after="0"/>
              <w:rPr>
                <w:sz w:val="20"/>
                <w:szCs w:val="20"/>
                <w:color w:val="auto"/>
              </w:rPr>
            </w:pPr>
            <w:r>
              <w:rPr>
                <w:rFonts w:ascii="Arial" w:cs="Arial" w:eastAsia="Arial" w:hAnsi="Arial"/>
                <w:sz w:val="13"/>
                <w:szCs w:val="13"/>
                <w:b w:val="1"/>
                <w:bCs w:val="1"/>
                <w:color w:val="auto"/>
              </w:rPr>
              <w:t>Incorporated by Reference</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2"/>
              </w:rPr>
              <w:t>Filed</w:t>
            </w:r>
          </w:p>
        </w:tc>
        <w:tc>
          <w:tcPr>
            <w:tcW w:w="0" w:type="dxa"/>
            <w:vAlign w:val="bottom"/>
          </w:tcPr>
          <w:p>
            <w:pPr>
              <w:spacing w:after="0"/>
              <w:rPr>
                <w:sz w:val="1"/>
                <w:szCs w:val="1"/>
                <w:color w:val="auto"/>
              </w:rPr>
            </w:pPr>
          </w:p>
        </w:tc>
      </w:tr>
      <w:tr>
        <w:trPr>
          <w:trHeight w:val="157"/>
        </w:trPr>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3"/>
                <w:szCs w:val="13"/>
                <w:color w:val="auto"/>
              </w:rPr>
            </w:pPr>
          </w:p>
        </w:tc>
        <w:tc>
          <w:tcPr>
            <w:tcW w:w="5800" w:type="dxa"/>
            <w:vAlign w:val="bottom"/>
            <w:tcBorders>
              <w:bottom w:val="single" w:sz="8" w:color="auto"/>
            </w:tcBorders>
            <w:gridSpan w:val="14"/>
          </w:tcPr>
          <w:p>
            <w:pPr>
              <w:spacing w:after="0"/>
              <w:rPr>
                <w:sz w:val="20"/>
                <w:szCs w:val="20"/>
                <w:color w:val="auto"/>
              </w:rPr>
            </w:pPr>
            <w:r>
              <w:rPr>
                <w:rFonts w:ascii="Arial" w:cs="Arial" w:eastAsia="Arial" w:hAnsi="Arial"/>
                <w:sz w:val="13"/>
                <w:szCs w:val="13"/>
                <w:b w:val="1"/>
                <w:bCs w:val="1"/>
                <w:color w:val="auto"/>
              </w:rPr>
              <w:t>Exhibit Description</w:t>
            </w:r>
          </w:p>
        </w:tc>
        <w:tc>
          <w:tcPr>
            <w:tcW w:w="160" w:type="dxa"/>
            <w:vAlign w:val="bottom"/>
          </w:tcPr>
          <w:p>
            <w:pPr>
              <w:spacing w:after="0"/>
              <w:rPr>
                <w:sz w:val="13"/>
                <w:szCs w:val="13"/>
                <w:color w:val="auto"/>
              </w:rPr>
            </w:pPr>
          </w:p>
        </w:tc>
        <w:tc>
          <w:tcPr>
            <w:tcW w:w="72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Form</w:t>
            </w:r>
          </w:p>
        </w:tc>
        <w:tc>
          <w:tcPr>
            <w:tcW w:w="160" w:type="dxa"/>
            <w:vAlign w:val="bottom"/>
          </w:tcPr>
          <w:p>
            <w:pPr>
              <w:spacing w:after="0"/>
              <w:rPr>
                <w:sz w:val="13"/>
                <w:szCs w:val="13"/>
                <w:color w:val="auto"/>
              </w:rPr>
            </w:pPr>
          </w:p>
        </w:tc>
        <w:tc>
          <w:tcPr>
            <w:tcW w:w="110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Date</w:t>
            </w:r>
          </w:p>
        </w:tc>
        <w:tc>
          <w:tcPr>
            <w:tcW w:w="160" w:type="dxa"/>
            <w:vAlign w:val="bottom"/>
          </w:tcPr>
          <w:p>
            <w:pPr>
              <w:spacing w:after="0"/>
              <w:rPr>
                <w:sz w:val="13"/>
                <w:szCs w:val="13"/>
                <w:color w:val="auto"/>
              </w:rPr>
            </w:pP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rPr>
              <w:t>Number</w:t>
            </w:r>
          </w:p>
        </w:tc>
        <w:tc>
          <w:tcPr>
            <w:tcW w:w="22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Herewith</w:t>
            </w:r>
          </w:p>
        </w:tc>
        <w:tc>
          <w:tcPr>
            <w:tcW w:w="0" w:type="dxa"/>
            <w:vAlign w:val="bottom"/>
          </w:tcPr>
          <w:p>
            <w:pPr>
              <w:spacing w:after="0"/>
              <w:rPr>
                <w:sz w:val="1"/>
                <w:szCs w:val="1"/>
                <w:color w:val="auto"/>
              </w:rPr>
            </w:pPr>
          </w:p>
        </w:tc>
      </w:tr>
      <w:tr>
        <w:trPr>
          <w:trHeight w:val="253"/>
        </w:trPr>
        <w:tc>
          <w:tcPr>
            <w:tcW w:w="1160" w:type="dxa"/>
            <w:vAlign w:val="bottom"/>
          </w:tcPr>
          <w:p>
            <w:pPr>
              <w:ind w:left="120"/>
              <w:spacing w:after="0"/>
              <w:rPr>
                <w:sz w:val="20"/>
                <w:szCs w:val="20"/>
                <w:color w:val="auto"/>
              </w:rPr>
            </w:pPr>
            <w:r>
              <w:rPr>
                <w:rFonts w:ascii="Arial" w:cs="Arial" w:eastAsia="Arial" w:hAnsi="Arial"/>
                <w:sz w:val="17"/>
                <w:szCs w:val="17"/>
                <w:color w:val="auto"/>
              </w:rPr>
              <w:t>3.1(a)</w:t>
            </w:r>
          </w:p>
        </w:tc>
        <w:tc>
          <w:tcPr>
            <w:tcW w:w="160" w:type="dxa"/>
            <w:vAlign w:val="bottom"/>
          </w:tcPr>
          <w:p>
            <w:pPr>
              <w:spacing w:after="0"/>
              <w:rPr>
                <w:sz w:val="22"/>
                <w:szCs w:val="22"/>
                <w:color w:val="auto"/>
              </w:rPr>
            </w:pPr>
          </w:p>
        </w:tc>
        <w:tc>
          <w:tcPr>
            <w:tcW w:w="5960" w:type="dxa"/>
            <w:vAlign w:val="bottom"/>
            <w:gridSpan w:val="15"/>
          </w:tcPr>
          <w:p>
            <w:pPr>
              <w:spacing w:after="0"/>
              <w:rPr>
                <w:rFonts w:ascii="Arial" w:cs="Arial" w:eastAsia="Arial" w:hAnsi="Arial"/>
                <w:sz w:val="17"/>
                <w:szCs w:val="17"/>
                <w:color w:val="0000EE"/>
              </w:rPr>
            </w:pPr>
            <w:hyperlink r:id="rId96">
              <w:r>
                <w:rPr>
                  <w:rFonts w:ascii="Arial" w:cs="Arial" w:eastAsia="Arial" w:hAnsi="Arial"/>
                  <w:sz w:val="17"/>
                  <w:szCs w:val="17"/>
                  <w:color w:val="0000EE"/>
                </w:rPr>
                <w:t>Amended and Restated Certificate of Incorporation.</w:t>
              </w:r>
            </w:hyperlink>
          </w:p>
        </w:tc>
        <w:tc>
          <w:tcPr>
            <w:tcW w:w="880" w:type="dxa"/>
            <w:vAlign w:val="bottom"/>
            <w:gridSpan w:val="2"/>
          </w:tcPr>
          <w:p>
            <w:pPr>
              <w:ind w:left="100"/>
              <w:spacing w:after="0"/>
              <w:rPr>
                <w:sz w:val="20"/>
                <w:szCs w:val="20"/>
                <w:color w:val="auto"/>
              </w:rPr>
            </w:pPr>
            <w:r>
              <w:rPr>
                <w:rFonts w:ascii="Arial" w:cs="Arial" w:eastAsia="Arial" w:hAnsi="Arial"/>
                <w:sz w:val="17"/>
                <w:szCs w:val="17"/>
                <w:color w:val="auto"/>
              </w:rPr>
              <w:t>8-K</w:t>
            </w:r>
          </w:p>
        </w:tc>
        <w:tc>
          <w:tcPr>
            <w:tcW w:w="1100" w:type="dxa"/>
            <w:vAlign w:val="bottom"/>
          </w:tcPr>
          <w:p>
            <w:pPr>
              <w:ind w:left="120"/>
              <w:spacing w:after="0"/>
              <w:rPr>
                <w:sz w:val="20"/>
                <w:szCs w:val="20"/>
                <w:color w:val="auto"/>
              </w:rPr>
            </w:pPr>
            <w:r>
              <w:rPr>
                <w:rFonts w:ascii="Arial" w:cs="Arial" w:eastAsia="Arial" w:hAnsi="Arial"/>
                <w:sz w:val="17"/>
                <w:szCs w:val="17"/>
                <w:color w:val="auto"/>
              </w:rPr>
              <w:t>10/19/2015</w:t>
            </w:r>
          </w:p>
        </w:tc>
        <w:tc>
          <w:tcPr>
            <w:tcW w:w="160" w:type="dxa"/>
            <w:vAlign w:val="bottom"/>
          </w:tcPr>
          <w:p>
            <w:pPr>
              <w:spacing w:after="0"/>
              <w:rPr>
                <w:sz w:val="22"/>
                <w:szCs w:val="22"/>
                <w:color w:val="auto"/>
              </w:rPr>
            </w:pPr>
          </w:p>
        </w:tc>
        <w:tc>
          <w:tcPr>
            <w:tcW w:w="840" w:type="dxa"/>
            <w:vAlign w:val="bottom"/>
          </w:tcPr>
          <w:p>
            <w:pPr>
              <w:jc w:val="right"/>
              <w:ind w:right="440"/>
              <w:spacing w:after="0"/>
              <w:rPr>
                <w:sz w:val="20"/>
                <w:szCs w:val="20"/>
                <w:color w:val="auto"/>
              </w:rPr>
            </w:pPr>
            <w:r>
              <w:rPr>
                <w:rFonts w:ascii="Arial" w:cs="Arial" w:eastAsia="Arial" w:hAnsi="Arial"/>
                <w:sz w:val="17"/>
                <w:szCs w:val="17"/>
                <w:color w:val="auto"/>
              </w:rPr>
              <w:t>3.1</w:t>
            </w: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160" w:type="dxa"/>
            <w:vAlign w:val="bottom"/>
          </w:tcPr>
          <w:p>
            <w:pPr>
              <w:ind w:left="120"/>
              <w:spacing w:after="0"/>
              <w:rPr>
                <w:sz w:val="20"/>
                <w:szCs w:val="20"/>
                <w:color w:val="auto"/>
              </w:rPr>
            </w:pPr>
            <w:r>
              <w:rPr>
                <w:rFonts w:ascii="Arial" w:cs="Arial" w:eastAsia="Arial" w:hAnsi="Arial"/>
                <w:sz w:val="17"/>
                <w:szCs w:val="17"/>
                <w:color w:val="auto"/>
              </w:rPr>
              <w:t>3.1(b)</w:t>
            </w:r>
          </w:p>
        </w:tc>
        <w:tc>
          <w:tcPr>
            <w:tcW w:w="160" w:type="dxa"/>
            <w:vAlign w:val="bottom"/>
          </w:tcPr>
          <w:p>
            <w:pPr>
              <w:spacing w:after="0"/>
              <w:rPr>
                <w:sz w:val="24"/>
                <w:szCs w:val="24"/>
                <w:color w:val="auto"/>
              </w:rPr>
            </w:pPr>
          </w:p>
        </w:tc>
        <w:tc>
          <w:tcPr>
            <w:tcW w:w="5540" w:type="dxa"/>
            <w:vAlign w:val="bottom"/>
            <w:tcBorders>
              <w:bottom w:val="single" w:sz="8" w:color="0000EE"/>
            </w:tcBorders>
            <w:gridSpan w:val="10"/>
          </w:tcPr>
          <w:p>
            <w:pPr>
              <w:spacing w:after="0"/>
              <w:rPr>
                <w:rFonts w:ascii="Arial" w:cs="Arial" w:eastAsia="Arial" w:hAnsi="Arial"/>
                <w:sz w:val="17"/>
                <w:szCs w:val="17"/>
                <w:color w:val="0000EE"/>
                <w:w w:val="89"/>
              </w:rPr>
            </w:pPr>
            <w:hyperlink r:id="rId97">
              <w:r>
                <w:rPr>
                  <w:rFonts w:ascii="Arial" w:cs="Arial" w:eastAsia="Arial" w:hAnsi="Arial"/>
                  <w:sz w:val="17"/>
                  <w:szCs w:val="17"/>
                  <w:color w:val="0000EE"/>
                  <w:w w:val="89"/>
                </w:rPr>
                <w:t>Certificate of Amendment to Amended and Restated Certificate of Incorporation of</w:t>
              </w:r>
            </w:hyperlink>
          </w:p>
        </w:tc>
        <w:tc>
          <w:tcPr>
            <w:tcW w:w="420" w:type="dxa"/>
            <w:vAlign w:val="bottom"/>
            <w:gridSpan w:val="5"/>
          </w:tcPr>
          <w:p>
            <w:pPr>
              <w:spacing w:after="0"/>
              <w:rPr>
                <w:sz w:val="24"/>
                <w:szCs w:val="24"/>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auto"/>
              </w:rPr>
              <w:t>8-K</w:t>
            </w:r>
          </w:p>
        </w:tc>
        <w:tc>
          <w:tcPr>
            <w:tcW w:w="1100" w:type="dxa"/>
            <w:vAlign w:val="bottom"/>
            <w:vMerge w:val="restart"/>
          </w:tcPr>
          <w:p>
            <w:pPr>
              <w:ind w:left="120"/>
              <w:spacing w:after="0"/>
              <w:rPr>
                <w:sz w:val="20"/>
                <w:szCs w:val="20"/>
                <w:color w:val="auto"/>
              </w:rPr>
            </w:pPr>
            <w:r>
              <w:rPr>
                <w:rFonts w:ascii="Arial" w:cs="Arial" w:eastAsia="Arial" w:hAnsi="Arial"/>
                <w:sz w:val="17"/>
                <w:szCs w:val="17"/>
                <w:color w:val="auto"/>
              </w:rPr>
              <w:t>06/23/2020</w:t>
            </w:r>
          </w:p>
        </w:tc>
        <w:tc>
          <w:tcPr>
            <w:tcW w:w="160" w:type="dxa"/>
            <w:vAlign w:val="bottom"/>
          </w:tcPr>
          <w:p>
            <w:pPr>
              <w:spacing w:after="0"/>
              <w:rPr>
                <w:sz w:val="24"/>
                <w:szCs w:val="24"/>
                <w:color w:val="auto"/>
              </w:rPr>
            </w:pPr>
          </w:p>
        </w:tc>
        <w:tc>
          <w:tcPr>
            <w:tcW w:w="840" w:type="dxa"/>
            <w:vAlign w:val="bottom"/>
            <w:vMerge w:val="restart"/>
          </w:tcPr>
          <w:p>
            <w:pPr>
              <w:jc w:val="right"/>
              <w:ind w:right="440"/>
              <w:spacing w:after="0"/>
              <w:rPr>
                <w:sz w:val="20"/>
                <w:szCs w:val="20"/>
                <w:color w:val="auto"/>
              </w:rPr>
            </w:pPr>
            <w:r>
              <w:rPr>
                <w:rFonts w:ascii="Arial" w:cs="Arial" w:eastAsia="Arial" w:hAnsi="Arial"/>
                <w:sz w:val="17"/>
                <w:szCs w:val="17"/>
                <w:color w:val="auto"/>
              </w:rPr>
              <w:t>3.1</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960" w:type="dxa"/>
            <w:vAlign w:val="bottom"/>
            <w:gridSpan w:val="15"/>
            <w:vMerge w:val="restart"/>
          </w:tcPr>
          <w:p>
            <w:pPr>
              <w:spacing w:after="0" w:line="179" w:lineRule="exact"/>
              <w:rPr>
                <w:rFonts w:ascii="Arial" w:cs="Arial" w:eastAsia="Arial" w:hAnsi="Arial"/>
                <w:sz w:val="17"/>
                <w:szCs w:val="17"/>
                <w:color w:val="0000EE"/>
              </w:rPr>
            </w:pPr>
            <w:hyperlink r:id="rId97">
              <w:r>
                <w:rPr>
                  <w:rFonts w:ascii="Arial" w:cs="Arial" w:eastAsia="Arial" w:hAnsi="Arial"/>
                  <w:sz w:val="17"/>
                  <w:szCs w:val="17"/>
                  <w:color w:val="0000EE"/>
                </w:rPr>
                <w:t>CytomX Therapeutics, Inc.</w:t>
              </w:r>
            </w:hyperlink>
          </w:p>
        </w:tc>
        <w:tc>
          <w:tcPr>
            <w:tcW w:w="88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960" w:type="dxa"/>
            <w:vAlign w:val="bottom"/>
            <w:gridSpan w:val="15"/>
            <w:vMerge w:val="continue"/>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160" w:type="dxa"/>
            <w:vAlign w:val="bottom"/>
          </w:tcPr>
          <w:p>
            <w:pPr>
              <w:ind w:left="120"/>
              <w:spacing w:after="0"/>
              <w:rPr>
                <w:sz w:val="20"/>
                <w:szCs w:val="20"/>
                <w:color w:val="auto"/>
              </w:rPr>
            </w:pPr>
            <w:r>
              <w:rPr>
                <w:rFonts w:ascii="Arial" w:cs="Arial" w:eastAsia="Arial" w:hAnsi="Arial"/>
                <w:sz w:val="17"/>
                <w:szCs w:val="17"/>
                <w:color w:val="auto"/>
              </w:rPr>
              <w:t>3.2</w:t>
            </w:r>
          </w:p>
        </w:tc>
        <w:tc>
          <w:tcPr>
            <w:tcW w:w="160" w:type="dxa"/>
            <w:vAlign w:val="bottom"/>
          </w:tcPr>
          <w:p>
            <w:pPr>
              <w:spacing w:after="0"/>
              <w:rPr>
                <w:sz w:val="24"/>
                <w:szCs w:val="24"/>
                <w:color w:val="auto"/>
              </w:rPr>
            </w:pPr>
          </w:p>
        </w:tc>
        <w:tc>
          <w:tcPr>
            <w:tcW w:w="5960" w:type="dxa"/>
            <w:vAlign w:val="bottom"/>
            <w:gridSpan w:val="15"/>
          </w:tcPr>
          <w:p>
            <w:pPr>
              <w:spacing w:after="0"/>
              <w:rPr>
                <w:rFonts w:ascii="Arial" w:cs="Arial" w:eastAsia="Arial" w:hAnsi="Arial"/>
                <w:sz w:val="17"/>
                <w:szCs w:val="17"/>
                <w:color w:val="0000EE"/>
              </w:rPr>
            </w:pPr>
            <w:hyperlink r:id="rId98">
              <w:r>
                <w:rPr>
                  <w:rFonts w:ascii="Arial" w:cs="Arial" w:eastAsia="Arial" w:hAnsi="Arial"/>
                  <w:sz w:val="17"/>
                  <w:szCs w:val="17"/>
                  <w:color w:val="0000EE"/>
                </w:rPr>
                <w:t>Amended and Restated Bylaws.</w:t>
              </w:r>
            </w:hyperlink>
          </w:p>
        </w:tc>
        <w:tc>
          <w:tcPr>
            <w:tcW w:w="880" w:type="dxa"/>
            <w:vAlign w:val="bottom"/>
            <w:gridSpan w:val="2"/>
          </w:tcPr>
          <w:p>
            <w:pPr>
              <w:ind w:left="100"/>
              <w:spacing w:after="0"/>
              <w:rPr>
                <w:sz w:val="20"/>
                <w:szCs w:val="20"/>
                <w:color w:val="auto"/>
              </w:rPr>
            </w:pPr>
            <w:r>
              <w:rPr>
                <w:rFonts w:ascii="Arial" w:cs="Arial" w:eastAsia="Arial" w:hAnsi="Arial"/>
                <w:sz w:val="17"/>
                <w:szCs w:val="17"/>
                <w:color w:val="auto"/>
              </w:rPr>
              <w:t>8-K</w:t>
            </w:r>
          </w:p>
        </w:tc>
        <w:tc>
          <w:tcPr>
            <w:tcW w:w="1100" w:type="dxa"/>
            <w:vAlign w:val="bottom"/>
          </w:tcPr>
          <w:p>
            <w:pPr>
              <w:ind w:left="120"/>
              <w:spacing w:after="0"/>
              <w:rPr>
                <w:sz w:val="20"/>
                <w:szCs w:val="20"/>
                <w:color w:val="auto"/>
              </w:rPr>
            </w:pPr>
            <w:r>
              <w:rPr>
                <w:rFonts w:ascii="Arial" w:cs="Arial" w:eastAsia="Arial" w:hAnsi="Arial"/>
                <w:sz w:val="17"/>
                <w:szCs w:val="17"/>
                <w:color w:val="auto"/>
              </w:rPr>
              <w:t>10/19/2015</w:t>
            </w:r>
          </w:p>
        </w:tc>
        <w:tc>
          <w:tcPr>
            <w:tcW w:w="160" w:type="dxa"/>
            <w:vAlign w:val="bottom"/>
          </w:tcPr>
          <w:p>
            <w:pPr>
              <w:spacing w:after="0"/>
              <w:rPr>
                <w:sz w:val="24"/>
                <w:szCs w:val="24"/>
                <w:color w:val="auto"/>
              </w:rPr>
            </w:pPr>
          </w:p>
        </w:tc>
        <w:tc>
          <w:tcPr>
            <w:tcW w:w="840" w:type="dxa"/>
            <w:vAlign w:val="bottom"/>
          </w:tcPr>
          <w:p>
            <w:pPr>
              <w:jc w:val="right"/>
              <w:ind w:right="440"/>
              <w:spacing w:after="0"/>
              <w:rPr>
                <w:sz w:val="20"/>
                <w:szCs w:val="20"/>
                <w:color w:val="auto"/>
              </w:rPr>
            </w:pPr>
            <w:r>
              <w:rPr>
                <w:rFonts w:ascii="Arial" w:cs="Arial" w:eastAsia="Arial" w:hAnsi="Arial"/>
                <w:sz w:val="17"/>
                <w:szCs w:val="17"/>
                <w:color w:val="auto"/>
              </w:rPr>
              <w:t>3.2</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1160" w:type="dxa"/>
            <w:vAlign w:val="bottom"/>
          </w:tcPr>
          <w:p>
            <w:pPr>
              <w:ind w:left="120"/>
              <w:spacing w:after="0"/>
              <w:rPr>
                <w:sz w:val="20"/>
                <w:szCs w:val="20"/>
                <w:color w:val="auto"/>
              </w:rPr>
            </w:pPr>
            <w:r>
              <w:rPr>
                <w:rFonts w:ascii="Arial" w:cs="Arial" w:eastAsia="Arial" w:hAnsi="Arial"/>
                <w:sz w:val="17"/>
                <w:szCs w:val="17"/>
                <w:color w:val="auto"/>
              </w:rPr>
              <w:t>4.1</w:t>
            </w:r>
          </w:p>
        </w:tc>
        <w:tc>
          <w:tcPr>
            <w:tcW w:w="160" w:type="dxa"/>
            <w:vAlign w:val="bottom"/>
          </w:tcPr>
          <w:p>
            <w:pPr>
              <w:spacing w:after="0"/>
              <w:rPr>
                <w:sz w:val="24"/>
                <w:szCs w:val="24"/>
                <w:color w:val="auto"/>
              </w:rPr>
            </w:pPr>
          </w:p>
        </w:tc>
        <w:tc>
          <w:tcPr>
            <w:tcW w:w="5960" w:type="dxa"/>
            <w:vAlign w:val="bottom"/>
            <w:gridSpan w:val="15"/>
          </w:tcPr>
          <w:p>
            <w:pPr>
              <w:spacing w:after="0"/>
              <w:rPr>
                <w:sz w:val="20"/>
                <w:szCs w:val="20"/>
                <w:color w:val="auto"/>
              </w:rPr>
            </w:pPr>
            <w:r>
              <w:rPr>
                <w:rFonts w:ascii="Arial" w:cs="Arial" w:eastAsia="Arial" w:hAnsi="Arial"/>
                <w:sz w:val="17"/>
                <w:szCs w:val="17"/>
                <w:color w:val="auto"/>
              </w:rPr>
              <w:t>Reference is made to Exhibits 3.1 through 3.2.</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160" w:type="dxa"/>
            <w:vAlign w:val="bottom"/>
          </w:tcPr>
          <w:p>
            <w:pPr>
              <w:ind w:left="120"/>
              <w:spacing w:after="0"/>
              <w:rPr>
                <w:sz w:val="20"/>
                <w:szCs w:val="20"/>
                <w:color w:val="auto"/>
              </w:rPr>
            </w:pPr>
            <w:r>
              <w:rPr>
                <w:rFonts w:ascii="Arial" w:cs="Arial" w:eastAsia="Arial" w:hAnsi="Arial"/>
                <w:sz w:val="17"/>
                <w:szCs w:val="17"/>
                <w:color w:val="auto"/>
              </w:rPr>
              <w:t>4.2</w:t>
            </w:r>
          </w:p>
        </w:tc>
        <w:tc>
          <w:tcPr>
            <w:tcW w:w="160" w:type="dxa"/>
            <w:vAlign w:val="bottom"/>
          </w:tcPr>
          <w:p>
            <w:pPr>
              <w:spacing w:after="0"/>
              <w:rPr>
                <w:sz w:val="22"/>
                <w:szCs w:val="22"/>
                <w:color w:val="auto"/>
              </w:rPr>
            </w:pPr>
          </w:p>
        </w:tc>
        <w:tc>
          <w:tcPr>
            <w:tcW w:w="2520" w:type="dxa"/>
            <w:vAlign w:val="bottom"/>
            <w:tcBorders>
              <w:bottom w:val="single" w:sz="8" w:color="0000EE"/>
            </w:tcBorders>
            <w:gridSpan w:val="5"/>
          </w:tcPr>
          <w:p>
            <w:pPr>
              <w:spacing w:after="0"/>
              <w:rPr>
                <w:rFonts w:ascii="Arial" w:cs="Arial" w:eastAsia="Arial" w:hAnsi="Arial"/>
                <w:sz w:val="17"/>
                <w:szCs w:val="17"/>
                <w:color w:val="0000EE"/>
                <w:w w:val="88"/>
              </w:rPr>
            </w:pPr>
            <w:hyperlink r:id="rId99">
              <w:r>
                <w:rPr>
                  <w:rFonts w:ascii="Arial" w:cs="Arial" w:eastAsia="Arial" w:hAnsi="Arial"/>
                  <w:sz w:val="17"/>
                  <w:szCs w:val="17"/>
                  <w:color w:val="0000EE"/>
                  <w:w w:val="88"/>
                </w:rPr>
                <w:t>Specimen Common Stock Certificate.</w:t>
              </w:r>
            </w:hyperlink>
          </w:p>
        </w:tc>
        <w:tc>
          <w:tcPr>
            <w:tcW w:w="3440" w:type="dxa"/>
            <w:vAlign w:val="bottom"/>
            <w:gridSpan w:val="10"/>
          </w:tcPr>
          <w:p>
            <w:pPr>
              <w:spacing w:after="0"/>
              <w:rPr>
                <w:sz w:val="22"/>
                <w:szCs w:val="22"/>
                <w:color w:val="auto"/>
              </w:rPr>
            </w:pPr>
          </w:p>
        </w:tc>
        <w:tc>
          <w:tcPr>
            <w:tcW w:w="880" w:type="dxa"/>
            <w:vAlign w:val="bottom"/>
            <w:gridSpan w:val="2"/>
          </w:tcPr>
          <w:p>
            <w:pPr>
              <w:ind w:left="100"/>
              <w:spacing w:after="0"/>
              <w:rPr>
                <w:sz w:val="20"/>
                <w:szCs w:val="20"/>
                <w:color w:val="auto"/>
              </w:rPr>
            </w:pPr>
            <w:r>
              <w:rPr>
                <w:rFonts w:ascii="Arial" w:cs="Arial" w:eastAsia="Arial" w:hAnsi="Arial"/>
                <w:sz w:val="17"/>
                <w:szCs w:val="17"/>
                <w:color w:val="auto"/>
              </w:rPr>
              <w:t>S-1/A</w:t>
            </w:r>
          </w:p>
        </w:tc>
        <w:tc>
          <w:tcPr>
            <w:tcW w:w="1100" w:type="dxa"/>
            <w:vAlign w:val="bottom"/>
          </w:tcPr>
          <w:p>
            <w:pPr>
              <w:ind w:left="120"/>
              <w:spacing w:after="0"/>
              <w:rPr>
                <w:sz w:val="20"/>
                <w:szCs w:val="20"/>
                <w:color w:val="auto"/>
              </w:rPr>
            </w:pPr>
            <w:r>
              <w:rPr>
                <w:rFonts w:ascii="Arial" w:cs="Arial" w:eastAsia="Arial" w:hAnsi="Arial"/>
                <w:sz w:val="17"/>
                <w:szCs w:val="17"/>
                <w:color w:val="auto"/>
              </w:rPr>
              <w:t>09/28/2015</w:t>
            </w:r>
          </w:p>
        </w:tc>
        <w:tc>
          <w:tcPr>
            <w:tcW w:w="160" w:type="dxa"/>
            <w:vAlign w:val="bottom"/>
          </w:tcPr>
          <w:p>
            <w:pPr>
              <w:spacing w:after="0"/>
              <w:rPr>
                <w:sz w:val="22"/>
                <w:szCs w:val="22"/>
                <w:color w:val="auto"/>
              </w:rPr>
            </w:pPr>
          </w:p>
        </w:tc>
        <w:tc>
          <w:tcPr>
            <w:tcW w:w="840" w:type="dxa"/>
            <w:vAlign w:val="bottom"/>
          </w:tcPr>
          <w:p>
            <w:pPr>
              <w:jc w:val="right"/>
              <w:ind w:right="440"/>
              <w:spacing w:after="0"/>
              <w:rPr>
                <w:sz w:val="20"/>
                <w:szCs w:val="20"/>
                <w:color w:val="auto"/>
              </w:rPr>
            </w:pPr>
            <w:r>
              <w:rPr>
                <w:rFonts w:ascii="Arial" w:cs="Arial" w:eastAsia="Arial" w:hAnsi="Arial"/>
                <w:sz w:val="17"/>
                <w:szCs w:val="17"/>
                <w:color w:val="auto"/>
              </w:rPr>
              <w:t>4.1</w:t>
            </w: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1160" w:type="dxa"/>
            <w:vAlign w:val="bottom"/>
          </w:tcPr>
          <w:p>
            <w:pPr>
              <w:ind w:left="120"/>
              <w:spacing w:after="0"/>
              <w:rPr>
                <w:sz w:val="20"/>
                <w:szCs w:val="20"/>
                <w:color w:val="auto"/>
              </w:rPr>
            </w:pPr>
            <w:r>
              <w:rPr>
                <w:rFonts w:ascii="Arial" w:cs="Arial" w:eastAsia="Arial" w:hAnsi="Arial"/>
                <w:sz w:val="17"/>
                <w:szCs w:val="17"/>
                <w:color w:val="auto"/>
              </w:rPr>
              <w:t>4.3</w:t>
            </w:r>
          </w:p>
        </w:tc>
        <w:tc>
          <w:tcPr>
            <w:tcW w:w="160" w:type="dxa"/>
            <w:vAlign w:val="bottom"/>
          </w:tcPr>
          <w:p>
            <w:pPr>
              <w:spacing w:after="0"/>
              <w:rPr>
                <w:sz w:val="24"/>
                <w:szCs w:val="24"/>
                <w:color w:val="auto"/>
              </w:rPr>
            </w:pPr>
          </w:p>
        </w:tc>
        <w:tc>
          <w:tcPr>
            <w:tcW w:w="5200" w:type="dxa"/>
            <w:vAlign w:val="bottom"/>
            <w:tcBorders>
              <w:bottom w:val="single" w:sz="8" w:color="0000EE"/>
            </w:tcBorders>
            <w:gridSpan w:val="8"/>
          </w:tcPr>
          <w:p>
            <w:pPr>
              <w:spacing w:after="0"/>
              <w:rPr>
                <w:rFonts w:ascii="Arial" w:cs="Arial" w:eastAsia="Arial" w:hAnsi="Arial"/>
                <w:sz w:val="17"/>
                <w:szCs w:val="17"/>
                <w:color w:val="0000EE"/>
                <w:w w:val="87"/>
              </w:rPr>
            </w:pPr>
            <w:hyperlink r:id="rId100">
              <w:r>
                <w:rPr>
                  <w:rFonts w:ascii="Arial" w:cs="Arial" w:eastAsia="Arial" w:hAnsi="Arial"/>
                  <w:sz w:val="17"/>
                  <w:szCs w:val="17"/>
                  <w:color w:val="0000EE"/>
                  <w:w w:val="87"/>
                </w:rPr>
                <w:t>Description of Registrant’s Securities Registered Pursuant to Section 12 of the</w:t>
              </w:r>
            </w:hyperlink>
          </w:p>
        </w:tc>
        <w:tc>
          <w:tcPr>
            <w:tcW w:w="760" w:type="dxa"/>
            <w:vAlign w:val="bottom"/>
            <w:gridSpan w:val="7"/>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60" w:type="dxa"/>
            <w:vAlign w:val="bottom"/>
            <w:gridSpan w:val="15"/>
          </w:tcPr>
          <w:p>
            <w:pPr>
              <w:spacing w:after="0" w:line="179" w:lineRule="exact"/>
              <w:rPr>
                <w:rFonts w:ascii="Arial" w:cs="Arial" w:eastAsia="Arial" w:hAnsi="Arial"/>
                <w:sz w:val="17"/>
                <w:szCs w:val="17"/>
                <w:color w:val="0000EE"/>
              </w:rPr>
            </w:pPr>
            <w:hyperlink r:id="rId100">
              <w:r>
                <w:rPr>
                  <w:rFonts w:ascii="Arial" w:cs="Arial" w:eastAsia="Arial" w:hAnsi="Arial"/>
                  <w:sz w:val="17"/>
                  <w:szCs w:val="17"/>
                  <w:color w:val="0000EE"/>
                </w:rPr>
                <w:t>Securities Exchange Act of 1934.</w:t>
              </w:r>
            </w:hyperlink>
          </w:p>
        </w:tc>
        <w:tc>
          <w:tcPr>
            <w:tcW w:w="880" w:type="dxa"/>
            <w:vAlign w:val="bottom"/>
            <w:gridSpan w:val="2"/>
          </w:tcPr>
          <w:p>
            <w:pPr>
              <w:ind w:left="100"/>
              <w:spacing w:after="0" w:line="179" w:lineRule="exact"/>
              <w:rPr>
                <w:sz w:val="20"/>
                <w:szCs w:val="20"/>
                <w:color w:val="auto"/>
              </w:rPr>
            </w:pPr>
            <w:r>
              <w:rPr>
                <w:rFonts w:ascii="Arial" w:cs="Arial" w:eastAsia="Arial" w:hAnsi="Arial"/>
                <w:sz w:val="17"/>
                <w:szCs w:val="17"/>
                <w:color w:val="auto"/>
              </w:rPr>
              <w:t>10-Q</w:t>
            </w:r>
          </w:p>
        </w:tc>
        <w:tc>
          <w:tcPr>
            <w:tcW w:w="1100" w:type="dxa"/>
            <w:vAlign w:val="bottom"/>
          </w:tcPr>
          <w:p>
            <w:pPr>
              <w:ind w:left="120"/>
              <w:spacing w:after="0" w:line="179" w:lineRule="exact"/>
              <w:rPr>
                <w:sz w:val="20"/>
                <w:szCs w:val="20"/>
                <w:color w:val="auto"/>
              </w:rPr>
            </w:pPr>
            <w:r>
              <w:rPr>
                <w:rFonts w:ascii="Arial" w:cs="Arial" w:eastAsia="Arial" w:hAnsi="Arial"/>
                <w:sz w:val="17"/>
                <w:szCs w:val="17"/>
                <w:color w:val="auto"/>
              </w:rPr>
              <w:t>8/6/2020</w:t>
            </w:r>
          </w:p>
        </w:tc>
        <w:tc>
          <w:tcPr>
            <w:tcW w:w="160" w:type="dxa"/>
            <w:vAlign w:val="bottom"/>
          </w:tcPr>
          <w:p>
            <w:pPr>
              <w:spacing w:after="0"/>
              <w:rPr>
                <w:sz w:val="15"/>
                <w:szCs w:val="15"/>
                <w:color w:val="auto"/>
              </w:rPr>
            </w:pPr>
          </w:p>
        </w:tc>
        <w:tc>
          <w:tcPr>
            <w:tcW w:w="840" w:type="dxa"/>
            <w:vAlign w:val="bottom"/>
          </w:tcPr>
          <w:p>
            <w:pPr>
              <w:jc w:val="right"/>
              <w:ind w:right="440"/>
              <w:spacing w:after="0" w:line="179" w:lineRule="exact"/>
              <w:rPr>
                <w:sz w:val="20"/>
                <w:szCs w:val="20"/>
                <w:color w:val="auto"/>
              </w:rPr>
            </w:pPr>
            <w:r>
              <w:rPr>
                <w:rFonts w:ascii="Arial" w:cs="Arial" w:eastAsia="Arial" w:hAnsi="Arial"/>
                <w:sz w:val="17"/>
                <w:szCs w:val="17"/>
                <w:color w:val="auto"/>
              </w:rPr>
              <w:t>4.4</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160" w:type="dxa"/>
            <w:vAlign w:val="bottom"/>
          </w:tcPr>
          <w:p>
            <w:pPr>
              <w:ind w:left="120"/>
              <w:spacing w:after="0"/>
              <w:rPr>
                <w:sz w:val="20"/>
                <w:szCs w:val="20"/>
                <w:color w:val="auto"/>
              </w:rPr>
            </w:pPr>
            <w:r>
              <w:rPr>
                <w:rFonts w:ascii="Arial" w:cs="Arial" w:eastAsia="Arial" w:hAnsi="Arial"/>
                <w:sz w:val="17"/>
                <w:szCs w:val="17"/>
                <w:color w:val="auto"/>
              </w:rPr>
              <w:t>10.1</w:t>
            </w:r>
          </w:p>
        </w:tc>
        <w:tc>
          <w:tcPr>
            <w:tcW w:w="160" w:type="dxa"/>
            <w:vAlign w:val="bottom"/>
          </w:tcPr>
          <w:p>
            <w:pPr>
              <w:spacing w:after="0"/>
              <w:rPr>
                <w:sz w:val="24"/>
                <w:szCs w:val="24"/>
                <w:color w:val="auto"/>
              </w:rPr>
            </w:pPr>
          </w:p>
        </w:tc>
        <w:tc>
          <w:tcPr>
            <w:tcW w:w="5740" w:type="dxa"/>
            <w:vAlign w:val="bottom"/>
            <w:tcBorders>
              <w:bottom w:val="single" w:sz="8" w:color="0000EE"/>
            </w:tcBorders>
            <w:gridSpan w:val="13"/>
          </w:tcPr>
          <w:p>
            <w:pPr>
              <w:spacing w:after="0"/>
              <w:rPr>
                <w:rFonts w:ascii="Arial" w:cs="Arial" w:eastAsia="Arial" w:hAnsi="Arial"/>
                <w:sz w:val="17"/>
                <w:szCs w:val="17"/>
                <w:color w:val="0000EE"/>
                <w:w w:val="88"/>
              </w:rPr>
            </w:pPr>
            <w:hyperlink r:id="rId101">
              <w:r>
                <w:rPr>
                  <w:rFonts w:ascii="Arial" w:cs="Arial" w:eastAsia="Arial" w:hAnsi="Arial"/>
                  <w:sz w:val="17"/>
                  <w:szCs w:val="17"/>
                  <w:color w:val="0000EE"/>
                  <w:w w:val="88"/>
                </w:rPr>
                <w:t>Underwriting Agreement, dated as of January 20, 2021, among CytomX Therapeutics,</w:t>
              </w:r>
            </w:hyperlink>
          </w:p>
        </w:tc>
        <w:tc>
          <w:tcPr>
            <w:tcW w:w="22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80" w:type="dxa"/>
            <w:vAlign w:val="bottom"/>
            <w:tcBorders>
              <w:bottom w:val="single" w:sz="8" w:color="0000EE"/>
            </w:tcBorders>
            <w:gridSpan w:val="11"/>
          </w:tcPr>
          <w:p>
            <w:pPr>
              <w:spacing w:after="0" w:line="179" w:lineRule="exact"/>
              <w:rPr>
                <w:rFonts w:ascii="Arial" w:cs="Arial" w:eastAsia="Arial" w:hAnsi="Arial"/>
                <w:sz w:val="17"/>
                <w:szCs w:val="17"/>
                <w:color w:val="0000EE"/>
                <w:w w:val="88"/>
              </w:rPr>
            </w:pPr>
            <w:hyperlink r:id="rId101">
              <w:r>
                <w:rPr>
                  <w:rFonts w:ascii="Arial" w:cs="Arial" w:eastAsia="Arial" w:hAnsi="Arial"/>
                  <w:sz w:val="17"/>
                  <w:szCs w:val="17"/>
                  <w:color w:val="0000EE"/>
                  <w:w w:val="88"/>
                </w:rPr>
                <w:t>Inc. and J.P Morgan Securities LLC, Cowen and Company, LLC and Piper Sandler &amp;</w:t>
              </w:r>
            </w:hyperlink>
          </w:p>
        </w:tc>
        <w:tc>
          <w:tcPr>
            <w:tcW w:w="280" w:type="dxa"/>
            <w:vAlign w:val="bottom"/>
            <w:gridSpan w:val="4"/>
          </w:tcPr>
          <w:p>
            <w:pPr>
              <w:spacing w:after="0"/>
              <w:rPr>
                <w:sz w:val="15"/>
                <w:szCs w:val="15"/>
                <w:color w:val="auto"/>
              </w:rPr>
            </w:pPr>
          </w:p>
        </w:tc>
        <w:tc>
          <w:tcPr>
            <w:tcW w:w="880" w:type="dxa"/>
            <w:vAlign w:val="bottom"/>
            <w:gridSpan w:val="2"/>
          </w:tcPr>
          <w:p>
            <w:pPr>
              <w:ind w:left="100"/>
              <w:spacing w:after="0" w:line="179" w:lineRule="exact"/>
              <w:rPr>
                <w:sz w:val="20"/>
                <w:szCs w:val="20"/>
                <w:color w:val="auto"/>
              </w:rPr>
            </w:pPr>
            <w:r>
              <w:rPr>
                <w:rFonts w:ascii="Arial" w:cs="Arial" w:eastAsia="Arial" w:hAnsi="Arial"/>
                <w:sz w:val="17"/>
                <w:szCs w:val="17"/>
                <w:color w:val="auto"/>
              </w:rPr>
              <w:t>8-K</w:t>
            </w:r>
          </w:p>
        </w:tc>
        <w:tc>
          <w:tcPr>
            <w:tcW w:w="1100" w:type="dxa"/>
            <w:vAlign w:val="bottom"/>
          </w:tcPr>
          <w:p>
            <w:pPr>
              <w:ind w:left="120"/>
              <w:spacing w:after="0" w:line="179" w:lineRule="exact"/>
              <w:rPr>
                <w:sz w:val="20"/>
                <w:szCs w:val="20"/>
                <w:color w:val="auto"/>
              </w:rPr>
            </w:pPr>
            <w:r>
              <w:rPr>
                <w:rFonts w:ascii="Arial" w:cs="Arial" w:eastAsia="Arial" w:hAnsi="Arial"/>
                <w:sz w:val="17"/>
                <w:szCs w:val="17"/>
                <w:color w:val="auto"/>
              </w:rPr>
              <w:t>1/25/2021</w:t>
            </w:r>
          </w:p>
        </w:tc>
        <w:tc>
          <w:tcPr>
            <w:tcW w:w="160" w:type="dxa"/>
            <w:vAlign w:val="bottom"/>
          </w:tcPr>
          <w:p>
            <w:pPr>
              <w:spacing w:after="0"/>
              <w:rPr>
                <w:sz w:val="15"/>
                <w:szCs w:val="15"/>
                <w:color w:val="auto"/>
              </w:rPr>
            </w:pPr>
          </w:p>
        </w:tc>
        <w:tc>
          <w:tcPr>
            <w:tcW w:w="840" w:type="dxa"/>
            <w:vAlign w:val="bottom"/>
          </w:tcPr>
          <w:p>
            <w:pPr>
              <w:jc w:val="right"/>
              <w:ind w:right="440"/>
              <w:spacing w:after="0" w:line="179" w:lineRule="exact"/>
              <w:rPr>
                <w:sz w:val="20"/>
                <w:szCs w:val="20"/>
                <w:color w:val="auto"/>
              </w:rPr>
            </w:pPr>
            <w:r>
              <w:rPr>
                <w:rFonts w:ascii="Arial" w:cs="Arial" w:eastAsia="Arial" w:hAnsi="Arial"/>
                <w:sz w:val="17"/>
                <w:szCs w:val="17"/>
                <w:color w:val="auto"/>
              </w:rPr>
              <w:t>1.1</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60" w:type="dxa"/>
            <w:vAlign w:val="bottom"/>
            <w:gridSpan w:val="15"/>
          </w:tcPr>
          <w:p>
            <w:pPr>
              <w:spacing w:after="0" w:line="179" w:lineRule="exact"/>
              <w:rPr>
                <w:rFonts w:ascii="Arial" w:cs="Arial" w:eastAsia="Arial" w:hAnsi="Arial"/>
                <w:sz w:val="17"/>
                <w:szCs w:val="17"/>
                <w:color w:val="0000EE"/>
              </w:rPr>
            </w:pPr>
            <w:hyperlink r:id="rId101">
              <w:r>
                <w:rPr>
                  <w:rFonts w:ascii="Arial" w:cs="Arial" w:eastAsia="Arial" w:hAnsi="Arial"/>
                  <w:sz w:val="17"/>
                  <w:szCs w:val="17"/>
                  <w:color w:val="0000EE"/>
                </w:rPr>
                <w:t>Co., as representatives of the underwriters named therein.</w:t>
              </w:r>
            </w:hyperlink>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560" w:type="dxa"/>
            <w:vAlign w:val="bottom"/>
            <w:gridSpan w:val="6"/>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160" w:type="dxa"/>
            <w:vAlign w:val="bottom"/>
          </w:tcPr>
          <w:p>
            <w:pPr>
              <w:ind w:left="120"/>
              <w:spacing w:after="0"/>
              <w:rPr>
                <w:sz w:val="20"/>
                <w:szCs w:val="20"/>
                <w:color w:val="auto"/>
              </w:rPr>
            </w:pPr>
            <w:r>
              <w:rPr>
                <w:rFonts w:ascii="Arial" w:cs="Arial" w:eastAsia="Arial" w:hAnsi="Arial"/>
                <w:sz w:val="17"/>
                <w:szCs w:val="17"/>
                <w:color w:val="auto"/>
              </w:rPr>
              <w:t>10.2††</w:t>
            </w:r>
          </w:p>
        </w:tc>
        <w:tc>
          <w:tcPr>
            <w:tcW w:w="160" w:type="dxa"/>
            <w:vAlign w:val="bottom"/>
          </w:tcPr>
          <w:p>
            <w:pPr>
              <w:spacing w:after="0"/>
              <w:rPr>
                <w:sz w:val="24"/>
                <w:szCs w:val="24"/>
                <w:color w:val="auto"/>
              </w:rPr>
            </w:pPr>
          </w:p>
        </w:tc>
        <w:tc>
          <w:tcPr>
            <w:tcW w:w="5960" w:type="dxa"/>
            <w:vAlign w:val="bottom"/>
            <w:gridSpan w:val="15"/>
          </w:tcPr>
          <w:p>
            <w:pPr>
              <w:spacing w:after="0"/>
              <w:rPr>
                <w:rFonts w:ascii="Arial" w:cs="Arial" w:eastAsia="Arial" w:hAnsi="Arial"/>
                <w:sz w:val="17"/>
                <w:szCs w:val="17"/>
                <w:color w:val="0000EE"/>
                <w:w w:val="91"/>
              </w:rPr>
            </w:pPr>
            <w:hyperlink w:anchor="page79">
              <w:r>
                <w:rPr>
                  <w:rFonts w:ascii="Arial" w:cs="Arial" w:eastAsia="Arial" w:hAnsi="Arial"/>
                  <w:sz w:val="17"/>
                  <w:szCs w:val="17"/>
                  <w:color w:val="0000EE"/>
                  <w:w w:val="91"/>
                </w:rPr>
                <w:t>Amendment No 2 to Collaboration and License Agreement, as amended, dated March</w:t>
              </w:r>
            </w:hyperlink>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700" w:type="dxa"/>
            <w:vAlign w:val="bottom"/>
            <w:tcBorders>
              <w:top w:val="single" w:sz="8" w:color="0000EE"/>
            </w:tcBorders>
            <w:gridSpan w:val="12"/>
          </w:tcPr>
          <w:p>
            <w:pPr>
              <w:spacing w:after="0" w:line="179" w:lineRule="exact"/>
              <w:rPr>
                <w:rFonts w:ascii="Arial" w:cs="Arial" w:eastAsia="Arial" w:hAnsi="Arial"/>
                <w:sz w:val="17"/>
                <w:szCs w:val="17"/>
                <w:color w:val="0000EE"/>
                <w:w w:val="93"/>
              </w:rPr>
            </w:pPr>
            <w:hyperlink w:anchor="page79">
              <w:r>
                <w:rPr>
                  <w:rFonts w:ascii="Arial" w:cs="Arial" w:eastAsia="Arial" w:hAnsi="Arial"/>
                  <w:sz w:val="17"/>
                  <w:szCs w:val="17"/>
                  <w:color w:val="0000EE"/>
                  <w:w w:val="93"/>
                </w:rPr>
                <w:t>17, 2017, by and between the Company and Bristol Myers Squibb, effective as of</w:t>
              </w:r>
            </w:hyperlink>
          </w:p>
        </w:tc>
        <w:tc>
          <w:tcPr>
            <w:tcW w:w="260" w:type="dxa"/>
            <w:vAlign w:val="bottom"/>
            <w:gridSpan w:val="3"/>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center"/>
              <w:spacing w:after="0" w:line="179" w:lineRule="exact"/>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0" w:type="dxa"/>
            <w:vAlign w:val="bottom"/>
            <w:tcBorders>
              <w:top w:val="single" w:sz="8" w:color="0000EE"/>
            </w:tcBorders>
            <w:gridSpan w:val="9"/>
          </w:tcPr>
          <w:p>
            <w:pPr>
              <w:spacing w:after="0" w:line="179" w:lineRule="exact"/>
              <w:rPr>
                <w:rFonts w:ascii="Arial" w:cs="Arial" w:eastAsia="Arial" w:hAnsi="Arial"/>
                <w:sz w:val="17"/>
                <w:szCs w:val="17"/>
                <w:color w:val="0000EE"/>
              </w:rPr>
            </w:pPr>
            <w:hyperlink w:anchor="page79">
              <w:r>
                <w:rPr>
                  <w:rFonts w:ascii="Arial" w:cs="Arial" w:eastAsia="Arial" w:hAnsi="Arial"/>
                  <w:sz w:val="17"/>
                  <w:szCs w:val="17"/>
                  <w:color w:val="0000EE"/>
                </w:rPr>
                <w:t>February 22, 2021.</w:t>
              </w:r>
            </w:hyperlink>
          </w:p>
        </w:tc>
        <w:tc>
          <w:tcPr>
            <w:tcW w:w="560" w:type="dxa"/>
            <w:vAlign w:val="bottom"/>
            <w:gridSpan w:val="6"/>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ectPr>
          <w:pgSz w:w="11900" w:h="16838" w:orient="portrait"/>
          <w:cols w:equalWidth="0" w:num="1">
            <w:col w:w="11241"/>
          </w:cols>
          <w:pgMar w:left="319" w:top="657" w:right="339" w:bottom="1440" w:gutter="0" w:footer="0" w:header="0"/>
        </w:sectPr>
      </w:pPr>
    </w:p>
    <w:tbl>
      <w:tblPr>
        <w:tblLayout w:type="fixed"/>
        <w:tblInd w:w="121" w:type="dxa"/>
        <w:tblCellMar>
          <w:top w:w="0" w:type="dxa"/>
          <w:left w:w="0" w:type="dxa"/>
          <w:bottom w:w="0" w:type="dxa"/>
          <w:right w:w="0" w:type="dxa"/>
        </w:tblCellMar>
      </w:tblPr>
      <w:tr>
        <w:trPr>
          <w:trHeight w:val="195"/>
        </w:trPr>
        <w:tc>
          <w:tcPr>
            <w:tcW w:w="1200" w:type="dxa"/>
            <w:vAlign w:val="bottom"/>
          </w:tcPr>
          <w:p>
            <w:pPr>
              <w:spacing w:after="0"/>
              <w:rPr>
                <w:sz w:val="20"/>
                <w:szCs w:val="20"/>
                <w:color w:val="auto"/>
              </w:rPr>
            </w:pPr>
            <w:r>
              <w:rPr>
                <w:rFonts w:ascii="Arial" w:cs="Arial" w:eastAsia="Arial" w:hAnsi="Arial"/>
                <w:sz w:val="17"/>
                <w:szCs w:val="17"/>
                <w:color w:val="auto"/>
              </w:rPr>
              <w:t>10.3</w:t>
            </w:r>
          </w:p>
        </w:tc>
        <w:tc>
          <w:tcPr>
            <w:tcW w:w="5760" w:type="dxa"/>
            <w:vAlign w:val="bottom"/>
            <w:gridSpan w:val="7"/>
          </w:tcPr>
          <w:p>
            <w:pPr>
              <w:spacing w:after="0"/>
              <w:rPr>
                <w:rFonts w:ascii="Arial" w:cs="Arial" w:eastAsia="Arial" w:hAnsi="Arial"/>
                <w:sz w:val="17"/>
                <w:szCs w:val="17"/>
                <w:color w:val="0000EE"/>
                <w:w w:val="99"/>
              </w:rPr>
            </w:pPr>
            <w:hyperlink w:anchor="page85">
              <w:r>
                <w:rPr>
                  <w:rFonts w:ascii="Arial" w:cs="Arial" w:eastAsia="Arial" w:hAnsi="Arial"/>
                  <w:sz w:val="17"/>
                  <w:szCs w:val="17"/>
                  <w:color w:val="0000EE"/>
                  <w:w w:val="99"/>
                </w:rPr>
                <w:t>Consulting Agreement, effective as of April 1, 2021, by and between CytomX</w:t>
              </w:r>
            </w:hyperlink>
          </w:p>
        </w:tc>
      </w:tr>
      <w:tr>
        <w:trPr>
          <w:trHeight w:val="179"/>
        </w:trPr>
        <w:tc>
          <w:tcPr>
            <w:tcW w:w="1200" w:type="dxa"/>
            <w:vAlign w:val="bottom"/>
          </w:tcPr>
          <w:p>
            <w:pPr>
              <w:spacing w:after="0"/>
              <w:rPr>
                <w:sz w:val="15"/>
                <w:szCs w:val="15"/>
                <w:color w:val="auto"/>
              </w:rPr>
            </w:pPr>
          </w:p>
        </w:tc>
        <w:tc>
          <w:tcPr>
            <w:tcW w:w="2760" w:type="dxa"/>
            <w:vAlign w:val="bottom"/>
            <w:tcBorders>
              <w:top w:val="single" w:sz="8" w:color="0000EE"/>
              <w:bottom w:val="single" w:sz="8" w:color="0000EE"/>
            </w:tcBorders>
            <w:gridSpan w:val="2"/>
          </w:tcPr>
          <w:p>
            <w:pPr>
              <w:spacing w:after="0" w:line="179" w:lineRule="exact"/>
              <w:rPr>
                <w:rFonts w:ascii="Arial" w:cs="Arial" w:eastAsia="Arial" w:hAnsi="Arial"/>
                <w:sz w:val="17"/>
                <w:szCs w:val="17"/>
                <w:color w:val="0000EE"/>
                <w:w w:val="87"/>
              </w:rPr>
            </w:pPr>
            <w:hyperlink w:anchor="page85">
              <w:r>
                <w:rPr>
                  <w:rFonts w:ascii="Arial" w:cs="Arial" w:eastAsia="Arial" w:hAnsi="Arial"/>
                  <w:sz w:val="17"/>
                  <w:szCs w:val="17"/>
                  <w:color w:val="0000EE"/>
                  <w:w w:val="87"/>
                </w:rPr>
                <w:t>Therapeutics, Inc. and Dr. Charles Fuchs.</w:t>
              </w:r>
            </w:hyperlink>
          </w:p>
        </w:tc>
        <w:tc>
          <w:tcPr>
            <w:tcW w:w="2420" w:type="dxa"/>
            <w:vAlign w:val="bottom"/>
            <w:tcBorders>
              <w:top w:val="single" w:sz="8" w:color="0000EE"/>
            </w:tcBorders>
          </w:tcPr>
          <w:p>
            <w:pPr>
              <w:spacing w:after="0"/>
              <w:rPr>
                <w:sz w:val="15"/>
                <w:szCs w:val="15"/>
                <w:color w:val="auto"/>
              </w:rPr>
            </w:pPr>
          </w:p>
        </w:tc>
        <w:tc>
          <w:tcPr>
            <w:tcW w:w="580" w:type="dxa"/>
            <w:vAlign w:val="bottom"/>
            <w:gridSpan w:val="4"/>
          </w:tcPr>
          <w:p>
            <w:pPr>
              <w:spacing w:after="0"/>
              <w:rPr>
                <w:sz w:val="15"/>
                <w:szCs w:val="15"/>
                <w:color w:val="auto"/>
              </w:rPr>
            </w:pPr>
          </w:p>
        </w:tc>
      </w:tr>
      <w:tr>
        <w:trPr>
          <w:trHeight w:val="278"/>
        </w:trPr>
        <w:tc>
          <w:tcPr>
            <w:tcW w:w="1200" w:type="dxa"/>
            <w:vAlign w:val="bottom"/>
          </w:tcPr>
          <w:p>
            <w:pPr>
              <w:spacing w:after="0"/>
              <w:rPr>
                <w:sz w:val="20"/>
                <w:szCs w:val="20"/>
                <w:color w:val="auto"/>
              </w:rPr>
            </w:pPr>
            <w:r>
              <w:rPr>
                <w:rFonts w:ascii="Arial" w:cs="Arial" w:eastAsia="Arial" w:hAnsi="Arial"/>
                <w:sz w:val="17"/>
                <w:szCs w:val="17"/>
                <w:color w:val="auto"/>
              </w:rPr>
              <w:t>31.1</w:t>
            </w:r>
          </w:p>
        </w:tc>
        <w:tc>
          <w:tcPr>
            <w:tcW w:w="5760" w:type="dxa"/>
            <w:vAlign w:val="bottom"/>
            <w:tcBorders>
              <w:bottom w:val="single" w:sz="8" w:color="0000EE"/>
            </w:tcBorders>
            <w:gridSpan w:val="7"/>
          </w:tcPr>
          <w:p>
            <w:pPr>
              <w:spacing w:after="0"/>
              <w:rPr>
                <w:rFonts w:ascii="Arial" w:cs="Arial" w:eastAsia="Arial" w:hAnsi="Arial"/>
                <w:sz w:val="17"/>
                <w:szCs w:val="17"/>
                <w:color w:val="0000EE"/>
                <w:w w:val="90"/>
              </w:rPr>
            </w:pPr>
            <w:hyperlink w:anchor="page90">
              <w:r>
                <w:rPr>
                  <w:rFonts w:ascii="Arial" w:cs="Arial" w:eastAsia="Arial" w:hAnsi="Arial"/>
                  <w:sz w:val="17"/>
                  <w:szCs w:val="17"/>
                  <w:color w:val="0000EE"/>
                  <w:w w:val="90"/>
                </w:rPr>
                <w:t>Certification of Chief Executive Officer required by Rule 13a-14(a) or Rule 15d-14(a).</w:t>
              </w:r>
            </w:hyperlink>
          </w:p>
        </w:tc>
      </w:tr>
      <w:tr>
        <w:trPr>
          <w:trHeight w:val="278"/>
        </w:trPr>
        <w:tc>
          <w:tcPr>
            <w:tcW w:w="1200" w:type="dxa"/>
            <w:vAlign w:val="bottom"/>
          </w:tcPr>
          <w:p>
            <w:pPr>
              <w:spacing w:after="0"/>
              <w:rPr>
                <w:sz w:val="20"/>
                <w:szCs w:val="20"/>
                <w:color w:val="auto"/>
              </w:rPr>
            </w:pPr>
            <w:r>
              <w:rPr>
                <w:rFonts w:ascii="Arial" w:cs="Arial" w:eastAsia="Arial" w:hAnsi="Arial"/>
                <w:sz w:val="17"/>
                <w:szCs w:val="17"/>
                <w:color w:val="auto"/>
              </w:rPr>
              <w:t>31.2</w:t>
            </w:r>
          </w:p>
        </w:tc>
        <w:tc>
          <w:tcPr>
            <w:tcW w:w="5720" w:type="dxa"/>
            <w:vAlign w:val="bottom"/>
            <w:tcBorders>
              <w:bottom w:val="single" w:sz="8" w:color="0000EE"/>
            </w:tcBorders>
            <w:gridSpan w:val="5"/>
          </w:tcPr>
          <w:p>
            <w:pPr>
              <w:spacing w:after="0"/>
              <w:rPr>
                <w:rFonts w:ascii="Arial" w:cs="Arial" w:eastAsia="Arial" w:hAnsi="Arial"/>
                <w:sz w:val="17"/>
                <w:szCs w:val="17"/>
                <w:color w:val="0000EE"/>
                <w:w w:val="90"/>
              </w:rPr>
            </w:pPr>
            <w:hyperlink w:anchor="page91">
              <w:r>
                <w:rPr>
                  <w:rFonts w:ascii="Arial" w:cs="Arial" w:eastAsia="Arial" w:hAnsi="Arial"/>
                  <w:sz w:val="17"/>
                  <w:szCs w:val="17"/>
                  <w:color w:val="0000EE"/>
                  <w:w w:val="90"/>
                </w:rPr>
                <w:t>Certification of Chief Financial Officer required by Rule 13a-14(a) or Rule 15d-14(a).</w:t>
              </w:r>
            </w:hyperlink>
          </w:p>
        </w:tc>
        <w:tc>
          <w:tcPr>
            <w:tcW w:w="40" w:type="dxa"/>
            <w:vAlign w:val="bottom"/>
            <w:gridSpan w:val="2"/>
          </w:tcPr>
          <w:p>
            <w:pPr>
              <w:spacing w:after="0"/>
              <w:rPr>
                <w:sz w:val="24"/>
                <w:szCs w:val="24"/>
                <w:color w:val="auto"/>
              </w:rPr>
            </w:pPr>
          </w:p>
        </w:tc>
      </w:tr>
      <w:tr>
        <w:trPr>
          <w:trHeight w:val="278"/>
        </w:trPr>
        <w:tc>
          <w:tcPr>
            <w:tcW w:w="1200" w:type="dxa"/>
            <w:vAlign w:val="bottom"/>
          </w:tcPr>
          <w:p>
            <w:pPr>
              <w:spacing w:after="0"/>
              <w:rPr>
                <w:sz w:val="20"/>
                <w:szCs w:val="20"/>
                <w:color w:val="auto"/>
              </w:rPr>
            </w:pPr>
            <w:r>
              <w:rPr>
                <w:rFonts w:ascii="Arial" w:cs="Arial" w:eastAsia="Arial" w:hAnsi="Arial"/>
                <w:sz w:val="17"/>
                <w:szCs w:val="17"/>
                <w:color w:val="auto"/>
              </w:rPr>
              <w:t>32.1*</w:t>
            </w:r>
          </w:p>
        </w:tc>
        <w:tc>
          <w:tcPr>
            <w:tcW w:w="5740" w:type="dxa"/>
            <w:vAlign w:val="bottom"/>
            <w:tcBorders>
              <w:bottom w:val="single" w:sz="8" w:color="0000EE"/>
            </w:tcBorders>
            <w:gridSpan w:val="6"/>
          </w:tcPr>
          <w:p>
            <w:pPr>
              <w:spacing w:after="0"/>
              <w:rPr>
                <w:rFonts w:ascii="Arial" w:cs="Arial" w:eastAsia="Arial" w:hAnsi="Arial"/>
                <w:sz w:val="17"/>
                <w:szCs w:val="17"/>
                <w:color w:val="0000EE"/>
                <w:w w:val="90"/>
              </w:rPr>
            </w:pPr>
            <w:hyperlink w:anchor="page92">
              <w:r>
                <w:rPr>
                  <w:rFonts w:ascii="Arial" w:cs="Arial" w:eastAsia="Arial" w:hAnsi="Arial"/>
                  <w:sz w:val="17"/>
                  <w:szCs w:val="17"/>
                  <w:color w:val="0000EE"/>
                  <w:w w:val="90"/>
                </w:rPr>
                <w:t>Certification of Chief Executive Officer required by Rule 13a-14(b) or Rule 15d-14(b)</w:t>
              </w:r>
            </w:hyperlink>
          </w:p>
        </w:tc>
        <w:tc>
          <w:tcPr>
            <w:tcW w:w="20" w:type="dxa"/>
            <w:vAlign w:val="bottom"/>
          </w:tcPr>
          <w:p>
            <w:pPr>
              <w:spacing w:after="0"/>
              <w:rPr>
                <w:sz w:val="24"/>
                <w:szCs w:val="24"/>
                <w:color w:val="auto"/>
              </w:rPr>
            </w:pPr>
          </w:p>
        </w:tc>
      </w:tr>
      <w:tr>
        <w:trPr>
          <w:trHeight w:val="179"/>
        </w:trPr>
        <w:tc>
          <w:tcPr>
            <w:tcW w:w="1200" w:type="dxa"/>
            <w:vAlign w:val="bottom"/>
          </w:tcPr>
          <w:p>
            <w:pPr>
              <w:spacing w:after="0"/>
              <w:rPr>
                <w:sz w:val="15"/>
                <w:szCs w:val="15"/>
                <w:color w:val="auto"/>
              </w:rPr>
            </w:pPr>
          </w:p>
        </w:tc>
        <w:tc>
          <w:tcPr>
            <w:tcW w:w="5760" w:type="dxa"/>
            <w:vAlign w:val="bottom"/>
            <w:gridSpan w:val="7"/>
          </w:tcPr>
          <w:p>
            <w:pPr>
              <w:spacing w:after="0" w:line="179" w:lineRule="exact"/>
              <w:rPr>
                <w:rFonts w:ascii="Arial" w:cs="Arial" w:eastAsia="Arial" w:hAnsi="Arial"/>
                <w:sz w:val="17"/>
                <w:szCs w:val="17"/>
                <w:color w:val="0000EE"/>
                <w:w w:val="95"/>
              </w:rPr>
            </w:pPr>
            <w:hyperlink w:anchor="page92">
              <w:r>
                <w:rPr>
                  <w:rFonts w:ascii="Arial" w:cs="Arial" w:eastAsia="Arial" w:hAnsi="Arial"/>
                  <w:sz w:val="17"/>
                  <w:szCs w:val="17"/>
                  <w:color w:val="0000EE"/>
                  <w:w w:val="95"/>
                </w:rPr>
                <w:t>and Section 1350 of Chapter 63 of Title 18 of the United States Code (18 U.S.C.</w:t>
              </w:r>
            </w:hyperlink>
          </w:p>
        </w:tc>
      </w:tr>
      <w:tr>
        <w:trPr>
          <w:trHeight w:val="179"/>
        </w:trPr>
        <w:tc>
          <w:tcPr>
            <w:tcW w:w="1200" w:type="dxa"/>
            <w:vAlign w:val="bottom"/>
          </w:tcPr>
          <w:p>
            <w:pPr>
              <w:spacing w:after="0"/>
              <w:rPr>
                <w:sz w:val="15"/>
                <w:szCs w:val="15"/>
                <w:color w:val="auto"/>
              </w:rPr>
            </w:pPr>
          </w:p>
        </w:tc>
        <w:tc>
          <w:tcPr>
            <w:tcW w:w="520" w:type="dxa"/>
            <w:vAlign w:val="bottom"/>
            <w:tcBorders>
              <w:top w:val="single" w:sz="8" w:color="0000EE"/>
              <w:bottom w:val="single" w:sz="8" w:color="0000EE"/>
            </w:tcBorders>
          </w:tcPr>
          <w:p>
            <w:pPr>
              <w:spacing w:after="0" w:line="179" w:lineRule="exact"/>
              <w:rPr>
                <w:rFonts w:ascii="Arial" w:cs="Arial" w:eastAsia="Arial" w:hAnsi="Arial"/>
                <w:sz w:val="17"/>
                <w:szCs w:val="17"/>
                <w:color w:val="0000EE"/>
                <w:w w:val="86"/>
              </w:rPr>
            </w:pPr>
            <w:hyperlink w:anchor="page92">
              <w:r>
                <w:rPr>
                  <w:rFonts w:ascii="Arial" w:cs="Arial" w:eastAsia="Arial" w:hAnsi="Arial"/>
                  <w:sz w:val="17"/>
                  <w:szCs w:val="17"/>
                  <w:color w:val="0000EE"/>
                  <w:w w:val="86"/>
                </w:rPr>
                <w:t>§1350).</w:t>
              </w:r>
            </w:hyperlink>
          </w:p>
        </w:tc>
        <w:tc>
          <w:tcPr>
            <w:tcW w:w="2240" w:type="dxa"/>
            <w:vAlign w:val="bottom"/>
            <w:tcBorders>
              <w:top w:val="single" w:sz="8" w:color="0000EE"/>
            </w:tcBorders>
          </w:tcPr>
          <w:p>
            <w:pPr>
              <w:spacing w:after="0"/>
              <w:rPr>
                <w:sz w:val="15"/>
                <w:szCs w:val="15"/>
                <w:color w:val="auto"/>
              </w:rPr>
            </w:pPr>
          </w:p>
        </w:tc>
        <w:tc>
          <w:tcPr>
            <w:tcW w:w="24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79" w:lineRule="exact"/>
        <w:rPr>
          <w:sz w:val="20"/>
          <w:szCs w:val="20"/>
          <w:color w:val="auto"/>
        </w:rPr>
      </w:pPr>
    </w:p>
    <w:p>
      <w:pPr>
        <w:sectPr>
          <w:pgSz w:w="11900" w:h="16838" w:orient="portrait"/>
          <w:cols w:equalWidth="0" w:num="2">
            <w:col w:w="10081" w:space="720"/>
            <w:col w:w="440"/>
          </w:cols>
          <w:pgMar w:left="319" w:top="657" w:right="339" w:bottom="1440" w:gutter="0" w:footer="0" w:header="0"/>
          <w:type w:val="continuous"/>
        </w:sectPr>
      </w:pPr>
    </w:p>
    <w:tbl>
      <w:tblPr>
        <w:tblLayout w:type="fixed"/>
        <w:tblInd w:w="121" w:type="dxa"/>
        <w:tblCellMar>
          <w:top w:w="0" w:type="dxa"/>
          <w:left w:w="0" w:type="dxa"/>
          <w:bottom w:w="0" w:type="dxa"/>
          <w:right w:w="0" w:type="dxa"/>
        </w:tblCellMar>
      </w:tblPr>
      <w:tr>
        <w:trPr>
          <w:trHeight w:val="195"/>
        </w:trPr>
        <w:tc>
          <w:tcPr>
            <w:tcW w:w="1200" w:type="dxa"/>
            <w:vAlign w:val="bottom"/>
          </w:tcPr>
          <w:p>
            <w:pPr>
              <w:spacing w:after="0"/>
              <w:rPr>
                <w:sz w:val="20"/>
                <w:szCs w:val="20"/>
                <w:color w:val="auto"/>
              </w:rPr>
            </w:pPr>
            <w:r>
              <w:rPr>
                <w:rFonts w:ascii="Arial" w:cs="Arial" w:eastAsia="Arial" w:hAnsi="Arial"/>
                <w:sz w:val="17"/>
                <w:szCs w:val="17"/>
                <w:color w:val="auto"/>
              </w:rPr>
              <w:t>32.2*</w:t>
            </w:r>
          </w:p>
        </w:tc>
        <w:tc>
          <w:tcPr>
            <w:tcW w:w="5680" w:type="dxa"/>
            <w:vAlign w:val="bottom"/>
            <w:tcBorders>
              <w:bottom w:val="single" w:sz="8" w:color="0000EE"/>
            </w:tcBorders>
            <w:gridSpan w:val="3"/>
          </w:tcPr>
          <w:p>
            <w:pPr>
              <w:spacing w:after="0"/>
              <w:rPr>
                <w:rFonts w:ascii="Arial" w:cs="Arial" w:eastAsia="Arial" w:hAnsi="Arial"/>
                <w:sz w:val="17"/>
                <w:szCs w:val="17"/>
                <w:color w:val="0000EE"/>
                <w:w w:val="90"/>
              </w:rPr>
            </w:pPr>
            <w:hyperlink w:anchor="page93">
              <w:r>
                <w:rPr>
                  <w:rFonts w:ascii="Arial" w:cs="Arial" w:eastAsia="Arial" w:hAnsi="Arial"/>
                  <w:sz w:val="17"/>
                  <w:szCs w:val="17"/>
                  <w:color w:val="0000EE"/>
                  <w:w w:val="90"/>
                </w:rPr>
                <w:t>Certification of Chief Financial Officer required by Rule 13a-14(b) or Rule 15d-14(b)</w:t>
              </w:r>
            </w:hyperlink>
          </w:p>
        </w:tc>
        <w:tc>
          <w:tcPr>
            <w:tcW w:w="3920" w:type="dxa"/>
            <w:vAlign w:val="bottom"/>
          </w:tcPr>
          <w:p>
            <w:pPr>
              <w:spacing w:after="0"/>
              <w:rPr>
                <w:sz w:val="16"/>
                <w:szCs w:val="16"/>
                <w:color w:val="auto"/>
              </w:rPr>
            </w:pPr>
          </w:p>
        </w:tc>
      </w:tr>
      <w:tr>
        <w:trPr>
          <w:trHeight w:val="179"/>
        </w:trPr>
        <w:tc>
          <w:tcPr>
            <w:tcW w:w="1200" w:type="dxa"/>
            <w:vAlign w:val="bottom"/>
          </w:tcPr>
          <w:p>
            <w:pPr>
              <w:spacing w:after="0"/>
              <w:rPr>
                <w:sz w:val="15"/>
                <w:szCs w:val="15"/>
                <w:color w:val="auto"/>
              </w:rPr>
            </w:pPr>
          </w:p>
        </w:tc>
        <w:tc>
          <w:tcPr>
            <w:tcW w:w="5680" w:type="dxa"/>
            <w:vAlign w:val="bottom"/>
            <w:gridSpan w:val="3"/>
          </w:tcPr>
          <w:p>
            <w:pPr>
              <w:spacing w:after="0" w:line="179" w:lineRule="exact"/>
              <w:rPr>
                <w:rFonts w:ascii="Arial" w:cs="Arial" w:eastAsia="Arial" w:hAnsi="Arial"/>
                <w:sz w:val="17"/>
                <w:szCs w:val="17"/>
                <w:color w:val="0000EE"/>
                <w:w w:val="93"/>
              </w:rPr>
            </w:pPr>
            <w:hyperlink w:anchor="page93">
              <w:r>
                <w:rPr>
                  <w:rFonts w:ascii="Arial" w:cs="Arial" w:eastAsia="Arial" w:hAnsi="Arial"/>
                  <w:sz w:val="17"/>
                  <w:szCs w:val="17"/>
                  <w:color w:val="0000EE"/>
                  <w:w w:val="93"/>
                </w:rPr>
                <w:t>and Section 1350 of Chapter 63 of Title 18 of the United States Code (18 U.S.C.</w:t>
              </w:r>
            </w:hyperlink>
          </w:p>
        </w:tc>
        <w:tc>
          <w:tcPr>
            <w:tcW w:w="3920" w:type="dxa"/>
            <w:vAlign w:val="bottom"/>
          </w:tcPr>
          <w:p>
            <w:pPr>
              <w:ind w:left="3800"/>
              <w:spacing w:after="0" w:line="179" w:lineRule="exact"/>
              <w:rPr>
                <w:sz w:val="20"/>
                <w:szCs w:val="20"/>
                <w:color w:val="auto"/>
              </w:rPr>
            </w:pPr>
            <w:r>
              <w:rPr>
                <w:rFonts w:ascii="Arial" w:cs="Arial" w:eastAsia="Arial" w:hAnsi="Arial"/>
                <w:sz w:val="17"/>
                <w:szCs w:val="17"/>
                <w:color w:val="auto"/>
                <w:w w:val="87"/>
              </w:rPr>
              <w:t>X</w:t>
            </w:r>
          </w:p>
        </w:tc>
      </w:tr>
      <w:tr>
        <w:trPr>
          <w:trHeight w:val="179"/>
        </w:trPr>
        <w:tc>
          <w:tcPr>
            <w:tcW w:w="1200" w:type="dxa"/>
            <w:vAlign w:val="bottom"/>
          </w:tcPr>
          <w:p>
            <w:pPr>
              <w:spacing w:after="0"/>
              <w:rPr>
                <w:sz w:val="15"/>
                <w:szCs w:val="15"/>
                <w:color w:val="auto"/>
              </w:rPr>
            </w:pPr>
          </w:p>
        </w:tc>
        <w:tc>
          <w:tcPr>
            <w:tcW w:w="520" w:type="dxa"/>
            <w:vAlign w:val="bottom"/>
            <w:tcBorders>
              <w:top w:val="single" w:sz="8" w:color="0000EE"/>
              <w:bottom w:val="single" w:sz="8" w:color="0000EE"/>
            </w:tcBorders>
          </w:tcPr>
          <w:p>
            <w:pPr>
              <w:spacing w:after="0" w:line="179" w:lineRule="exact"/>
              <w:rPr>
                <w:rFonts w:ascii="Arial" w:cs="Arial" w:eastAsia="Arial" w:hAnsi="Arial"/>
                <w:sz w:val="17"/>
                <w:szCs w:val="17"/>
                <w:color w:val="0000EE"/>
                <w:w w:val="86"/>
              </w:rPr>
            </w:pPr>
            <w:hyperlink w:anchor="page93">
              <w:r>
                <w:rPr>
                  <w:rFonts w:ascii="Arial" w:cs="Arial" w:eastAsia="Arial" w:hAnsi="Arial"/>
                  <w:sz w:val="17"/>
                  <w:szCs w:val="17"/>
                  <w:color w:val="0000EE"/>
                  <w:w w:val="86"/>
                </w:rPr>
                <w:t>§1350).</w:t>
              </w:r>
            </w:hyperlink>
          </w:p>
        </w:tc>
        <w:tc>
          <w:tcPr>
            <w:tcW w:w="4820" w:type="dxa"/>
            <w:vAlign w:val="bottom"/>
            <w:tcBorders>
              <w:top w:val="single" w:sz="8" w:color="0000EE"/>
            </w:tcBorders>
          </w:tcPr>
          <w:p>
            <w:pPr>
              <w:spacing w:after="0"/>
              <w:rPr>
                <w:sz w:val="15"/>
                <w:szCs w:val="15"/>
                <w:color w:val="auto"/>
              </w:rPr>
            </w:pPr>
          </w:p>
        </w:tc>
        <w:tc>
          <w:tcPr>
            <w:tcW w:w="34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303"/>
        </w:trPr>
        <w:tc>
          <w:tcPr>
            <w:tcW w:w="1200" w:type="dxa"/>
            <w:vAlign w:val="bottom"/>
          </w:tcPr>
          <w:p>
            <w:pPr>
              <w:spacing w:after="0"/>
              <w:rPr>
                <w:sz w:val="20"/>
                <w:szCs w:val="20"/>
                <w:color w:val="auto"/>
              </w:rPr>
            </w:pPr>
            <w:r>
              <w:rPr>
                <w:rFonts w:ascii="Arial" w:cs="Arial" w:eastAsia="Arial" w:hAnsi="Arial"/>
                <w:sz w:val="17"/>
                <w:szCs w:val="17"/>
                <w:color w:val="auto"/>
              </w:rPr>
              <w:t>101.INS</w:t>
            </w:r>
          </w:p>
        </w:tc>
        <w:tc>
          <w:tcPr>
            <w:tcW w:w="5680" w:type="dxa"/>
            <w:vAlign w:val="bottom"/>
            <w:gridSpan w:val="3"/>
          </w:tcPr>
          <w:p>
            <w:pPr>
              <w:spacing w:after="0"/>
              <w:rPr>
                <w:sz w:val="20"/>
                <w:szCs w:val="20"/>
                <w:color w:val="auto"/>
              </w:rPr>
            </w:pPr>
            <w:r>
              <w:rPr>
                <w:rFonts w:ascii="Arial" w:cs="Arial" w:eastAsia="Arial" w:hAnsi="Arial"/>
                <w:sz w:val="17"/>
                <w:szCs w:val="17"/>
                <w:color w:val="auto"/>
                <w:w w:val="94"/>
              </w:rPr>
              <w:t>Inline XBRL Instance Document - the instance document does not appear in the</w:t>
            </w:r>
          </w:p>
        </w:tc>
        <w:tc>
          <w:tcPr>
            <w:tcW w:w="3920" w:type="dxa"/>
            <w:vAlign w:val="bottom"/>
          </w:tcPr>
          <w:p>
            <w:pPr>
              <w:spacing w:after="0"/>
              <w:rPr>
                <w:sz w:val="24"/>
                <w:szCs w:val="24"/>
                <w:color w:val="auto"/>
              </w:rPr>
            </w:pPr>
          </w:p>
        </w:tc>
      </w:tr>
      <w:tr>
        <w:trPr>
          <w:trHeight w:val="199"/>
        </w:trPr>
        <w:tc>
          <w:tcPr>
            <w:tcW w:w="1200" w:type="dxa"/>
            <w:vAlign w:val="bottom"/>
          </w:tcPr>
          <w:p>
            <w:pPr>
              <w:spacing w:after="0"/>
              <w:rPr>
                <w:sz w:val="17"/>
                <w:szCs w:val="17"/>
                <w:color w:val="auto"/>
              </w:rPr>
            </w:pPr>
          </w:p>
        </w:tc>
        <w:tc>
          <w:tcPr>
            <w:tcW w:w="5680" w:type="dxa"/>
            <w:vAlign w:val="bottom"/>
            <w:gridSpan w:val="3"/>
          </w:tcPr>
          <w:p>
            <w:pPr>
              <w:spacing w:after="0"/>
              <w:rPr>
                <w:sz w:val="20"/>
                <w:szCs w:val="20"/>
                <w:color w:val="auto"/>
              </w:rPr>
            </w:pPr>
            <w:r>
              <w:rPr>
                <w:rFonts w:ascii="Arial" w:cs="Arial" w:eastAsia="Arial" w:hAnsi="Arial"/>
                <w:sz w:val="17"/>
                <w:szCs w:val="17"/>
                <w:color w:val="auto"/>
                <w:w w:val="92"/>
              </w:rPr>
              <w:t>Interactive Data File because its XBRL tags are embedded within the Inline XBRL</w:t>
            </w:r>
          </w:p>
        </w:tc>
        <w:tc>
          <w:tcPr>
            <w:tcW w:w="3920" w:type="dxa"/>
            <w:vAlign w:val="bottom"/>
          </w:tcPr>
          <w:p>
            <w:pPr>
              <w:ind w:left="3800"/>
              <w:spacing w:after="0"/>
              <w:rPr>
                <w:sz w:val="20"/>
                <w:szCs w:val="20"/>
                <w:color w:val="auto"/>
              </w:rPr>
            </w:pPr>
            <w:r>
              <w:rPr>
                <w:rFonts w:ascii="Arial" w:cs="Arial" w:eastAsia="Arial" w:hAnsi="Arial"/>
                <w:sz w:val="17"/>
                <w:szCs w:val="17"/>
                <w:color w:val="auto"/>
                <w:w w:val="87"/>
              </w:rPr>
              <w:t>X</w:t>
            </w:r>
          </w:p>
        </w:tc>
      </w:tr>
      <w:tr>
        <w:trPr>
          <w:trHeight w:val="209"/>
        </w:trPr>
        <w:tc>
          <w:tcPr>
            <w:tcW w:w="120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7"/>
                <w:szCs w:val="17"/>
                <w:color w:val="auto"/>
              </w:rPr>
              <w:t>document</w:t>
            </w:r>
          </w:p>
        </w:tc>
        <w:tc>
          <w:tcPr>
            <w:tcW w:w="3920" w:type="dxa"/>
            <w:vAlign w:val="bottom"/>
          </w:tcPr>
          <w:p>
            <w:pPr>
              <w:spacing w:after="0"/>
              <w:rPr>
                <w:sz w:val="18"/>
                <w:szCs w:val="18"/>
                <w:color w:val="auto"/>
              </w:rPr>
            </w:pPr>
          </w:p>
        </w:tc>
      </w:tr>
      <w:tr>
        <w:trPr>
          <w:trHeight w:val="298"/>
        </w:trPr>
        <w:tc>
          <w:tcPr>
            <w:tcW w:w="1200" w:type="dxa"/>
            <w:vAlign w:val="bottom"/>
          </w:tcPr>
          <w:p>
            <w:pPr>
              <w:spacing w:after="0"/>
              <w:rPr>
                <w:sz w:val="20"/>
                <w:szCs w:val="20"/>
                <w:color w:val="auto"/>
              </w:rPr>
            </w:pPr>
            <w:r>
              <w:rPr>
                <w:rFonts w:ascii="Arial" w:cs="Arial" w:eastAsia="Arial" w:hAnsi="Arial"/>
                <w:sz w:val="17"/>
                <w:szCs w:val="17"/>
                <w:color w:val="auto"/>
              </w:rPr>
              <w:t>101.SCH</w:t>
            </w:r>
          </w:p>
        </w:tc>
        <w:tc>
          <w:tcPr>
            <w:tcW w:w="5680" w:type="dxa"/>
            <w:vAlign w:val="bottom"/>
            <w:gridSpan w:val="3"/>
          </w:tcPr>
          <w:p>
            <w:pPr>
              <w:spacing w:after="0"/>
              <w:rPr>
                <w:sz w:val="20"/>
                <w:szCs w:val="20"/>
                <w:color w:val="auto"/>
              </w:rPr>
            </w:pPr>
            <w:r>
              <w:rPr>
                <w:rFonts w:ascii="Arial" w:cs="Arial" w:eastAsia="Arial" w:hAnsi="Arial"/>
                <w:sz w:val="17"/>
                <w:szCs w:val="17"/>
                <w:color w:val="auto"/>
              </w:rPr>
              <w:t>Inline XBRL Taxonomy Extension Schema Document.</w:t>
            </w:r>
          </w:p>
        </w:tc>
        <w:tc>
          <w:tcPr>
            <w:tcW w:w="3920" w:type="dxa"/>
            <w:vAlign w:val="bottom"/>
          </w:tcPr>
          <w:p>
            <w:pPr>
              <w:ind w:left="3800"/>
              <w:spacing w:after="0"/>
              <w:rPr>
                <w:sz w:val="20"/>
                <w:szCs w:val="20"/>
                <w:color w:val="auto"/>
              </w:rPr>
            </w:pPr>
            <w:r>
              <w:rPr>
                <w:rFonts w:ascii="Arial" w:cs="Arial" w:eastAsia="Arial" w:hAnsi="Arial"/>
                <w:sz w:val="17"/>
                <w:szCs w:val="17"/>
                <w:color w:val="auto"/>
                <w:w w:val="87"/>
              </w:rPr>
              <w:t>X</w:t>
            </w:r>
          </w:p>
        </w:tc>
      </w:tr>
      <w:tr>
        <w:trPr>
          <w:trHeight w:val="298"/>
        </w:trPr>
        <w:tc>
          <w:tcPr>
            <w:tcW w:w="1200" w:type="dxa"/>
            <w:vAlign w:val="bottom"/>
          </w:tcPr>
          <w:p>
            <w:pPr>
              <w:spacing w:after="0"/>
              <w:rPr>
                <w:sz w:val="20"/>
                <w:szCs w:val="20"/>
                <w:color w:val="auto"/>
              </w:rPr>
            </w:pPr>
            <w:r>
              <w:rPr>
                <w:rFonts w:ascii="Arial" w:cs="Arial" w:eastAsia="Arial" w:hAnsi="Arial"/>
                <w:sz w:val="17"/>
                <w:szCs w:val="17"/>
                <w:color w:val="auto"/>
              </w:rPr>
              <w:t>101.CAL</w:t>
            </w:r>
          </w:p>
        </w:tc>
        <w:tc>
          <w:tcPr>
            <w:tcW w:w="5680" w:type="dxa"/>
            <w:vAlign w:val="bottom"/>
            <w:gridSpan w:val="3"/>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3920" w:type="dxa"/>
            <w:vAlign w:val="bottom"/>
          </w:tcPr>
          <w:p>
            <w:pPr>
              <w:ind w:left="3800"/>
              <w:spacing w:after="0"/>
              <w:rPr>
                <w:sz w:val="20"/>
                <w:szCs w:val="20"/>
                <w:color w:val="auto"/>
              </w:rPr>
            </w:pPr>
            <w:r>
              <w:rPr>
                <w:rFonts w:ascii="Arial" w:cs="Arial" w:eastAsia="Arial" w:hAnsi="Arial"/>
                <w:sz w:val="17"/>
                <w:szCs w:val="17"/>
                <w:color w:val="auto"/>
                <w:w w:val="87"/>
              </w:rPr>
              <w:t>X</w:t>
            </w:r>
          </w:p>
        </w:tc>
      </w:tr>
      <w:tr>
        <w:trPr>
          <w:trHeight w:val="298"/>
        </w:trPr>
        <w:tc>
          <w:tcPr>
            <w:tcW w:w="1200" w:type="dxa"/>
            <w:vAlign w:val="bottom"/>
          </w:tcPr>
          <w:p>
            <w:pPr>
              <w:spacing w:after="0"/>
              <w:rPr>
                <w:sz w:val="20"/>
                <w:szCs w:val="20"/>
                <w:color w:val="auto"/>
              </w:rPr>
            </w:pPr>
            <w:r>
              <w:rPr>
                <w:rFonts w:ascii="Arial" w:cs="Arial" w:eastAsia="Arial" w:hAnsi="Arial"/>
                <w:sz w:val="17"/>
                <w:szCs w:val="17"/>
                <w:color w:val="auto"/>
              </w:rPr>
              <w:t>101.DEF</w:t>
            </w:r>
          </w:p>
        </w:tc>
        <w:tc>
          <w:tcPr>
            <w:tcW w:w="5680" w:type="dxa"/>
            <w:vAlign w:val="bottom"/>
            <w:gridSpan w:val="3"/>
          </w:tcPr>
          <w:p>
            <w:pPr>
              <w:spacing w:after="0"/>
              <w:rPr>
                <w:sz w:val="20"/>
                <w:szCs w:val="20"/>
                <w:color w:val="auto"/>
              </w:rPr>
            </w:pPr>
            <w:r>
              <w:rPr>
                <w:rFonts w:ascii="Arial" w:cs="Arial" w:eastAsia="Arial" w:hAnsi="Arial"/>
                <w:sz w:val="17"/>
                <w:szCs w:val="17"/>
                <w:color w:val="auto"/>
              </w:rPr>
              <w:t>Inline XBRL Taxonomy Extension Definition Linkbase Document.</w:t>
            </w:r>
          </w:p>
        </w:tc>
        <w:tc>
          <w:tcPr>
            <w:tcW w:w="3920" w:type="dxa"/>
            <w:vAlign w:val="bottom"/>
          </w:tcPr>
          <w:p>
            <w:pPr>
              <w:ind w:left="3800"/>
              <w:spacing w:after="0"/>
              <w:rPr>
                <w:sz w:val="20"/>
                <w:szCs w:val="20"/>
                <w:color w:val="auto"/>
              </w:rPr>
            </w:pPr>
            <w:r>
              <w:rPr>
                <w:rFonts w:ascii="Arial" w:cs="Arial" w:eastAsia="Arial" w:hAnsi="Arial"/>
                <w:sz w:val="17"/>
                <w:szCs w:val="17"/>
                <w:color w:val="auto"/>
                <w:w w:val="87"/>
              </w:rPr>
              <w:t>X</w:t>
            </w:r>
          </w:p>
        </w:tc>
      </w:tr>
      <w:tr>
        <w:trPr>
          <w:trHeight w:val="298"/>
        </w:trPr>
        <w:tc>
          <w:tcPr>
            <w:tcW w:w="1200" w:type="dxa"/>
            <w:vAlign w:val="bottom"/>
          </w:tcPr>
          <w:p>
            <w:pPr>
              <w:spacing w:after="0"/>
              <w:rPr>
                <w:sz w:val="20"/>
                <w:szCs w:val="20"/>
                <w:color w:val="auto"/>
              </w:rPr>
            </w:pPr>
            <w:r>
              <w:rPr>
                <w:rFonts w:ascii="Arial" w:cs="Arial" w:eastAsia="Arial" w:hAnsi="Arial"/>
                <w:sz w:val="17"/>
                <w:szCs w:val="17"/>
                <w:color w:val="auto"/>
              </w:rPr>
              <w:t>101.LAB</w:t>
            </w:r>
          </w:p>
        </w:tc>
        <w:tc>
          <w:tcPr>
            <w:tcW w:w="5680" w:type="dxa"/>
            <w:vAlign w:val="bottom"/>
            <w:gridSpan w:val="3"/>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3920" w:type="dxa"/>
            <w:vAlign w:val="bottom"/>
          </w:tcPr>
          <w:p>
            <w:pPr>
              <w:ind w:left="3800"/>
              <w:spacing w:after="0"/>
              <w:rPr>
                <w:sz w:val="20"/>
                <w:szCs w:val="20"/>
                <w:color w:val="auto"/>
              </w:rPr>
            </w:pPr>
            <w:r>
              <w:rPr>
                <w:rFonts w:ascii="Arial" w:cs="Arial" w:eastAsia="Arial" w:hAnsi="Arial"/>
                <w:sz w:val="17"/>
                <w:szCs w:val="17"/>
                <w:color w:val="auto"/>
                <w:w w:val="87"/>
              </w:rPr>
              <w:t>X</w:t>
            </w:r>
          </w:p>
        </w:tc>
      </w:tr>
      <w:tr>
        <w:trPr>
          <w:trHeight w:val="298"/>
        </w:trPr>
        <w:tc>
          <w:tcPr>
            <w:tcW w:w="1200" w:type="dxa"/>
            <w:vAlign w:val="bottom"/>
          </w:tcPr>
          <w:p>
            <w:pPr>
              <w:spacing w:after="0"/>
              <w:rPr>
                <w:sz w:val="20"/>
                <w:szCs w:val="20"/>
                <w:color w:val="auto"/>
              </w:rPr>
            </w:pPr>
            <w:r>
              <w:rPr>
                <w:rFonts w:ascii="Arial" w:cs="Arial" w:eastAsia="Arial" w:hAnsi="Arial"/>
                <w:sz w:val="17"/>
                <w:szCs w:val="17"/>
                <w:color w:val="auto"/>
              </w:rPr>
              <w:t>101.PRE</w:t>
            </w:r>
          </w:p>
        </w:tc>
        <w:tc>
          <w:tcPr>
            <w:tcW w:w="5680" w:type="dxa"/>
            <w:vAlign w:val="bottom"/>
            <w:gridSpan w:val="3"/>
          </w:tcPr>
          <w:p>
            <w:pPr>
              <w:spacing w:after="0"/>
              <w:rPr>
                <w:sz w:val="20"/>
                <w:szCs w:val="20"/>
                <w:color w:val="auto"/>
              </w:rPr>
            </w:pPr>
            <w:r>
              <w:rPr>
                <w:rFonts w:ascii="Arial" w:cs="Arial" w:eastAsia="Arial" w:hAnsi="Arial"/>
                <w:sz w:val="17"/>
                <w:szCs w:val="17"/>
                <w:color w:val="auto"/>
              </w:rPr>
              <w:t>Inline XBRL Taxonomy Extension Presentation Linkbase Document.</w:t>
            </w:r>
          </w:p>
        </w:tc>
        <w:tc>
          <w:tcPr>
            <w:tcW w:w="3920" w:type="dxa"/>
            <w:vAlign w:val="bottom"/>
          </w:tcPr>
          <w:p>
            <w:pPr>
              <w:ind w:left="3800"/>
              <w:spacing w:after="0"/>
              <w:rPr>
                <w:sz w:val="20"/>
                <w:szCs w:val="20"/>
                <w:color w:val="auto"/>
              </w:rPr>
            </w:pPr>
            <w:r>
              <w:rPr>
                <w:rFonts w:ascii="Arial" w:cs="Arial" w:eastAsia="Arial" w:hAnsi="Arial"/>
                <w:sz w:val="17"/>
                <w:szCs w:val="17"/>
                <w:color w:val="auto"/>
                <w:w w:val="87"/>
              </w:rPr>
              <w:t>X</w:t>
            </w:r>
          </w:p>
        </w:tc>
      </w:tr>
      <w:tr>
        <w:trPr>
          <w:trHeight w:val="287"/>
        </w:trPr>
        <w:tc>
          <w:tcPr>
            <w:tcW w:w="1200" w:type="dxa"/>
            <w:vAlign w:val="bottom"/>
          </w:tcPr>
          <w:p>
            <w:pPr>
              <w:spacing w:after="0"/>
              <w:rPr>
                <w:sz w:val="20"/>
                <w:szCs w:val="20"/>
                <w:color w:val="auto"/>
              </w:rPr>
            </w:pPr>
            <w:r>
              <w:rPr>
                <w:rFonts w:ascii="Arial" w:cs="Arial" w:eastAsia="Arial" w:hAnsi="Arial"/>
                <w:sz w:val="17"/>
                <w:szCs w:val="17"/>
                <w:color w:val="auto"/>
              </w:rPr>
              <w:t>104</w:t>
            </w:r>
          </w:p>
        </w:tc>
        <w:tc>
          <w:tcPr>
            <w:tcW w:w="5680" w:type="dxa"/>
            <w:vAlign w:val="bottom"/>
            <w:gridSpan w:val="3"/>
          </w:tcPr>
          <w:p>
            <w:pPr>
              <w:spacing w:after="0"/>
              <w:rPr>
                <w:sz w:val="20"/>
                <w:szCs w:val="20"/>
                <w:color w:val="auto"/>
              </w:rPr>
            </w:pPr>
            <w:r>
              <w:rPr>
                <w:rFonts w:ascii="Arial" w:cs="Arial" w:eastAsia="Arial" w:hAnsi="Arial"/>
                <w:sz w:val="17"/>
                <w:szCs w:val="17"/>
                <w:color w:val="auto"/>
                <w:w w:val="89"/>
              </w:rPr>
              <w:t>Cover Page Interactive Data File (formatted as inline XBRL and contained in Exhibit</w:t>
            </w:r>
          </w:p>
        </w:tc>
        <w:tc>
          <w:tcPr>
            <w:tcW w:w="3920" w:type="dxa"/>
            <w:vAlign w:val="bottom"/>
          </w:tcPr>
          <w:p>
            <w:pPr>
              <w:spacing w:after="0"/>
              <w:rPr>
                <w:sz w:val="24"/>
                <w:szCs w:val="24"/>
                <w:color w:val="auto"/>
              </w:rPr>
            </w:pPr>
          </w:p>
        </w:tc>
      </w:tr>
      <w:tr>
        <w:trPr>
          <w:trHeight w:val="209"/>
        </w:trPr>
        <w:tc>
          <w:tcPr>
            <w:tcW w:w="120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7"/>
                <w:szCs w:val="17"/>
                <w:color w:val="auto"/>
              </w:rPr>
              <w:t>101)</w:t>
            </w:r>
          </w:p>
        </w:tc>
        <w:tc>
          <w:tcPr>
            <w:tcW w:w="4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20" w:type="dxa"/>
            <w:vAlign w:val="bottom"/>
          </w:tcPr>
          <w:p>
            <w:pPr>
              <w:ind w:left="3800"/>
              <w:spacing w:after="0"/>
              <w:rPr>
                <w:sz w:val="20"/>
                <w:szCs w:val="20"/>
                <w:color w:val="auto"/>
              </w:rPr>
            </w:pPr>
            <w:r>
              <w:rPr>
                <w:rFonts w:ascii="Arial" w:cs="Arial" w:eastAsia="Arial" w:hAnsi="Arial"/>
                <w:sz w:val="17"/>
                <w:szCs w:val="17"/>
                <w:color w:val="auto"/>
                <w:w w:val="87"/>
              </w:rPr>
              <w:t>X</w:t>
            </w:r>
          </w:p>
        </w:tc>
      </w:tr>
    </w:tbl>
    <w:p>
      <w:pPr>
        <w:spacing w:after="0" w:line="99" w:lineRule="exact"/>
        <w:rPr>
          <w:sz w:val="20"/>
          <w:szCs w:val="20"/>
          <w:color w:val="auto"/>
        </w:rPr>
      </w:pPr>
    </w:p>
    <w:p>
      <w:pPr>
        <w:ind w:left="501" w:hanging="501"/>
        <w:spacing w:after="0"/>
        <w:tabs>
          <w:tab w:leader="none" w:pos="501" w:val="left"/>
        </w:tabs>
        <w:numPr>
          <w:ilvl w:val="0"/>
          <w:numId w:val="39"/>
        </w:numPr>
        <w:rPr>
          <w:rFonts w:ascii="Arial" w:cs="Arial" w:eastAsia="Arial" w:hAnsi="Arial"/>
          <w:sz w:val="17"/>
          <w:szCs w:val="17"/>
          <w:color w:val="auto"/>
        </w:rPr>
      </w:pPr>
      <w:r>
        <w:rPr>
          <w:rFonts w:ascii="Arial" w:cs="Arial" w:eastAsia="Arial" w:hAnsi="Arial"/>
          <w:sz w:val="15"/>
          <w:szCs w:val="15"/>
          <w:color w:val="auto"/>
        </w:rPr>
        <w:t>Certain confidential portions of this exhibit have been omitted from this exhibit.</w:t>
      </w:r>
    </w:p>
    <w:p>
      <w:pPr>
        <w:spacing w:after="0" w:line="204" w:lineRule="exact"/>
        <w:rPr>
          <w:sz w:val="20"/>
          <w:szCs w:val="20"/>
          <w:color w:val="auto"/>
        </w:rPr>
      </w:pPr>
    </w:p>
    <w:p>
      <w:pPr>
        <w:ind w:left="501" w:right="80" w:hanging="501"/>
        <w:spacing w:after="0" w:line="332" w:lineRule="auto"/>
        <w:tabs>
          <w:tab w:leader="none" w:pos="501"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certifications attached as Exhibit 32.1 and 32.2 that accompany this Quarterly Report on Form 10-Q are not deemed filed with the SEC and are not to be incorporated by reference into any filing of CytomX Therapeutics, Inc. under the Securities Act of 1933, as amended, or the Securities Exchange Act of 1934, as amended, whether made before or after the date of this Form 10-Q, irrespective of any general incorporation language contained in such filing.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168515"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1"/>
          </w:cols>
          <w:pgMar w:left="319" w:top="657" w:right="339" w:bottom="144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17"/>
          <w:szCs w:val="17"/>
          <w:b w:val="1"/>
          <w:bCs w:val="1"/>
          <w:color w:val="auto"/>
        </w:rPr>
        <w:t>SIGNATURES</w:t>
      </w:r>
    </w:p>
    <w:p>
      <w:pPr>
        <w:spacing w:after="0" w:line="206" w:lineRule="exact"/>
        <w:rPr>
          <w:sz w:val="20"/>
          <w:szCs w:val="20"/>
          <w:color w:val="auto"/>
        </w:rPr>
      </w:pPr>
    </w:p>
    <w:p>
      <w:pPr>
        <w:ind w:right="320"/>
        <w:spacing w:after="0" w:line="261"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20" w:type="dxa"/>
            <w:vAlign w:val="bottom"/>
          </w:tcPr>
          <w:p>
            <w:pPr>
              <w:spacing w:after="0"/>
              <w:rPr>
                <w:sz w:val="18"/>
                <w:szCs w:val="18"/>
                <w:color w:val="auto"/>
              </w:rPr>
            </w:pPr>
          </w:p>
        </w:tc>
        <w:tc>
          <w:tcPr>
            <w:tcW w:w="7420" w:type="dxa"/>
            <w:vAlign w:val="bottom"/>
            <w:gridSpan w:val="2"/>
          </w:tcPr>
          <w:p>
            <w:pPr>
              <w:ind w:left="2580"/>
              <w:spacing w:after="0"/>
              <w:rPr>
                <w:sz w:val="20"/>
                <w:szCs w:val="20"/>
                <w:color w:val="auto"/>
              </w:rPr>
            </w:pPr>
            <w:r>
              <w:rPr>
                <w:rFonts w:ascii="Arial" w:cs="Arial" w:eastAsia="Arial" w:hAnsi="Arial"/>
                <w:sz w:val="17"/>
                <w:szCs w:val="17"/>
                <w:b w:val="1"/>
                <w:bCs w:val="1"/>
                <w:color w:val="auto"/>
              </w:rPr>
              <w:t>CytomX Therapeutics, Inc.</w:t>
            </w:r>
          </w:p>
        </w:tc>
      </w:tr>
      <w:tr>
        <w:trPr>
          <w:trHeight w:val="423"/>
        </w:trPr>
        <w:tc>
          <w:tcPr>
            <w:tcW w:w="3820" w:type="dxa"/>
            <w:vAlign w:val="bottom"/>
          </w:tcPr>
          <w:p>
            <w:pPr>
              <w:spacing w:after="0"/>
              <w:rPr>
                <w:sz w:val="20"/>
                <w:szCs w:val="20"/>
                <w:color w:val="auto"/>
              </w:rPr>
            </w:pPr>
            <w:r>
              <w:rPr>
                <w:rFonts w:ascii="Arial" w:cs="Arial" w:eastAsia="Arial" w:hAnsi="Arial"/>
                <w:sz w:val="17"/>
                <w:szCs w:val="17"/>
                <w:color w:val="auto"/>
              </w:rPr>
              <w:t>Date: May 6, 2021</w:t>
            </w:r>
          </w:p>
        </w:tc>
        <w:tc>
          <w:tcPr>
            <w:tcW w:w="2940" w:type="dxa"/>
            <w:vAlign w:val="bottom"/>
          </w:tcPr>
          <w:p>
            <w:pPr>
              <w:ind w:left="2580"/>
              <w:spacing w:after="0"/>
              <w:rPr>
                <w:sz w:val="20"/>
                <w:szCs w:val="20"/>
                <w:color w:val="auto"/>
              </w:rPr>
            </w:pPr>
            <w:r>
              <w:rPr>
                <w:rFonts w:ascii="Arial" w:cs="Arial" w:eastAsia="Arial" w:hAnsi="Arial"/>
                <w:sz w:val="17"/>
                <w:szCs w:val="17"/>
                <w:color w:val="auto"/>
              </w:rPr>
              <w:t>By:</w:t>
            </w: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/s/ Sean A. McCarthy</w:t>
            </w:r>
          </w:p>
        </w:tc>
      </w:tr>
      <w:tr>
        <w:trPr>
          <w:trHeight w:val="175"/>
        </w:trPr>
        <w:tc>
          <w:tcPr>
            <w:tcW w:w="38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4480" w:type="dxa"/>
            <w:vAlign w:val="bottom"/>
          </w:tcPr>
          <w:p>
            <w:pPr>
              <w:jc w:val="center"/>
              <w:spacing w:after="0" w:line="176" w:lineRule="exact"/>
              <w:rPr>
                <w:sz w:val="20"/>
                <w:szCs w:val="20"/>
                <w:color w:val="auto"/>
              </w:rPr>
            </w:pPr>
            <w:r>
              <w:rPr>
                <w:rFonts w:ascii="Arial" w:cs="Arial" w:eastAsia="Arial" w:hAnsi="Arial"/>
                <w:sz w:val="17"/>
                <w:szCs w:val="17"/>
                <w:b w:val="1"/>
                <w:bCs w:val="1"/>
                <w:color w:val="auto"/>
                <w:w w:val="90"/>
              </w:rPr>
              <w:t>Sean A. McCarthy, D. Phil.</w:t>
            </w:r>
          </w:p>
        </w:tc>
      </w:tr>
      <w:tr>
        <w:trPr>
          <w:trHeight w:val="203"/>
        </w:trPr>
        <w:tc>
          <w:tcPr>
            <w:tcW w:w="38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Arial" w:cs="Arial" w:eastAsia="Arial" w:hAnsi="Arial"/>
                <w:sz w:val="17"/>
                <w:szCs w:val="17"/>
                <w:b w:val="1"/>
                <w:bCs w:val="1"/>
                <w:color w:val="auto"/>
                <w:w w:val="88"/>
              </w:rPr>
              <w:t>President, Chief Executive Officer and Director</w:t>
            </w:r>
          </w:p>
        </w:tc>
      </w:tr>
      <w:tr>
        <w:trPr>
          <w:trHeight w:val="209"/>
        </w:trPr>
        <w:tc>
          <w:tcPr>
            <w:tcW w:w="38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7"/>
                <w:szCs w:val="17"/>
                <w:i w:val="1"/>
                <w:iCs w:val="1"/>
                <w:color w:val="auto"/>
                <w:w w:val="90"/>
              </w:rPr>
              <w:t>(principal executive officer)</w:t>
            </w:r>
          </w:p>
        </w:tc>
      </w:tr>
      <w:tr>
        <w:trPr>
          <w:trHeight w:val="423"/>
        </w:trPr>
        <w:tc>
          <w:tcPr>
            <w:tcW w:w="3820" w:type="dxa"/>
            <w:vAlign w:val="bottom"/>
          </w:tcPr>
          <w:p>
            <w:pPr>
              <w:spacing w:after="0"/>
              <w:rPr>
                <w:sz w:val="20"/>
                <w:szCs w:val="20"/>
                <w:color w:val="auto"/>
              </w:rPr>
            </w:pPr>
            <w:r>
              <w:rPr>
                <w:rFonts w:ascii="Arial" w:cs="Arial" w:eastAsia="Arial" w:hAnsi="Arial"/>
                <w:sz w:val="17"/>
                <w:szCs w:val="17"/>
                <w:color w:val="auto"/>
              </w:rPr>
              <w:t>Date: May 6, 2021</w:t>
            </w:r>
          </w:p>
        </w:tc>
        <w:tc>
          <w:tcPr>
            <w:tcW w:w="2940" w:type="dxa"/>
            <w:vAlign w:val="bottom"/>
          </w:tcPr>
          <w:p>
            <w:pPr>
              <w:ind w:left="2580"/>
              <w:spacing w:after="0"/>
              <w:rPr>
                <w:sz w:val="20"/>
                <w:szCs w:val="20"/>
                <w:color w:val="auto"/>
              </w:rPr>
            </w:pPr>
            <w:r>
              <w:rPr>
                <w:rFonts w:ascii="Arial" w:cs="Arial" w:eastAsia="Arial" w:hAnsi="Arial"/>
                <w:sz w:val="17"/>
                <w:szCs w:val="17"/>
                <w:color w:val="auto"/>
              </w:rPr>
              <w:t>By:</w:t>
            </w: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/s/ Carlos Campoy</w:t>
            </w:r>
          </w:p>
        </w:tc>
      </w:tr>
      <w:tr>
        <w:trPr>
          <w:trHeight w:val="175"/>
        </w:trPr>
        <w:tc>
          <w:tcPr>
            <w:tcW w:w="38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4480" w:type="dxa"/>
            <w:vAlign w:val="bottom"/>
          </w:tcPr>
          <w:p>
            <w:pPr>
              <w:jc w:val="center"/>
              <w:spacing w:after="0" w:line="176" w:lineRule="exact"/>
              <w:rPr>
                <w:sz w:val="20"/>
                <w:szCs w:val="20"/>
                <w:color w:val="auto"/>
              </w:rPr>
            </w:pPr>
            <w:r>
              <w:rPr>
                <w:rFonts w:ascii="Arial" w:cs="Arial" w:eastAsia="Arial" w:hAnsi="Arial"/>
                <w:sz w:val="17"/>
                <w:szCs w:val="17"/>
                <w:b w:val="1"/>
                <w:bCs w:val="1"/>
                <w:color w:val="auto"/>
                <w:w w:val="89"/>
              </w:rPr>
              <w:t>Carlos Campoy</w:t>
            </w:r>
          </w:p>
        </w:tc>
      </w:tr>
      <w:tr>
        <w:trPr>
          <w:trHeight w:val="213"/>
        </w:trPr>
        <w:tc>
          <w:tcPr>
            <w:tcW w:w="38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7"/>
                <w:szCs w:val="17"/>
                <w:b w:val="1"/>
                <w:bCs w:val="1"/>
                <w:color w:val="auto"/>
                <w:w w:val="90"/>
              </w:rPr>
              <w:t>Chief Financial Officer</w:t>
            </w:r>
          </w:p>
        </w:tc>
      </w:tr>
    </w:tbl>
    <w:p>
      <w:pPr>
        <w:ind w:left="7000"/>
        <w:spacing w:after="0"/>
        <w:rPr>
          <w:sz w:val="20"/>
          <w:szCs w:val="20"/>
          <w:color w:val="auto"/>
        </w:rPr>
      </w:pPr>
      <w:r>
        <w:rPr>
          <w:rFonts w:ascii="Arial" w:cs="Arial" w:eastAsia="Arial" w:hAnsi="Arial"/>
          <w:sz w:val="16"/>
          <w:szCs w:val="16"/>
          <w:i w:val="1"/>
          <w:iCs w:val="1"/>
          <w:color w:val="auto"/>
        </w:rPr>
        <w:t>(principal financial officer and principal accounting officer)</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240"/>
          </w:cols>
          <w:pgMar w:left="320" w:top="520" w:right="339" w:bottom="1440" w:gutter="0" w:footer="0" w:header="0"/>
        </w:sectPr>
      </w:pPr>
    </w:p>
    <w:bookmarkStart w:id="78" w:name="page79"/>
    <w:bookmarkEnd w:id="78"/>
    <w:p>
      <w:pPr>
        <w:ind w:left="1" w:hanging="1"/>
        <w:spacing w:after="0" w:line="241" w:lineRule="auto"/>
        <w:tabs>
          <w:tab w:leader="none" w:pos="492" w:val="left"/>
        </w:tabs>
        <w:numPr>
          <w:ilvl w:val="0"/>
          <w:numId w:val="41"/>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not material and would likely cause competitive harm to the registrant if publicly disclosed.</w:t>
      </w:r>
    </w:p>
    <w:p>
      <w:pPr>
        <w:spacing w:after="0" w:line="2" w:lineRule="exact"/>
        <w:rPr>
          <w:sz w:val="20"/>
          <w:szCs w:val="20"/>
          <w:color w:val="auto"/>
        </w:rPr>
      </w:pPr>
    </w:p>
    <w:p>
      <w:pPr>
        <w:ind w:left="10221"/>
        <w:spacing w:after="0"/>
        <w:rPr>
          <w:sz w:val="20"/>
          <w:szCs w:val="20"/>
          <w:color w:val="auto"/>
        </w:rPr>
      </w:pPr>
      <w:r>
        <w:rPr>
          <w:rFonts w:ascii="Arial" w:cs="Arial" w:eastAsia="Arial" w:hAnsi="Arial"/>
          <w:sz w:val="18"/>
          <w:szCs w:val="18"/>
          <w:b w:val="1"/>
          <w:bCs w:val="1"/>
          <w:color w:val="auto"/>
        </w:rPr>
        <w:t>Exhibit 10.2</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2</w:t>
      </w:r>
    </w:p>
    <w:p>
      <w:pPr>
        <w:jc w:val="center"/>
        <w:spacing w:after="0" w:line="233" w:lineRule="auto"/>
        <w:rPr>
          <w:sz w:val="20"/>
          <w:szCs w:val="20"/>
          <w:color w:val="auto"/>
        </w:rPr>
      </w:pPr>
      <w:r>
        <w:rPr>
          <w:rFonts w:ascii="Arial" w:cs="Arial" w:eastAsia="Arial" w:hAnsi="Arial"/>
          <w:sz w:val="20"/>
          <w:szCs w:val="20"/>
          <w:b w:val="1"/>
          <w:bCs w:val="1"/>
          <w:color w:val="auto"/>
        </w:rPr>
        <w:t>TO</w:t>
      </w:r>
    </w:p>
    <w:p>
      <w:pPr>
        <w:jc w:val="center"/>
        <w:spacing w:after="0"/>
        <w:rPr>
          <w:sz w:val="20"/>
          <w:szCs w:val="20"/>
          <w:color w:val="auto"/>
        </w:rPr>
      </w:pPr>
      <w:r>
        <w:rPr>
          <w:rFonts w:ascii="Arial" w:cs="Arial" w:eastAsia="Arial" w:hAnsi="Arial"/>
          <w:sz w:val="20"/>
          <w:szCs w:val="20"/>
          <w:b w:val="1"/>
          <w:bCs w:val="1"/>
          <w:color w:val="auto"/>
        </w:rPr>
        <w:t>COLLABORATION AND LICENSE AGREEMENT</w:t>
      </w:r>
    </w:p>
    <w:p>
      <w:pPr>
        <w:spacing w:after="0" w:line="270" w:lineRule="exact"/>
        <w:rPr>
          <w:sz w:val="20"/>
          <w:szCs w:val="20"/>
          <w:color w:val="auto"/>
        </w:rPr>
      </w:pPr>
    </w:p>
    <w:p>
      <w:pPr>
        <w:jc w:val="both"/>
        <w:ind w:left="1" w:firstLine="833"/>
        <w:spacing w:after="0" w:line="253" w:lineRule="auto"/>
        <w:rPr>
          <w:sz w:val="20"/>
          <w:szCs w:val="20"/>
          <w:color w:val="auto"/>
        </w:rPr>
      </w:pPr>
      <w:r>
        <w:rPr>
          <w:rFonts w:ascii="Arial" w:cs="Arial" w:eastAsia="Arial" w:hAnsi="Arial"/>
          <w:sz w:val="19"/>
          <w:szCs w:val="19"/>
          <w:b w:val="1"/>
          <w:bCs w:val="1"/>
          <w:color w:val="auto"/>
        </w:rPr>
        <w:t>T</w:t>
      </w:r>
      <w:r>
        <w:rPr>
          <w:rFonts w:ascii="Arial" w:cs="Arial" w:eastAsia="Arial" w:hAnsi="Arial"/>
          <w:sz w:val="12"/>
          <w:szCs w:val="12"/>
          <w:b w:val="1"/>
          <w:bCs w:val="1"/>
          <w:color w:val="auto"/>
        </w:rPr>
        <w:t>HIS</w:t>
      </w:r>
      <w:r>
        <w:rPr>
          <w:rFonts w:ascii="Arial" w:cs="Arial" w:eastAsia="Arial" w:hAnsi="Arial"/>
          <w:sz w:val="19"/>
          <w:szCs w:val="19"/>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9"/>
          <w:szCs w:val="19"/>
          <w:b w:val="1"/>
          <w:bCs w:val="1"/>
          <w:color w:val="auto"/>
        </w:rPr>
        <w:t xml:space="preserve"> N</w:t>
      </w:r>
      <w:r>
        <w:rPr>
          <w:rFonts w:ascii="Arial" w:cs="Arial" w:eastAsia="Arial" w:hAnsi="Arial"/>
          <w:sz w:val="12"/>
          <w:szCs w:val="12"/>
          <w:b w:val="1"/>
          <w:bCs w:val="1"/>
          <w:color w:val="auto"/>
        </w:rPr>
        <w:t>UMBER</w:t>
      </w:r>
      <w:r>
        <w:rPr>
          <w:rFonts w:ascii="Arial" w:cs="Arial" w:eastAsia="Arial" w:hAnsi="Arial"/>
          <w:sz w:val="19"/>
          <w:szCs w:val="19"/>
          <w:b w:val="1"/>
          <w:bCs w:val="1"/>
          <w:color w:val="auto"/>
        </w:rPr>
        <w:t xml:space="preserve"> 2 </w:t>
      </w:r>
      <w:r>
        <w:rPr>
          <w:rFonts w:ascii="Arial" w:cs="Arial" w:eastAsia="Arial" w:hAnsi="Arial"/>
          <w:sz w:val="19"/>
          <w:szCs w:val="19"/>
          <w:color w:val="auto"/>
        </w:rPr>
        <w:t>(the “</w:t>
      </w:r>
      <w:r>
        <w:rPr>
          <w:rFonts w:ascii="Arial" w:cs="Arial" w:eastAsia="Arial" w:hAnsi="Arial"/>
          <w:sz w:val="19"/>
          <w:szCs w:val="19"/>
          <w:b w:val="1"/>
          <w:bCs w:val="1"/>
          <w:color w:val="auto"/>
        </w:rPr>
        <w:t>Amendment No 2</w:t>
      </w:r>
      <w:r>
        <w:rPr>
          <w:rFonts w:ascii="Arial" w:cs="Arial" w:eastAsia="Arial" w:hAnsi="Arial"/>
          <w:sz w:val="19"/>
          <w:szCs w:val="19"/>
          <w:color w:val="auto"/>
        </w:rPr>
        <w:t>”), effective as of February 22, 2021 (the “</w:t>
      </w:r>
      <w:r>
        <w:rPr>
          <w:rFonts w:ascii="Arial" w:cs="Arial" w:eastAsia="Arial" w:hAnsi="Arial"/>
          <w:sz w:val="19"/>
          <w:szCs w:val="19"/>
          <w:b w:val="1"/>
          <w:bCs w:val="1"/>
          <w:color w:val="auto"/>
        </w:rPr>
        <w:t>Amendment No 2 Effective Date</w:t>
      </w:r>
      <w:r>
        <w:rPr>
          <w:rFonts w:ascii="Arial" w:cs="Arial" w:eastAsia="Arial" w:hAnsi="Arial"/>
          <w:sz w:val="19"/>
          <w:szCs w:val="19"/>
          <w:color w:val="auto"/>
        </w:rPr>
        <w:t>”) amends that certain Collaboration and License Agreement entered into as of May 23, 2014 (the “</w:t>
      </w:r>
      <w:r>
        <w:rPr>
          <w:rFonts w:ascii="Arial" w:cs="Arial" w:eastAsia="Arial" w:hAnsi="Arial"/>
          <w:sz w:val="19"/>
          <w:szCs w:val="19"/>
          <w:b w:val="1"/>
          <w:bCs w:val="1"/>
          <w:color w:val="auto"/>
        </w:rPr>
        <w:t>Collaboration Agreement</w:t>
      </w:r>
      <w:r>
        <w:rPr>
          <w:rFonts w:ascii="Arial" w:cs="Arial" w:eastAsia="Arial" w:hAnsi="Arial"/>
          <w:sz w:val="19"/>
          <w:szCs w:val="19"/>
          <w:color w:val="auto"/>
        </w:rPr>
        <w:t>”) by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between </w:t>
      </w:r>
      <w:r>
        <w:rPr>
          <w:rFonts w:ascii="Arial" w:cs="Arial" w:eastAsia="Arial" w:hAnsi="Arial"/>
          <w:sz w:val="19"/>
          <w:szCs w:val="19"/>
          <w:b w:val="1"/>
          <w:bCs w:val="1"/>
          <w:color w:val="auto"/>
        </w:rPr>
        <w:t>CYTOMX THERAPEUTICS, INC.</w:t>
      </w:r>
      <w:r>
        <w:rPr>
          <w:rFonts w:ascii="Arial" w:cs="Arial" w:eastAsia="Arial" w:hAnsi="Arial"/>
          <w:sz w:val="19"/>
          <w:szCs w:val="19"/>
          <w:color w:val="auto"/>
        </w:rPr>
        <w:t>, a corporation organized under the laws of the State of Delaware, having its principal place of business at 151 Oyster Point Blvd., Suite 400, South San Francisco, CA, 94080 (“</w:t>
      </w:r>
      <w:r>
        <w:rPr>
          <w:rFonts w:ascii="Arial" w:cs="Arial" w:eastAsia="Arial" w:hAnsi="Arial"/>
          <w:sz w:val="19"/>
          <w:szCs w:val="19"/>
          <w:b w:val="1"/>
          <w:bCs w:val="1"/>
          <w:color w:val="auto"/>
        </w:rPr>
        <w:t>CytomX</w:t>
      </w:r>
      <w:r>
        <w:rPr>
          <w:rFonts w:ascii="Arial" w:cs="Arial" w:eastAsia="Arial" w:hAnsi="Arial"/>
          <w:sz w:val="19"/>
          <w:szCs w:val="19"/>
          <w:color w:val="auto"/>
        </w:rPr>
        <w:t xml:space="preserve">”), and </w:t>
      </w:r>
      <w:r>
        <w:rPr>
          <w:rFonts w:ascii="Arial" w:cs="Arial" w:eastAsia="Arial" w:hAnsi="Arial"/>
          <w:sz w:val="19"/>
          <w:szCs w:val="19"/>
          <w:b w:val="1"/>
          <w:bCs w:val="1"/>
          <w:color w:val="auto"/>
        </w:rPr>
        <w:t>BRISTOL-MYERS SQUIBB</w:t>
      </w:r>
      <w:r>
        <w:rPr>
          <w:rFonts w:ascii="Arial" w:cs="Arial" w:eastAsia="Arial" w:hAnsi="Arial"/>
          <w:sz w:val="19"/>
          <w:szCs w:val="19"/>
          <w:color w:val="auto"/>
        </w:rPr>
        <w:t xml:space="preserve"> </w:t>
      </w:r>
      <w:r>
        <w:rPr>
          <w:rFonts w:ascii="Arial" w:cs="Arial" w:eastAsia="Arial" w:hAnsi="Arial"/>
          <w:sz w:val="19"/>
          <w:szCs w:val="19"/>
          <w:b w:val="1"/>
          <w:bCs w:val="1"/>
          <w:color w:val="auto"/>
        </w:rPr>
        <w:t>COMPANY</w:t>
      </w:r>
      <w:r>
        <w:rPr>
          <w:rFonts w:ascii="Arial" w:cs="Arial" w:eastAsia="Arial" w:hAnsi="Arial"/>
          <w:sz w:val="19"/>
          <w:szCs w:val="19"/>
          <w:color w:val="auto"/>
        </w:rPr>
        <w:t>, a Delaware corporation headquartered at 345 Park Avenue, New York, New York, USA 10154 (“</w:t>
      </w:r>
      <w:r>
        <w:rPr>
          <w:rFonts w:ascii="Arial" w:cs="Arial" w:eastAsia="Arial" w:hAnsi="Arial"/>
          <w:sz w:val="19"/>
          <w:szCs w:val="19"/>
          <w:b w:val="1"/>
          <w:bCs w:val="1"/>
          <w:color w:val="auto"/>
        </w:rPr>
        <w:t>BMS</w:t>
      </w:r>
      <w:r>
        <w:rPr>
          <w:rFonts w:ascii="Arial" w:cs="Arial" w:eastAsia="Arial" w:hAnsi="Arial"/>
          <w:sz w:val="19"/>
          <w:szCs w:val="19"/>
          <w:color w:val="auto"/>
        </w:rPr>
        <w:t>”), as amended by</w:t>
      </w:r>
      <w:r>
        <w:rPr>
          <w:rFonts w:ascii="Arial" w:cs="Arial" w:eastAsia="Arial" w:hAnsi="Arial"/>
          <w:sz w:val="19"/>
          <w:szCs w:val="19"/>
          <w:b w:val="1"/>
          <w:bCs w:val="1"/>
          <w:color w:val="auto"/>
        </w:rPr>
        <w:t xml:space="preserve"> </w:t>
      </w:r>
      <w:r>
        <w:rPr>
          <w:rFonts w:ascii="Arial" w:cs="Arial" w:eastAsia="Arial" w:hAnsi="Arial"/>
          <w:sz w:val="19"/>
          <w:szCs w:val="19"/>
          <w:color w:val="auto"/>
        </w:rPr>
        <w:t>Amendment Number 1 to Extend Collaboration and License Agreement, dated as of March 17, 2017.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192" w:lineRule="exact"/>
        <w:rPr>
          <w:sz w:val="20"/>
          <w:szCs w:val="20"/>
          <w:color w:val="auto"/>
        </w:rPr>
      </w:pPr>
    </w:p>
    <w:p>
      <w:pPr>
        <w:jc w:val="both"/>
        <w:ind w:left="1" w:firstLine="833"/>
        <w:spacing w:after="0" w:line="28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CytomX and BMS desire to extend their existing collaboration for the purpose of discovery and preclinical</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Compounds suitable for development for human therapeutic uses, with the objective of identifying one or more Compounds for BMS to advance into human clinical trials, in accordance with the terms and conditions set forth in the Collaboration Agreement.</w:t>
      </w:r>
    </w:p>
    <w:p>
      <w:pPr>
        <w:spacing w:after="0" w:line="124" w:lineRule="exact"/>
        <w:rPr>
          <w:sz w:val="20"/>
          <w:szCs w:val="20"/>
          <w:color w:val="auto"/>
        </w:rPr>
      </w:pPr>
    </w:p>
    <w:p>
      <w:pPr>
        <w:jc w:val="both"/>
        <w:ind w:left="1" w:firstLine="833"/>
        <w:spacing w:after="0" w:line="261"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foregoing premises and the mutual promises, covenants and conditions contained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 No 2, the Parties agree to amend the Collaboration Agreement as follows.</w:t>
      </w:r>
    </w:p>
    <w:p>
      <w:pPr>
        <w:spacing w:after="0" w:line="145" w:lineRule="exact"/>
        <w:rPr>
          <w:sz w:val="20"/>
          <w:szCs w:val="20"/>
          <w:color w:val="auto"/>
        </w:rPr>
      </w:pPr>
    </w:p>
    <w:p>
      <w:pPr>
        <w:ind w:left="821" w:hanging="411"/>
        <w:spacing w:after="0"/>
        <w:tabs>
          <w:tab w:leader="none" w:pos="821" w:val="left"/>
        </w:tabs>
        <w:numPr>
          <w:ilvl w:val="0"/>
          <w:numId w:val="42"/>
        </w:numPr>
        <w:rPr>
          <w:rFonts w:ascii="Arial" w:cs="Arial" w:eastAsia="Arial" w:hAnsi="Arial"/>
          <w:sz w:val="20"/>
          <w:szCs w:val="20"/>
          <w:color w:val="auto"/>
        </w:rPr>
      </w:pPr>
      <w:r>
        <w:rPr>
          <w:rFonts w:ascii="Arial" w:cs="Arial" w:eastAsia="Arial" w:hAnsi="Arial"/>
          <w:sz w:val="20"/>
          <w:szCs w:val="20"/>
          <w:b w:val="1"/>
          <w:bCs w:val="1"/>
          <w:color w:val="auto"/>
        </w:rPr>
        <w:t xml:space="preserve">Research Term. </w:t>
      </w:r>
      <w:r>
        <w:rPr>
          <w:rFonts w:ascii="Arial" w:cs="Arial" w:eastAsia="Arial" w:hAnsi="Arial"/>
          <w:sz w:val="20"/>
          <w:szCs w:val="20"/>
          <w:color w:val="auto"/>
        </w:rPr>
        <w:t>Section 3.2 is hereby deleted in its entirety and replaced with the following:</w:t>
      </w:r>
    </w:p>
    <w:p>
      <w:pPr>
        <w:spacing w:after="0" w:line="192" w:lineRule="exact"/>
        <w:rPr>
          <w:rFonts w:ascii="Arial" w:cs="Arial" w:eastAsia="Arial" w:hAnsi="Arial"/>
          <w:sz w:val="20"/>
          <w:szCs w:val="20"/>
          <w:color w:val="auto"/>
        </w:rPr>
      </w:pPr>
    </w:p>
    <w:p>
      <w:pPr>
        <w:ind w:left="841" w:right="300"/>
        <w:spacing w:after="0" w:line="239" w:lineRule="auto"/>
        <w:rPr>
          <w:rFonts w:ascii="Arial" w:cs="Arial" w:eastAsia="Arial" w:hAnsi="Arial"/>
          <w:sz w:val="20"/>
          <w:szCs w:val="20"/>
          <w:color w:val="auto"/>
        </w:rPr>
      </w:pPr>
      <w:r>
        <w:rPr>
          <w:rFonts w:ascii="Arial" w:cs="Arial" w:eastAsia="Arial" w:hAnsi="Arial"/>
          <w:sz w:val="20"/>
          <w:szCs w:val="20"/>
          <w:b w:val="1"/>
          <w:bCs w:val="1"/>
          <w:color w:val="auto"/>
        </w:rPr>
        <w:t xml:space="preserve">3.2 Research Term. </w:t>
      </w:r>
      <w:r>
        <w:rPr>
          <w:rFonts w:ascii="Arial" w:cs="Arial" w:eastAsia="Arial" w:hAnsi="Arial"/>
          <w:sz w:val="20"/>
          <w:szCs w:val="20"/>
          <w:color w:val="auto"/>
        </w:rPr>
        <w:t>The Preclinical Development Program with respect to each Initial Collaboration Target and</w:t>
      </w:r>
      <w:r>
        <w:rPr>
          <w:rFonts w:ascii="Arial" w:cs="Arial" w:eastAsia="Arial" w:hAnsi="Arial"/>
          <w:sz w:val="20"/>
          <w:szCs w:val="20"/>
          <w:b w:val="1"/>
          <w:bCs w:val="1"/>
          <w:color w:val="auto"/>
        </w:rPr>
        <w:t xml:space="preserve"> </w:t>
      </w:r>
      <w:r>
        <w:rPr>
          <w:rFonts w:ascii="Arial" w:cs="Arial" w:eastAsia="Arial" w:hAnsi="Arial"/>
          <w:sz w:val="20"/>
          <w:szCs w:val="20"/>
          <w:color w:val="auto"/>
        </w:rPr>
        <w:t>Additional Target will be carried out during the two (2) year period following (x) the Effective Date, with respect to the Initial Collaboration Targets, and (y) the date of designation of a Substitute Target (with respect to an Initial Collaboration Target or Additional Target) or an Additional Target, with respect to any such Substitute Target or Additional Target, and, with respect to any Extension Target, [***] unless (in each case) this Agreement is terminated in accordance with Article 13 (the “</w:t>
      </w:r>
      <w:r>
        <w:rPr>
          <w:rFonts w:ascii="Arial" w:cs="Arial" w:eastAsia="Arial" w:hAnsi="Arial"/>
          <w:sz w:val="20"/>
          <w:szCs w:val="20"/>
          <w:b w:val="1"/>
          <w:bCs w:val="1"/>
          <w:color w:val="auto"/>
        </w:rPr>
        <w:t>Research</w:t>
      </w:r>
      <w:r>
        <w:rPr>
          <w:rFonts w:ascii="Arial" w:cs="Arial" w:eastAsia="Arial" w:hAnsi="Arial"/>
          <w:sz w:val="20"/>
          <w:szCs w:val="20"/>
          <w:color w:val="auto"/>
        </w:rPr>
        <w:t xml:space="preserve"> </w:t>
      </w:r>
      <w:r>
        <w:rPr>
          <w:rFonts w:ascii="Arial" w:cs="Arial" w:eastAsia="Arial" w:hAnsi="Arial"/>
          <w:sz w:val="20"/>
          <w:szCs w:val="20"/>
          <w:b w:val="1"/>
          <w:bCs w:val="1"/>
          <w:color w:val="auto"/>
        </w:rPr>
        <w:t>Term</w:t>
      </w:r>
      <w:r>
        <w:rPr>
          <w:rFonts w:ascii="Arial" w:cs="Arial" w:eastAsia="Arial" w:hAnsi="Arial"/>
          <w:sz w:val="20"/>
          <w:szCs w:val="20"/>
          <w:color w:val="auto"/>
        </w:rPr>
        <w:t>”).</w:t>
      </w:r>
    </w:p>
    <w:p>
      <w:pPr>
        <w:spacing w:after="0" w:line="165" w:lineRule="exact"/>
        <w:rPr>
          <w:rFonts w:ascii="Arial" w:cs="Arial" w:eastAsia="Arial" w:hAnsi="Arial"/>
          <w:sz w:val="20"/>
          <w:szCs w:val="20"/>
          <w:color w:val="auto"/>
        </w:rPr>
      </w:pPr>
    </w:p>
    <w:p>
      <w:pPr>
        <w:ind w:left="821" w:right="680" w:hanging="411"/>
        <w:spacing w:after="0" w:line="261" w:lineRule="auto"/>
        <w:tabs>
          <w:tab w:leader="none" w:pos="821" w:val="left"/>
        </w:tabs>
        <w:numPr>
          <w:ilvl w:val="0"/>
          <w:numId w:val="42"/>
        </w:numPr>
        <w:rPr>
          <w:rFonts w:ascii="Arial" w:cs="Arial" w:eastAsia="Arial" w:hAnsi="Arial"/>
          <w:sz w:val="20"/>
          <w:szCs w:val="20"/>
          <w:color w:val="auto"/>
        </w:rPr>
      </w:pPr>
      <w:r>
        <w:rPr>
          <w:rFonts w:ascii="Arial" w:cs="Arial" w:eastAsia="Arial" w:hAnsi="Arial"/>
          <w:sz w:val="20"/>
          <w:szCs w:val="20"/>
          <w:b w:val="1"/>
          <w:bCs w:val="1"/>
          <w:color w:val="auto"/>
        </w:rPr>
        <w:t>Collaboration Targets</w:t>
      </w:r>
      <w:r>
        <w:rPr>
          <w:rFonts w:ascii="Arial" w:cs="Arial" w:eastAsia="Arial" w:hAnsi="Arial"/>
          <w:sz w:val="20"/>
          <w:szCs w:val="20"/>
          <w:color w:val="auto"/>
        </w:rPr>
        <w:t>. Sections 3.3(c)(iv), 3.3(c)(vi) and 3.3(d) are hereby deleted in their entirety and replaced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497840</wp:posOffset>
            </wp:positionV>
            <wp:extent cx="7184390"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1"/>
          </w:cols>
          <w:pgMar w:left="319" w:top="120" w:right="339" w:bottom="1440" w:gutter="0" w:footer="0" w:header="0"/>
        </w:sectPr>
      </w:pPr>
    </w:p>
    <w:bookmarkStart w:id="79" w:name="page80"/>
    <w:bookmarkEnd w:id="79"/>
    <w:p>
      <w:pPr>
        <w:jc w:val="both"/>
        <w:ind w:left="7" w:firstLine="765"/>
        <w:spacing w:after="0" w:line="250" w:lineRule="auto"/>
        <w:tabs>
          <w:tab w:leader="none" w:pos="1662" w:val="left"/>
        </w:tabs>
        <w:numPr>
          <w:ilvl w:val="0"/>
          <w:numId w:val="43"/>
        </w:numPr>
        <w:rPr>
          <w:rFonts w:ascii="Arial" w:cs="Arial" w:eastAsia="Arial" w:hAnsi="Arial"/>
          <w:sz w:val="19"/>
          <w:szCs w:val="19"/>
          <w:color w:val="auto"/>
        </w:rPr>
      </w:pPr>
      <w:r>
        <w:rPr>
          <w:rFonts w:ascii="Arial" w:cs="Arial" w:eastAsia="Arial" w:hAnsi="Arial"/>
          <w:sz w:val="19"/>
          <w:szCs w:val="19"/>
          <w:b w:val="1"/>
          <w:bCs w:val="1"/>
          <w:color w:val="auto"/>
        </w:rPr>
        <w:t>Extension Targets</w:t>
      </w:r>
      <w:r>
        <w:rPr>
          <w:rFonts w:ascii="Arial" w:cs="Arial" w:eastAsia="Arial" w:hAnsi="Arial"/>
          <w:sz w:val="19"/>
          <w:szCs w:val="19"/>
          <w:color w:val="auto"/>
        </w:rPr>
        <w:t>. BMS shall have the right to add up to five (5) additional Targets to the collaboration</w:t>
      </w:r>
      <w:r>
        <w:rPr>
          <w:rFonts w:ascii="Arial" w:cs="Arial" w:eastAsia="Arial" w:hAnsi="Arial"/>
          <w:sz w:val="19"/>
          <w:szCs w:val="19"/>
          <w:b w:val="1"/>
          <w:bCs w:val="1"/>
          <w:color w:val="auto"/>
        </w:rPr>
        <w:t xml:space="preserve"> </w:t>
      </w:r>
      <w:r>
        <w:rPr>
          <w:rFonts w:ascii="Arial" w:cs="Arial" w:eastAsia="Arial" w:hAnsi="Arial"/>
          <w:sz w:val="19"/>
          <w:szCs w:val="19"/>
          <w:color w:val="auto"/>
        </w:rPr>
        <w:t>(each such target, an “</w:t>
      </w:r>
      <w:r>
        <w:rPr>
          <w:rFonts w:ascii="Arial" w:cs="Arial" w:eastAsia="Arial" w:hAnsi="Arial"/>
          <w:sz w:val="19"/>
          <w:szCs w:val="19"/>
          <w:b w:val="1"/>
          <w:bCs w:val="1"/>
          <w:color w:val="auto"/>
        </w:rPr>
        <w:t>Extension Target</w:t>
      </w:r>
      <w:r>
        <w:rPr>
          <w:rFonts w:ascii="Arial" w:cs="Arial" w:eastAsia="Arial" w:hAnsi="Arial"/>
          <w:sz w:val="19"/>
          <w:szCs w:val="19"/>
          <w:color w:val="auto"/>
        </w:rPr>
        <w:t>”). Any such Extension Target must be selected by BMS [***] by notice to CytomX. Each of the Extension Targets shall be in the field of oncology (including immuno-oncology), unless otherwise agreed in writing by CytomX. BMS shall have the right to request CytomX to generate Probodies which can be used and further developed as: (A) Probodies or Probody drug conjugates and/or (B) Probody-containing bi-specifics, including T-cell engaging bi-specifics and/or (C) [***] (with each of (A), (B) and (C) being referred hereafter as a “</w:t>
      </w:r>
      <w:r>
        <w:rPr>
          <w:rFonts w:ascii="Arial" w:cs="Arial" w:eastAsia="Arial" w:hAnsi="Arial"/>
          <w:sz w:val="19"/>
          <w:szCs w:val="19"/>
          <w:b w:val="1"/>
          <w:bCs w:val="1"/>
          <w:color w:val="auto"/>
        </w:rPr>
        <w:t>Modality</w:t>
      </w:r>
      <w:r>
        <w:rPr>
          <w:rFonts w:ascii="Arial" w:cs="Arial" w:eastAsia="Arial" w:hAnsi="Arial"/>
          <w:sz w:val="19"/>
          <w:szCs w:val="19"/>
          <w:color w:val="auto"/>
        </w:rPr>
        <w:t>”) for the Extension Targets. CytomX shall retain the right to delay the commencement of activities under the Preclinical Plan (as updated) with respect to any Extension Target if such Extension Target is selected within [***] of any other Extension Target, such that activities for the newly selected Extension Target do not begin within such [***] period.</w:t>
      </w:r>
    </w:p>
    <w:p>
      <w:pPr>
        <w:spacing w:after="0" w:line="125" w:lineRule="exact"/>
        <w:rPr>
          <w:sz w:val="20"/>
          <w:szCs w:val="20"/>
          <w:color w:val="auto"/>
        </w:rPr>
      </w:pPr>
    </w:p>
    <w:p>
      <w:pPr>
        <w:jc w:val="both"/>
        <w:ind w:left="7" w:firstLine="765"/>
        <w:spacing w:after="0" w:line="271" w:lineRule="auto"/>
        <w:tabs>
          <w:tab w:leader="none" w:pos="1662" w:val="left"/>
        </w:tabs>
        <w:numPr>
          <w:ilvl w:val="1"/>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Substitute Targets. </w:t>
      </w:r>
      <w:r>
        <w:rPr>
          <w:rFonts w:ascii="Arial" w:cs="Arial" w:eastAsia="Arial" w:hAnsi="Arial"/>
          <w:sz w:val="18"/>
          <w:szCs w:val="18"/>
          <w:color w:val="auto"/>
        </w:rPr>
        <w:t>BMS shall have the right to substitute and replace (i) each Initial Collaboration Target</w:t>
      </w:r>
      <w:r>
        <w:rPr>
          <w:rFonts w:ascii="Arial" w:cs="Arial" w:eastAsia="Arial" w:hAnsi="Arial"/>
          <w:sz w:val="18"/>
          <w:szCs w:val="18"/>
          <w:b w:val="1"/>
          <w:bCs w:val="1"/>
          <w:color w:val="auto"/>
        </w:rPr>
        <w:t xml:space="preserve"> </w:t>
      </w:r>
      <w:r>
        <w:rPr>
          <w:rFonts w:ascii="Arial" w:cs="Arial" w:eastAsia="Arial" w:hAnsi="Arial"/>
          <w:sz w:val="18"/>
          <w:szCs w:val="18"/>
          <w:color w:val="auto"/>
        </w:rPr>
        <w:t>and up to [***] of the Extension Targets [***] in accordance with the criteria set forth in clause (A) of this Section, and (ii) up to</w:t>
      </w:r>
    </w:p>
    <w:p>
      <w:pPr>
        <w:spacing w:after="0" w:line="1" w:lineRule="exact"/>
        <w:rPr>
          <w:rFonts w:ascii="Arial" w:cs="Arial" w:eastAsia="Arial" w:hAnsi="Arial"/>
          <w:sz w:val="18"/>
          <w:szCs w:val="18"/>
          <w:color w:val="auto"/>
        </w:rPr>
      </w:pPr>
    </w:p>
    <w:p>
      <w:pPr>
        <w:jc w:val="both"/>
        <w:ind w:left="7" w:hanging="7"/>
        <w:spacing w:after="0" w:line="261" w:lineRule="auto"/>
        <w:tabs>
          <w:tab w:leader="none" w:pos="503" w:val="left"/>
        </w:tabs>
        <w:numPr>
          <w:ilvl w:val="0"/>
          <w:numId w:val="44"/>
        </w:numPr>
        <w:rPr>
          <w:rFonts w:ascii="Arial" w:cs="Arial" w:eastAsia="Arial" w:hAnsi="Arial"/>
          <w:sz w:val="18"/>
          <w:szCs w:val="18"/>
          <w:color w:val="auto"/>
        </w:rPr>
      </w:pPr>
      <w:r>
        <w:rPr>
          <w:rFonts w:ascii="Arial" w:cs="Arial" w:eastAsia="Arial" w:hAnsi="Arial"/>
          <w:sz w:val="18"/>
          <w:szCs w:val="18"/>
          <w:color w:val="auto"/>
        </w:rPr>
        <w:t>of the Extension Targets in accordance with clause (B) of this Section, with a new Target (such new target, a “</w:t>
      </w:r>
      <w:r>
        <w:rPr>
          <w:rFonts w:ascii="Arial" w:cs="Arial" w:eastAsia="Arial" w:hAnsi="Arial"/>
          <w:sz w:val="18"/>
          <w:szCs w:val="18"/>
          <w:b w:val="1"/>
          <w:bCs w:val="1"/>
          <w:color w:val="auto"/>
        </w:rPr>
        <w:t>Substitute</w:t>
      </w:r>
      <w:r>
        <w:rPr>
          <w:rFonts w:ascii="Arial" w:cs="Arial" w:eastAsia="Arial" w:hAnsi="Arial"/>
          <w:sz w:val="18"/>
          <w:szCs w:val="18"/>
          <w:color w:val="auto"/>
        </w:rPr>
        <w:t xml:space="preserve"> </w:t>
      </w:r>
      <w:r>
        <w:rPr>
          <w:rFonts w:ascii="Arial" w:cs="Arial" w:eastAsia="Arial" w:hAnsi="Arial"/>
          <w:sz w:val="18"/>
          <w:szCs w:val="18"/>
          <w:b w:val="1"/>
          <w:bCs w:val="1"/>
          <w:color w:val="auto"/>
        </w:rPr>
        <w:t>Target</w:t>
      </w:r>
      <w:r>
        <w:rPr>
          <w:rFonts w:ascii="Arial" w:cs="Arial" w:eastAsia="Arial" w:hAnsi="Arial"/>
          <w:sz w:val="18"/>
          <w:szCs w:val="18"/>
          <w:color w:val="auto"/>
        </w:rPr>
        <w:t>”), subject to the Excluded Target Process set forth in Section 3.3(c). Any such replacement of an Initial Collaboration</w:t>
      </w:r>
      <w:r>
        <w:rPr>
          <w:rFonts w:ascii="Arial" w:cs="Arial" w:eastAsia="Arial" w:hAnsi="Arial"/>
          <w:sz w:val="18"/>
          <w:szCs w:val="18"/>
          <w:b w:val="1"/>
          <w:bCs w:val="1"/>
          <w:color w:val="auto"/>
        </w:rPr>
        <w:t xml:space="preserve"> </w:t>
      </w:r>
      <w:r>
        <w:rPr>
          <w:rFonts w:ascii="Arial" w:cs="Arial" w:eastAsia="Arial" w:hAnsi="Arial"/>
          <w:sz w:val="18"/>
          <w:szCs w:val="18"/>
          <w:color w:val="auto"/>
        </w:rPr>
        <w:t>Target must occur prior to the commencement of a Clinical Trial of a Compound relating to such Initial Collaboration Target and in no case later than three (3) years after the Effective Date[***]. Any such replacement also shall be based (A) on technical/scientific information relating to such Initial Collaboration Target [***] (or a Compound relating to such Initial Collaboration Target [***]), based upon which BMS reasonably determines that identification of a Compound(s) directed to such Initial Collaboration Target [***] that would be suitable for clinical development will not be feasible, [***]to be determined by the JRC prior to the commencement of work by CytomX to produce a Probody to such Extension Target; provided that [***]than has been previously achieved by CytomX with respect to a Collaboration Target pursuant to this Agreement. In the case where BMS desires to replace an Initial Collaboration Target or Extension Target with a proposed Substitute Target, BMS shall inform CytomX, through the JRC, of BMS’ basis (and providing technical/scientific supporting information) for wanting to replace such Initial Collaboration Target or Extension Target. For clarity, Substitute Targets shall be in the field of oncology (including immuno-oncology), including a Target intended for a Probody-drug conjugate program, unless otherwise agreed in writing by CytomX. CytomX shall retain the right to delay the commencement of activities under the Preclinical Plan (as updated) with respect to any Substitute Target if such Substitute Target is selected [***] of any other Extension or Substitute Target, such that activities for the newly selected Substitute Target do not begin within such [***] period.</w:t>
      </w:r>
    </w:p>
    <w:p>
      <w:pPr>
        <w:spacing w:after="0" w:line="157" w:lineRule="exact"/>
        <w:rPr>
          <w:sz w:val="20"/>
          <w:szCs w:val="20"/>
          <w:color w:val="auto"/>
        </w:rPr>
      </w:pPr>
    </w:p>
    <w:p>
      <w:pPr>
        <w:ind w:left="7"/>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184785</wp:posOffset>
            </wp:positionV>
            <wp:extent cx="7184390"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407"/>
          </w:cols>
          <w:pgMar w:left="1153" w:top="313" w:right="339" w:bottom="1440" w:gutter="0" w:footer="0" w:header="0"/>
        </w:sectPr>
      </w:pPr>
    </w:p>
    <w:bookmarkStart w:id="80" w:name="page81"/>
    <w:bookmarkEnd w:id="80"/>
    <w:p>
      <w:pPr>
        <w:jc w:val="both"/>
        <w:ind w:firstLine="765"/>
        <w:spacing w:after="0" w:line="261" w:lineRule="auto"/>
        <w:tabs>
          <w:tab w:leader="none" w:pos="1599"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Excluded Target Process</w:t>
      </w:r>
      <w:r>
        <w:rPr>
          <w:rFonts w:ascii="Arial" w:cs="Arial" w:eastAsia="Arial" w:hAnsi="Arial"/>
          <w:sz w:val="18"/>
          <w:szCs w:val="18"/>
          <w:color w:val="auto"/>
        </w:rPr>
        <w:t>. The following procedure shall be followed for the selection of an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Target or Extension Target or the replacement of an Initial Collaboration Target or an Extension Target with a Substitute Target. Upon notice by BMS to CytomX of its desire to evaluate a Target as an Additional Target, Extension Target or a Substitute Target, CytomX shall provide an independent reviewer (mutually agreed to by BMS and CytomX) (the “</w:t>
      </w:r>
      <w:r>
        <w:rPr>
          <w:rFonts w:ascii="Arial" w:cs="Arial" w:eastAsia="Arial" w:hAnsi="Arial"/>
          <w:sz w:val="18"/>
          <w:szCs w:val="18"/>
          <w:b w:val="1"/>
          <w:bCs w:val="1"/>
          <w:color w:val="auto"/>
        </w:rPr>
        <w:t>Target Reviewer</w:t>
      </w:r>
      <w:r>
        <w:rPr>
          <w:rFonts w:ascii="Arial" w:cs="Arial" w:eastAsia="Arial" w:hAnsi="Arial"/>
          <w:sz w:val="18"/>
          <w:szCs w:val="18"/>
          <w:color w:val="auto"/>
        </w:rPr>
        <w:t>”) with a list of all Targets where CytomX has: (i) licensed exclusive rights to a third party with respect to such Target, or is otherwise contractually restricted from including such Target, (ii) entered into (and has maintained ongoing) discussions with a third party with respect to a license or collaboration regarding potential products intended for use against such Target, with such discussions being evidenced by written correspondence relating to proposed terms (“</w:t>
      </w:r>
      <w:r>
        <w:rPr>
          <w:rFonts w:ascii="Arial" w:cs="Arial" w:eastAsia="Arial" w:hAnsi="Arial"/>
          <w:sz w:val="18"/>
          <w:szCs w:val="18"/>
          <w:b w:val="1"/>
          <w:bCs w:val="1"/>
          <w:color w:val="auto"/>
        </w:rPr>
        <w:t>Ongoing Bona Fide Discussions</w:t>
      </w:r>
      <w:r>
        <w:rPr>
          <w:rFonts w:ascii="Arial" w:cs="Arial" w:eastAsia="Arial" w:hAnsi="Arial"/>
          <w:sz w:val="18"/>
          <w:szCs w:val="18"/>
          <w:color w:val="auto"/>
        </w:rPr>
        <w:t xml:space="preserve">”), (iii) an active bona fide internal research or development program, with respect to the research, development and commercialization of Probodies directed towards such Target under which program CytomX has identified a functional Antibody directed toward such Target (as part of development of Probodies directed to such Target), or (iv) the three (3) Targets listed on </w:t>
      </w:r>
      <w:r>
        <w:rPr>
          <w:rFonts w:ascii="Arial" w:cs="Arial" w:eastAsia="Arial" w:hAnsi="Arial"/>
          <w:sz w:val="18"/>
          <w:szCs w:val="18"/>
          <w:b w:val="1"/>
          <w:bCs w:val="1"/>
          <w:color w:val="auto"/>
        </w:rPr>
        <w:t>Exhibit G</w:t>
      </w:r>
      <w:r>
        <w:rPr>
          <w:rFonts w:ascii="Arial" w:cs="Arial" w:eastAsia="Arial" w:hAnsi="Arial"/>
          <w:sz w:val="18"/>
          <w:szCs w:val="18"/>
          <w:color w:val="auto"/>
        </w:rPr>
        <w:t xml:space="preserve"> hereto (“</w:t>
      </w:r>
      <w:r>
        <w:rPr>
          <w:rFonts w:ascii="Arial" w:cs="Arial" w:eastAsia="Arial" w:hAnsi="Arial"/>
          <w:sz w:val="18"/>
          <w:szCs w:val="18"/>
          <w:b w:val="1"/>
          <w:bCs w:val="1"/>
          <w:color w:val="auto"/>
        </w:rPr>
        <w:t>Reserved</w:t>
      </w:r>
      <w:r>
        <w:rPr>
          <w:rFonts w:ascii="Arial" w:cs="Arial" w:eastAsia="Arial" w:hAnsi="Arial"/>
          <w:sz w:val="18"/>
          <w:szCs w:val="18"/>
          <w:color w:val="auto"/>
        </w:rPr>
        <w:t xml:space="preserve"> </w:t>
      </w:r>
      <w:r>
        <w:rPr>
          <w:rFonts w:ascii="Arial" w:cs="Arial" w:eastAsia="Arial" w:hAnsi="Arial"/>
          <w:sz w:val="18"/>
          <w:szCs w:val="18"/>
          <w:b w:val="1"/>
          <w:bCs w:val="1"/>
          <w:color w:val="auto"/>
        </w:rPr>
        <w:t>Targets</w:t>
      </w:r>
      <w:r>
        <w:rPr>
          <w:rFonts w:ascii="Arial" w:cs="Arial" w:eastAsia="Arial" w:hAnsi="Arial"/>
          <w:sz w:val="18"/>
          <w:szCs w:val="18"/>
          <w:color w:val="auto"/>
        </w:rPr>
        <w:t>”) for the period of twelve (12) months after the Effective Date (and thereafter only if included under (i)-(iii) above) (any</w:t>
      </w:r>
      <w:r>
        <w:rPr>
          <w:rFonts w:ascii="Arial" w:cs="Arial" w:eastAsia="Arial" w:hAnsi="Arial"/>
          <w:sz w:val="18"/>
          <w:szCs w:val="18"/>
          <w:b w:val="1"/>
          <w:bCs w:val="1"/>
          <w:color w:val="auto"/>
        </w:rPr>
        <w:t xml:space="preserve"> </w:t>
      </w:r>
      <w:r>
        <w:rPr>
          <w:rFonts w:ascii="Arial" w:cs="Arial" w:eastAsia="Arial" w:hAnsi="Arial"/>
          <w:sz w:val="18"/>
          <w:szCs w:val="18"/>
          <w:color w:val="auto"/>
        </w:rPr>
        <w:t>such Target, an “</w:t>
      </w:r>
      <w:r>
        <w:rPr>
          <w:rFonts w:ascii="Arial" w:cs="Arial" w:eastAsia="Arial" w:hAnsi="Arial"/>
          <w:sz w:val="18"/>
          <w:szCs w:val="18"/>
          <w:b w:val="1"/>
          <w:bCs w:val="1"/>
          <w:color w:val="auto"/>
        </w:rPr>
        <w:t>Excluded Target</w:t>
      </w:r>
      <w:r>
        <w:rPr>
          <w:rFonts w:ascii="Arial" w:cs="Arial" w:eastAsia="Arial" w:hAnsi="Arial"/>
          <w:sz w:val="18"/>
          <w:szCs w:val="18"/>
          <w:color w:val="auto"/>
        </w:rPr>
        <w:t>,” and such list, the “</w:t>
      </w:r>
      <w:r>
        <w:rPr>
          <w:rFonts w:ascii="Arial" w:cs="Arial" w:eastAsia="Arial" w:hAnsi="Arial"/>
          <w:sz w:val="18"/>
          <w:szCs w:val="18"/>
          <w:b w:val="1"/>
          <w:bCs w:val="1"/>
          <w:color w:val="auto"/>
        </w:rPr>
        <w:t>Excluded Target List</w:t>
      </w:r>
      <w:r>
        <w:rPr>
          <w:rFonts w:ascii="Arial" w:cs="Arial" w:eastAsia="Arial" w:hAnsi="Arial"/>
          <w:sz w:val="18"/>
          <w:szCs w:val="18"/>
          <w:color w:val="auto"/>
        </w:rPr>
        <w:t>”), and CytomX shall notify BMS that the Excluded Target List has been provided to the Target Reviewer. Upon receipt of such notice BMS shall provide to the Target Reviewer a confidential written description of the new Target that BMS proposes to evaluate as a potential Additional Target, Extension Target or a Substitute Target, including the GenBank accession number (or other identifying information) for such Target. The Target Reviewer would notify BMS, within five (5) Business Days if such Target identified by BMS is available, or an Excluded Target (but not the reason such Target is an Excluded Target). Following such Target Reviewer notification, in the event that such Target is available, and BMS desires to designate such Target as an Additional Target, Extension Target or Substitute Target, BMS shall provide the Target Reviewer with written confirmation of such designation. Upon receipt of such written confirmation, the Target Reviewer would inquire if CytomX has any modifications to the Excluded Target List, and CytomX would notify the Target Reviewer of such modifications (if any) within five (5) Business Days. Any such Target designated by written confirmation that is not an Excluded Target would be deemed selected by BMS as an Additional Target, Extension Target or Substitute Target.</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20"/>
          <w:szCs w:val="20"/>
          <w:color w:val="auto"/>
        </w:rPr>
        <w:t>In each circumstance where BMS notifies CytomX of its desire to evaluate a Target as described herein, CytomX shall provide the Target Reviewer with an updated Excluded Target List prior to BMS disclosing such new Target to the Target Reviewer; provided, that BMS may evaluate a maximum of [***] Targets per Calendar Year. Accordingly, CytomX shall inform the Target Reviewer of (A) any new Targets that have become subject to third party</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184785</wp:posOffset>
            </wp:positionV>
            <wp:extent cx="7184390"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0400"/>
          </w:cols>
          <w:pgMar w:left="1160" w:top="114" w:right="339" w:bottom="1440" w:gutter="0" w:footer="0" w:header="0"/>
        </w:sectPr>
      </w:pPr>
    </w:p>
    <w:bookmarkStart w:id="81" w:name="page82"/>
    <w:bookmarkEnd w:id="81"/>
    <w:p>
      <w:pPr>
        <w:jc w:val="both"/>
        <w:ind w:left="840" w:right="40"/>
        <w:spacing w:after="0" w:line="251" w:lineRule="auto"/>
        <w:rPr>
          <w:sz w:val="20"/>
          <w:szCs w:val="20"/>
          <w:color w:val="auto"/>
        </w:rPr>
      </w:pPr>
      <w:r>
        <w:rPr>
          <w:rFonts w:ascii="Arial" w:cs="Arial" w:eastAsia="Arial" w:hAnsi="Arial"/>
          <w:sz w:val="19"/>
          <w:szCs w:val="19"/>
          <w:color w:val="auto"/>
        </w:rPr>
        <w:t>obligations, terms discussions or part of an active bona fide internal development program of CytomX, as provided above; (B) the expiration of the twelve month period referenced in clause (iv) above (or unilateral termination by CytomX) of such period with respect to any Reserved Target) and any Reserved Targets that are no longer reserved by virtue of such clause (iv); and (C) any new targets that have become available due to the termination of a collaboration (or Ongoing Bona Fide Discussions with a third party) or termination of any internal development program of CytomX. With regard to [***], BMS acknowledges that [***] is deemed an Excluded Target, and may not be designated as an Extension Target or Substitute Target, subject to BMS’ non-exclusive license to [***] in Section 3.3(c)(v) above.</w:t>
      </w:r>
    </w:p>
    <w:p>
      <w:pPr>
        <w:spacing w:after="0" w:line="121" w:lineRule="exact"/>
        <w:rPr>
          <w:sz w:val="20"/>
          <w:szCs w:val="20"/>
          <w:color w:val="auto"/>
        </w:rPr>
      </w:pPr>
    </w:p>
    <w:p>
      <w:pPr>
        <w:ind w:left="820" w:hanging="411"/>
        <w:spacing w:after="0"/>
        <w:tabs>
          <w:tab w:leader="none" w:pos="820" w:val="left"/>
        </w:tabs>
        <w:numPr>
          <w:ilvl w:val="0"/>
          <w:numId w:val="46"/>
        </w:numPr>
        <w:rPr>
          <w:rFonts w:ascii="Arial" w:cs="Arial" w:eastAsia="Arial" w:hAnsi="Arial"/>
          <w:sz w:val="20"/>
          <w:szCs w:val="20"/>
          <w:color w:val="auto"/>
        </w:rPr>
      </w:pPr>
      <w:r>
        <w:rPr>
          <w:rFonts w:ascii="Arial" w:cs="Arial" w:eastAsia="Arial" w:hAnsi="Arial"/>
          <w:sz w:val="20"/>
          <w:szCs w:val="20"/>
          <w:b w:val="1"/>
          <w:bCs w:val="1"/>
          <w:color w:val="auto"/>
        </w:rPr>
        <w:t>FTE Funding</w:t>
      </w:r>
      <w:r>
        <w:rPr>
          <w:rFonts w:ascii="Arial" w:cs="Arial" w:eastAsia="Arial" w:hAnsi="Arial"/>
          <w:sz w:val="20"/>
          <w:szCs w:val="20"/>
          <w:color w:val="auto"/>
        </w:rPr>
        <w:t>. Section 3.4 is hereby deleted in its entirety and replaced with the following:</w:t>
      </w:r>
    </w:p>
    <w:p>
      <w:pPr>
        <w:spacing w:after="0" w:line="192" w:lineRule="exact"/>
        <w:rPr>
          <w:rFonts w:ascii="Arial" w:cs="Arial" w:eastAsia="Arial" w:hAnsi="Arial"/>
          <w:sz w:val="20"/>
          <w:szCs w:val="20"/>
          <w:color w:val="auto"/>
        </w:rPr>
      </w:pPr>
    </w:p>
    <w:p>
      <w:pPr>
        <w:ind w:left="840" w:right="80"/>
        <w:spacing w:after="0" w:line="239" w:lineRule="auto"/>
        <w:rPr>
          <w:rFonts w:ascii="Arial" w:cs="Arial" w:eastAsia="Arial" w:hAnsi="Arial"/>
          <w:sz w:val="20"/>
          <w:szCs w:val="20"/>
          <w:color w:val="auto"/>
        </w:rPr>
      </w:pPr>
      <w:r>
        <w:rPr>
          <w:rFonts w:ascii="Arial" w:cs="Arial" w:eastAsia="Arial" w:hAnsi="Arial"/>
          <w:sz w:val="20"/>
          <w:szCs w:val="20"/>
          <w:b w:val="1"/>
          <w:bCs w:val="1"/>
          <w:color w:val="auto"/>
        </w:rPr>
        <w:t xml:space="preserve">3.4 FTE Funding. </w:t>
      </w:r>
      <w:r>
        <w:rPr>
          <w:rFonts w:ascii="Arial" w:cs="Arial" w:eastAsia="Arial" w:hAnsi="Arial"/>
          <w:sz w:val="20"/>
          <w:szCs w:val="20"/>
          <w:color w:val="auto"/>
        </w:rPr>
        <w:t>Notwithstanding anything to the contrary in this Agreement, with respect to new and/or revised</w:t>
      </w:r>
      <w:r>
        <w:rPr>
          <w:rFonts w:ascii="Arial" w:cs="Arial" w:eastAsia="Arial" w:hAnsi="Arial"/>
          <w:sz w:val="20"/>
          <w:szCs w:val="20"/>
          <w:b w:val="1"/>
          <w:bCs w:val="1"/>
          <w:color w:val="auto"/>
        </w:rPr>
        <w:t xml:space="preserve"> </w:t>
      </w:r>
      <w:r>
        <w:rPr>
          <w:rFonts w:ascii="Arial" w:cs="Arial" w:eastAsia="Arial" w:hAnsi="Arial"/>
          <w:sz w:val="20"/>
          <w:szCs w:val="20"/>
          <w:color w:val="auto"/>
        </w:rPr>
        <w:t>Preclinical Plans and Budgets, CytomX shall be responsible, and BMS shall not be required to reimburse CytomX, for any FTEs or pay for any out-of-pocket costs relating to any Targets designated by BMS on or after the Amendment No 2 Effective Date; provided, that CytomX shall not in any event be required to commit any number of its FTEs or pay for any out-of-pocket costs materially in excess of what CytomX has committed on a per-Target basis for Targets designated by BMS prior to the Amendment No 2 Effective Date without CytomX’s prior written consent.</w:t>
      </w:r>
    </w:p>
    <w:p>
      <w:pPr>
        <w:spacing w:after="0" w:line="190" w:lineRule="exact"/>
        <w:rPr>
          <w:rFonts w:ascii="Arial" w:cs="Arial" w:eastAsia="Arial" w:hAnsi="Arial"/>
          <w:sz w:val="20"/>
          <w:szCs w:val="20"/>
          <w:color w:val="auto"/>
        </w:rPr>
      </w:pPr>
    </w:p>
    <w:p>
      <w:pPr>
        <w:ind w:left="820" w:hanging="411"/>
        <w:spacing w:after="0"/>
        <w:tabs>
          <w:tab w:leader="none" w:pos="820" w:val="left"/>
        </w:tabs>
        <w:numPr>
          <w:ilvl w:val="0"/>
          <w:numId w:val="46"/>
        </w:numPr>
        <w:rPr>
          <w:rFonts w:ascii="Arial" w:cs="Arial" w:eastAsia="Arial" w:hAnsi="Arial"/>
          <w:sz w:val="20"/>
          <w:szCs w:val="20"/>
          <w:color w:val="auto"/>
        </w:rPr>
      </w:pPr>
      <w:r>
        <w:rPr>
          <w:rFonts w:ascii="Arial" w:cs="Arial" w:eastAsia="Arial" w:hAnsi="Arial"/>
          <w:sz w:val="20"/>
          <w:szCs w:val="20"/>
          <w:b w:val="1"/>
          <w:bCs w:val="1"/>
          <w:color w:val="auto"/>
        </w:rPr>
        <w:t>Development</w:t>
      </w:r>
      <w:r>
        <w:rPr>
          <w:rFonts w:ascii="Arial" w:cs="Arial" w:eastAsia="Arial" w:hAnsi="Arial"/>
          <w:sz w:val="20"/>
          <w:szCs w:val="20"/>
          <w:color w:val="auto"/>
        </w:rPr>
        <w:t>. Section 4.1(d) is hereby deleted in its entirety and replaced with the following:</w:t>
      </w:r>
    </w:p>
    <w:p>
      <w:pPr>
        <w:spacing w:after="0" w:line="192" w:lineRule="exact"/>
        <w:rPr>
          <w:rFonts w:ascii="Arial" w:cs="Arial" w:eastAsia="Arial" w:hAnsi="Arial"/>
          <w:sz w:val="20"/>
          <w:szCs w:val="20"/>
          <w:color w:val="auto"/>
        </w:rPr>
      </w:pPr>
    </w:p>
    <w:p>
      <w:pPr>
        <w:ind w:left="840" w:right="40" w:hanging="7"/>
        <w:spacing w:after="0" w:line="261" w:lineRule="auto"/>
        <w:tabs>
          <w:tab w:leader="none" w:pos="1668" w:val="left"/>
        </w:tabs>
        <w:numPr>
          <w:ilvl w:val="1"/>
          <w:numId w:val="46"/>
        </w:numPr>
        <w:rPr>
          <w:rFonts w:ascii="Arial" w:cs="Arial" w:eastAsia="Arial" w:hAnsi="Arial"/>
          <w:sz w:val="20"/>
          <w:szCs w:val="20"/>
          <w:color w:val="auto"/>
        </w:rPr>
      </w:pPr>
      <w:r>
        <w:rPr>
          <w:rFonts w:ascii="Arial" w:cs="Arial" w:eastAsia="Arial" w:hAnsi="Arial"/>
          <w:sz w:val="20"/>
          <w:szCs w:val="20"/>
          <w:b w:val="1"/>
          <w:bCs w:val="1"/>
          <w:color w:val="auto"/>
        </w:rPr>
        <w:t xml:space="preserve">Meetings. </w:t>
      </w:r>
      <w:r>
        <w:rPr>
          <w:rFonts w:ascii="Arial" w:cs="Arial" w:eastAsia="Arial" w:hAnsi="Arial"/>
          <w:sz w:val="20"/>
          <w:szCs w:val="20"/>
          <w:color w:val="auto"/>
        </w:rPr>
        <w:t>Solely with respect to [***] the Parties agree to meet semi-annually in person or by video conference</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 at least one meeting per year is held in person) [***] to exchange [***].</w:t>
      </w:r>
    </w:p>
    <w:p>
      <w:pPr>
        <w:spacing w:after="0" w:line="120" w:lineRule="exact"/>
        <w:rPr>
          <w:rFonts w:ascii="Arial" w:cs="Arial" w:eastAsia="Arial" w:hAnsi="Arial"/>
          <w:sz w:val="20"/>
          <w:szCs w:val="20"/>
          <w:color w:val="auto"/>
        </w:rPr>
      </w:pPr>
    </w:p>
    <w:p>
      <w:pPr>
        <w:ind w:left="820" w:hanging="411"/>
        <w:spacing w:after="0"/>
        <w:tabs>
          <w:tab w:leader="none" w:pos="820" w:val="left"/>
        </w:tabs>
        <w:numPr>
          <w:ilvl w:val="0"/>
          <w:numId w:val="46"/>
        </w:numPr>
        <w:rPr>
          <w:rFonts w:ascii="Arial" w:cs="Arial" w:eastAsia="Arial" w:hAnsi="Arial"/>
          <w:sz w:val="20"/>
          <w:szCs w:val="20"/>
          <w:color w:val="auto"/>
        </w:rPr>
      </w:pPr>
      <w:r>
        <w:rPr>
          <w:rFonts w:ascii="Arial" w:cs="Arial" w:eastAsia="Arial" w:hAnsi="Arial"/>
          <w:sz w:val="20"/>
          <w:szCs w:val="20"/>
          <w:b w:val="1"/>
          <w:bCs w:val="1"/>
          <w:color w:val="auto"/>
        </w:rPr>
        <w:t>Development Milestones</w:t>
      </w:r>
      <w:r>
        <w:rPr>
          <w:rFonts w:ascii="Arial" w:cs="Arial" w:eastAsia="Arial" w:hAnsi="Arial"/>
          <w:sz w:val="20"/>
          <w:szCs w:val="20"/>
          <w:color w:val="auto"/>
        </w:rPr>
        <w:t>. Table 1b in Section 8.3 is hereby deleted in its entirety and replaced with the following:</w:t>
      </w:r>
    </w:p>
    <w:p>
      <w:pPr>
        <w:spacing w:after="0" w:line="19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Table 1b: For Compounds and Products directed against Extension Targets and Substitute</w:t>
      </w:r>
    </w:p>
    <w:p>
      <w:pPr>
        <w:spacing w:after="0" w:line="39" w:lineRule="exact"/>
        <w:rPr>
          <w:sz w:val="20"/>
          <w:szCs w:val="20"/>
          <w:color w:val="auto"/>
        </w:rPr>
      </w:pPr>
    </w:p>
    <w:p>
      <w:pPr>
        <w:ind w:left="3460"/>
        <w:spacing w:after="0"/>
        <w:rPr>
          <w:sz w:val="20"/>
          <w:szCs w:val="20"/>
          <w:color w:val="auto"/>
        </w:rPr>
      </w:pPr>
      <w:r>
        <w:rPr>
          <w:rFonts w:ascii="Arial" w:cs="Arial" w:eastAsia="Arial" w:hAnsi="Arial"/>
          <w:sz w:val="20"/>
          <w:szCs w:val="20"/>
          <w:b w:val="1"/>
          <w:bCs w:val="1"/>
          <w:color w:val="auto"/>
        </w:rPr>
        <w:t>Targets of Extension Targets for the first Modality:</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56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3560" w:type="dxa"/>
            <w:vAlign w:val="bottom"/>
            <w:tcBorders>
              <w:top w:val="single" w:sz="8" w:color="auto"/>
              <w:bottom w:val="single" w:sz="8" w:color="auto"/>
              <w:right w:val="single" w:sz="8" w:color="auto"/>
            </w:tcBorders>
          </w:tcPr>
          <w:p>
            <w:pPr>
              <w:ind w:left="1520"/>
              <w:spacing w:after="0"/>
              <w:rPr>
                <w:sz w:val="20"/>
                <w:szCs w:val="20"/>
                <w:color w:val="auto"/>
              </w:rPr>
            </w:pPr>
            <w:r>
              <w:rPr>
                <w:rFonts w:ascii="Arial" w:cs="Arial" w:eastAsia="Arial" w:hAnsi="Arial"/>
                <w:sz w:val="20"/>
                <w:szCs w:val="20"/>
                <w:b w:val="1"/>
                <w:bCs w:val="1"/>
                <w:color w:val="auto"/>
              </w:rPr>
              <w:t>Event</w:t>
            </w:r>
          </w:p>
        </w:tc>
        <w:tc>
          <w:tcPr>
            <w:tcW w:w="1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1</w:t>
            </w:r>
            <w:r>
              <w:rPr>
                <w:rFonts w:ascii="Arial" w:cs="Arial" w:eastAsia="Arial" w:hAnsi="Arial"/>
                <w:sz w:val="16"/>
                <w:szCs w:val="16"/>
                <w:b w:val="1"/>
                <w:bCs w:val="1"/>
                <w:color w:val="auto"/>
                <w:w w:val="90"/>
              </w:rPr>
              <w:t>st</w:t>
            </w:r>
            <w:r>
              <w:rPr>
                <w:rFonts w:ascii="Arial" w:cs="Arial" w:eastAsia="Arial" w:hAnsi="Arial"/>
                <w:sz w:val="20"/>
                <w:szCs w:val="20"/>
                <w:b w:val="1"/>
                <w:bCs w:val="1"/>
                <w:color w:val="auto"/>
                <w:w w:val="90"/>
              </w:rPr>
              <w:t xml:space="preserve"> Indication</w:t>
            </w:r>
          </w:p>
        </w:tc>
        <w:tc>
          <w:tcPr>
            <w:tcW w:w="1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2</w:t>
            </w:r>
            <w:r>
              <w:rPr>
                <w:rFonts w:ascii="Arial" w:cs="Arial" w:eastAsia="Arial" w:hAnsi="Arial"/>
                <w:sz w:val="16"/>
                <w:szCs w:val="16"/>
                <w:b w:val="1"/>
                <w:bCs w:val="1"/>
                <w:color w:val="auto"/>
                <w:w w:val="91"/>
              </w:rPr>
              <w:t>nd</w:t>
            </w:r>
            <w:r>
              <w:rPr>
                <w:rFonts w:ascii="Arial" w:cs="Arial" w:eastAsia="Arial" w:hAnsi="Arial"/>
                <w:sz w:val="20"/>
                <w:szCs w:val="20"/>
                <w:b w:val="1"/>
                <w:bCs w:val="1"/>
                <w:color w:val="auto"/>
                <w:w w:val="91"/>
              </w:rPr>
              <w:t xml:space="preserve"> Indication</w:t>
            </w:r>
          </w:p>
        </w:tc>
        <w:tc>
          <w:tcPr>
            <w:tcW w:w="1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3</w:t>
            </w:r>
            <w:r>
              <w:rPr>
                <w:rFonts w:ascii="Arial" w:cs="Arial" w:eastAsia="Arial" w:hAnsi="Arial"/>
                <w:sz w:val="16"/>
                <w:szCs w:val="16"/>
                <w:b w:val="1"/>
                <w:bCs w:val="1"/>
                <w:color w:val="auto"/>
                <w:w w:val="92"/>
              </w:rPr>
              <w:t>rd</w:t>
            </w:r>
            <w:r>
              <w:rPr>
                <w:rFonts w:ascii="Arial" w:cs="Arial" w:eastAsia="Arial" w:hAnsi="Arial"/>
                <w:sz w:val="20"/>
                <w:szCs w:val="20"/>
                <w:b w:val="1"/>
                <w:bCs w:val="1"/>
                <w:color w:val="auto"/>
                <w:w w:val="92"/>
              </w:rPr>
              <w:t xml:space="preserve"> Indication</w:t>
            </w:r>
          </w:p>
        </w:tc>
        <w:tc>
          <w:tcPr>
            <w:tcW w:w="3200" w:type="dxa"/>
            <w:vAlign w:val="bottom"/>
          </w:tcPr>
          <w:p>
            <w:pPr>
              <w:spacing w:after="0"/>
              <w:rPr>
                <w:sz w:val="20"/>
                <w:szCs w:val="20"/>
                <w:color w:val="auto"/>
              </w:rPr>
            </w:pPr>
          </w:p>
        </w:tc>
      </w:tr>
      <w:tr>
        <w:trPr>
          <w:trHeight w:val="216"/>
        </w:trPr>
        <w:tc>
          <w:tcPr>
            <w:tcW w:w="560" w:type="dxa"/>
            <w:vAlign w:val="bottom"/>
            <w:tcBorders>
              <w:left w:val="single" w:sz="8" w:color="auto"/>
              <w:bottom w:val="single" w:sz="8" w:color="auto"/>
              <w:right w:val="single" w:sz="8" w:color="auto"/>
            </w:tcBorders>
          </w:tcPr>
          <w:p>
            <w:pPr>
              <w:jc w:val="center"/>
              <w:ind w:right="221"/>
              <w:spacing w:after="0" w:line="216" w:lineRule="exact"/>
              <w:rPr>
                <w:sz w:val="20"/>
                <w:szCs w:val="20"/>
                <w:color w:val="auto"/>
              </w:rPr>
            </w:pPr>
            <w:r>
              <w:rPr>
                <w:rFonts w:ascii="Arial" w:cs="Arial" w:eastAsia="Arial" w:hAnsi="Arial"/>
                <w:sz w:val="20"/>
                <w:szCs w:val="20"/>
                <w:color w:val="auto"/>
                <w:w w:val="89"/>
              </w:rPr>
              <w:t>2b</w:t>
            </w:r>
          </w:p>
        </w:tc>
        <w:tc>
          <w:tcPr>
            <w:tcW w:w="3560" w:type="dxa"/>
            <w:vAlign w:val="bottom"/>
            <w:tcBorders>
              <w:bottom w:val="single" w:sz="8" w:color="auto"/>
              <w:right w:val="single" w:sz="8" w:color="auto"/>
            </w:tcBorders>
          </w:tcPr>
          <w:p>
            <w:pPr>
              <w:spacing w:after="0" w:line="216" w:lineRule="exact"/>
              <w:rPr>
                <w:sz w:val="20"/>
                <w:szCs w:val="20"/>
                <w:color w:val="auto"/>
              </w:rPr>
            </w:pPr>
            <w:r>
              <w:rPr>
                <w:rFonts w:ascii="Arial" w:cs="Arial" w:eastAsia="Arial" w:hAnsi="Arial"/>
                <w:sz w:val="20"/>
                <w:szCs w:val="20"/>
                <w:color w:val="auto"/>
              </w:rPr>
              <w:t>First IND Filing</w:t>
            </w:r>
          </w:p>
        </w:tc>
        <w:tc>
          <w:tcPr>
            <w:tcW w:w="1420" w:type="dxa"/>
            <w:vAlign w:val="bottom"/>
            <w:tcBorders>
              <w:bottom w:val="single" w:sz="8" w:color="auto"/>
              <w:right w:val="single" w:sz="8" w:color="auto"/>
            </w:tcBorders>
          </w:tcPr>
          <w:p>
            <w:pPr>
              <w:jc w:val="center"/>
              <w:spacing w:after="0" w:line="216"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right w:val="single" w:sz="8" w:color="auto"/>
            </w:tcBorders>
          </w:tcPr>
          <w:p>
            <w:pPr>
              <w:jc w:val="center"/>
              <w:spacing w:after="0" w:line="216" w:lineRule="exact"/>
              <w:rPr>
                <w:sz w:val="20"/>
                <w:szCs w:val="20"/>
                <w:color w:val="auto"/>
              </w:rPr>
            </w:pPr>
            <w:r>
              <w:rPr>
                <w:rFonts w:ascii="Arial" w:cs="Arial" w:eastAsia="Arial" w:hAnsi="Arial"/>
                <w:sz w:val="20"/>
                <w:szCs w:val="20"/>
                <w:color w:val="auto"/>
              </w:rPr>
              <w:t>[***]</w:t>
            </w:r>
          </w:p>
        </w:tc>
        <w:tc>
          <w:tcPr>
            <w:tcW w:w="1260" w:type="dxa"/>
            <w:vAlign w:val="bottom"/>
            <w:tcBorders>
              <w:bottom w:val="single" w:sz="8" w:color="auto"/>
              <w:right w:val="single" w:sz="8" w:color="auto"/>
            </w:tcBorders>
          </w:tcPr>
          <w:p>
            <w:pPr>
              <w:jc w:val="center"/>
              <w:spacing w:after="0" w:line="216" w:lineRule="exact"/>
              <w:rPr>
                <w:sz w:val="20"/>
                <w:szCs w:val="20"/>
                <w:color w:val="auto"/>
              </w:rPr>
            </w:pPr>
            <w:r>
              <w:rPr>
                <w:rFonts w:ascii="Arial" w:cs="Arial" w:eastAsia="Arial" w:hAnsi="Arial"/>
                <w:sz w:val="20"/>
                <w:szCs w:val="20"/>
                <w:color w:val="auto"/>
              </w:rPr>
              <w:t>[***]</w:t>
            </w:r>
          </w:p>
        </w:tc>
        <w:tc>
          <w:tcPr>
            <w:tcW w:w="3200" w:type="dxa"/>
            <w:vAlign w:val="bottom"/>
          </w:tcPr>
          <w:p>
            <w:pPr>
              <w:spacing w:after="0"/>
              <w:rPr>
                <w:sz w:val="18"/>
                <w:szCs w:val="18"/>
                <w:color w:val="auto"/>
              </w:rPr>
            </w:pPr>
          </w:p>
        </w:tc>
      </w:tr>
      <w:tr>
        <w:trPr>
          <w:trHeight w:val="197"/>
        </w:trPr>
        <w:tc>
          <w:tcPr>
            <w:tcW w:w="560" w:type="dxa"/>
            <w:vAlign w:val="bottom"/>
            <w:tcBorders>
              <w:left w:val="single" w:sz="8" w:color="auto"/>
              <w:right w:val="single" w:sz="8" w:color="auto"/>
            </w:tcBorders>
          </w:tcPr>
          <w:p>
            <w:pPr>
              <w:jc w:val="center"/>
              <w:ind w:right="221"/>
              <w:spacing w:after="0" w:line="197" w:lineRule="exact"/>
              <w:rPr>
                <w:sz w:val="20"/>
                <w:szCs w:val="20"/>
                <w:color w:val="auto"/>
              </w:rPr>
            </w:pPr>
            <w:r>
              <w:rPr>
                <w:rFonts w:ascii="Arial" w:cs="Arial" w:eastAsia="Arial" w:hAnsi="Arial"/>
                <w:sz w:val="20"/>
                <w:szCs w:val="20"/>
                <w:color w:val="auto"/>
                <w:w w:val="89"/>
              </w:rPr>
              <w:t>3b</w:t>
            </w:r>
          </w:p>
        </w:tc>
        <w:tc>
          <w:tcPr>
            <w:tcW w:w="3560" w:type="dxa"/>
            <w:vAlign w:val="bottom"/>
            <w:tcBorders>
              <w:right w:val="single" w:sz="8" w:color="auto"/>
            </w:tcBorders>
          </w:tcPr>
          <w:p>
            <w:pPr>
              <w:spacing w:after="0" w:line="197" w:lineRule="exact"/>
              <w:rPr>
                <w:sz w:val="20"/>
                <w:szCs w:val="20"/>
                <w:color w:val="auto"/>
              </w:rPr>
            </w:pPr>
            <w:r>
              <w:rPr>
                <w:rFonts w:ascii="Arial" w:cs="Arial" w:eastAsia="Arial" w:hAnsi="Arial"/>
                <w:sz w:val="20"/>
                <w:szCs w:val="20"/>
                <w:color w:val="auto"/>
                <w:w w:val="97"/>
              </w:rPr>
              <w:t>Dose 1</w:t>
            </w:r>
            <w:r>
              <w:rPr>
                <w:rFonts w:ascii="Arial" w:cs="Arial" w:eastAsia="Arial" w:hAnsi="Arial"/>
                <w:sz w:val="16"/>
                <w:szCs w:val="16"/>
                <w:color w:val="auto"/>
                <w:w w:val="97"/>
              </w:rPr>
              <w:t>st</w:t>
            </w:r>
            <w:r>
              <w:rPr>
                <w:rFonts w:ascii="Arial" w:cs="Arial" w:eastAsia="Arial" w:hAnsi="Arial"/>
                <w:sz w:val="20"/>
                <w:szCs w:val="20"/>
                <w:color w:val="auto"/>
                <w:w w:val="97"/>
              </w:rPr>
              <w:t xml:space="preserve"> Patient in a 1</w:t>
            </w:r>
            <w:r>
              <w:rPr>
                <w:rFonts w:ascii="Arial" w:cs="Arial" w:eastAsia="Arial" w:hAnsi="Arial"/>
                <w:sz w:val="16"/>
                <w:szCs w:val="16"/>
                <w:color w:val="auto"/>
                <w:w w:val="97"/>
              </w:rPr>
              <w:t>st</w:t>
            </w:r>
            <w:r>
              <w:rPr>
                <w:rFonts w:ascii="Arial" w:cs="Arial" w:eastAsia="Arial" w:hAnsi="Arial"/>
                <w:sz w:val="20"/>
                <w:szCs w:val="20"/>
                <w:color w:val="auto"/>
                <w:w w:val="97"/>
              </w:rPr>
              <w:t xml:space="preserve"> Phase 2 Clinical</w:t>
            </w:r>
          </w:p>
        </w:tc>
        <w:tc>
          <w:tcPr>
            <w:tcW w:w="142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20"/>
                <w:szCs w:val="20"/>
                <w:color w:val="auto"/>
              </w:rPr>
              <w:t>[***]</w:t>
            </w:r>
          </w:p>
        </w:tc>
        <w:tc>
          <w:tcPr>
            <w:tcW w:w="128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20"/>
                <w:szCs w:val="20"/>
                <w:color w:val="auto"/>
              </w:rPr>
              <w:t>[***]</w:t>
            </w:r>
          </w:p>
        </w:tc>
        <w:tc>
          <w:tcPr>
            <w:tcW w:w="126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20"/>
                <w:szCs w:val="20"/>
                <w:color w:val="auto"/>
              </w:rPr>
              <w:t>[***]</w:t>
            </w:r>
          </w:p>
        </w:tc>
        <w:tc>
          <w:tcPr>
            <w:tcW w:w="3200" w:type="dxa"/>
            <w:vAlign w:val="bottom"/>
          </w:tcPr>
          <w:p>
            <w:pPr>
              <w:spacing w:after="0"/>
              <w:rPr>
                <w:sz w:val="17"/>
                <w:szCs w:val="17"/>
                <w:color w:val="auto"/>
              </w:rPr>
            </w:pPr>
          </w:p>
        </w:tc>
      </w:tr>
      <w:tr>
        <w:trPr>
          <w:trHeight w:val="243"/>
        </w:trPr>
        <w:tc>
          <w:tcPr>
            <w:tcW w:w="560" w:type="dxa"/>
            <w:vAlign w:val="bottom"/>
            <w:tcBorders>
              <w:left w:val="single" w:sz="8" w:color="auto"/>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Trial</w:t>
            </w:r>
          </w:p>
        </w:tc>
        <w:tc>
          <w:tcPr>
            <w:tcW w:w="142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3200" w:type="dxa"/>
            <w:vAlign w:val="bottom"/>
          </w:tcPr>
          <w:p>
            <w:pPr>
              <w:spacing w:after="0"/>
              <w:rPr>
                <w:sz w:val="21"/>
                <w:szCs w:val="21"/>
                <w:color w:val="auto"/>
              </w:rPr>
            </w:pPr>
          </w:p>
        </w:tc>
      </w:tr>
      <w:tr>
        <w:trPr>
          <w:trHeight w:val="423"/>
        </w:trPr>
        <w:tc>
          <w:tcPr>
            <w:tcW w:w="560" w:type="dxa"/>
            <w:vAlign w:val="bottom"/>
          </w:tcPr>
          <w:p>
            <w:pPr>
              <w:jc w:val="center"/>
              <w:ind w:right="221"/>
              <w:spacing w:after="0"/>
              <w:rPr>
                <w:sz w:val="20"/>
                <w:szCs w:val="20"/>
                <w:color w:val="auto"/>
              </w:rPr>
            </w:pPr>
            <w:r>
              <w:rPr>
                <w:rFonts w:ascii="Arial" w:cs="Arial" w:eastAsia="Arial" w:hAnsi="Arial"/>
                <w:sz w:val="20"/>
                <w:szCs w:val="20"/>
                <w:color w:val="auto"/>
                <w:w w:val="97"/>
              </w:rPr>
              <w:t>-4-</w:t>
            </w:r>
          </w:p>
        </w:tc>
        <w:tc>
          <w:tcPr>
            <w:tcW w:w="3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94"/>
        </w:trPr>
        <w:tc>
          <w:tcPr>
            <w:tcW w:w="56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-27940</wp:posOffset>
            </wp:positionV>
            <wp:extent cx="33020"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20" w:right="29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6"/>
        </w:trPr>
        <w:tc>
          <w:tcPr>
            <w:tcW w:w="40" w:type="dxa"/>
            <w:vAlign w:val="bottom"/>
            <w:tcBorders>
              <w:right w:val="single" w:sz="8" w:color="auto"/>
            </w:tcBorders>
          </w:tcPr>
          <w:p>
            <w:pPr>
              <w:spacing w:after="0"/>
              <w:rPr>
                <w:sz w:val="20"/>
                <w:szCs w:val="20"/>
                <w:color w:val="auto"/>
              </w:rPr>
            </w:pPr>
          </w:p>
        </w:tc>
        <w:tc>
          <w:tcPr>
            <w:tcW w:w="5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color w:val="auto"/>
              </w:rPr>
              <w:t>4b</w:t>
            </w:r>
          </w:p>
        </w:tc>
        <w:tc>
          <w:tcPr>
            <w:tcW w:w="36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color w:val="auto"/>
                <w:w w:val="91"/>
              </w:rPr>
              <w:t>Dose 1</w:t>
            </w:r>
            <w:r>
              <w:rPr>
                <w:rFonts w:ascii="Arial" w:cs="Arial" w:eastAsia="Arial" w:hAnsi="Arial"/>
                <w:sz w:val="16"/>
                <w:szCs w:val="16"/>
                <w:color w:val="auto"/>
                <w:w w:val="91"/>
              </w:rPr>
              <w:t>st</w:t>
            </w:r>
            <w:r>
              <w:rPr>
                <w:rFonts w:ascii="Arial" w:cs="Arial" w:eastAsia="Arial" w:hAnsi="Arial"/>
                <w:sz w:val="20"/>
                <w:szCs w:val="20"/>
                <w:color w:val="auto"/>
                <w:w w:val="91"/>
              </w:rPr>
              <w:t xml:space="preserve"> Patient in 1</w:t>
            </w:r>
            <w:r>
              <w:rPr>
                <w:rFonts w:ascii="Arial" w:cs="Arial" w:eastAsia="Arial" w:hAnsi="Arial"/>
                <w:sz w:val="16"/>
                <w:szCs w:val="16"/>
                <w:color w:val="auto"/>
                <w:w w:val="91"/>
              </w:rPr>
              <w:t>st</w:t>
            </w:r>
            <w:r>
              <w:rPr>
                <w:rFonts w:ascii="Arial" w:cs="Arial" w:eastAsia="Arial" w:hAnsi="Arial"/>
                <w:sz w:val="20"/>
                <w:szCs w:val="20"/>
                <w:color w:val="auto"/>
                <w:w w:val="91"/>
              </w:rPr>
              <w:t xml:space="preserve"> Phase 3 Clinical Trial</w:t>
            </w:r>
          </w:p>
        </w:tc>
        <w:tc>
          <w:tcPr>
            <w:tcW w:w="1420" w:type="dxa"/>
            <w:vAlign w:val="bottom"/>
            <w:tcBorders>
              <w:top w:val="single" w:sz="8" w:color="auto"/>
              <w:bottom w:val="single" w:sz="8" w:color="auto"/>
              <w:right w:val="single" w:sz="8" w:color="auto"/>
            </w:tcBorders>
          </w:tcPr>
          <w:p>
            <w:pPr>
              <w:jc w:val="right"/>
              <w:ind w:right="421"/>
              <w:spacing w:after="0"/>
              <w:rPr>
                <w:sz w:val="20"/>
                <w:szCs w:val="20"/>
                <w:color w:val="auto"/>
              </w:rPr>
            </w:pPr>
            <w:r>
              <w:rPr>
                <w:rFonts w:ascii="Arial" w:cs="Arial" w:eastAsia="Arial" w:hAnsi="Arial"/>
                <w:sz w:val="20"/>
                <w:szCs w:val="20"/>
                <w:color w:val="auto"/>
              </w:rPr>
              <w:t>[***]</w:t>
            </w:r>
          </w:p>
        </w:tc>
        <w:tc>
          <w:tcPr>
            <w:tcW w:w="1240" w:type="dxa"/>
            <w:vAlign w:val="bottom"/>
            <w:tcBorders>
              <w:top w:val="single" w:sz="8" w:color="auto"/>
              <w:bottom w:val="single" w:sz="8" w:color="auto"/>
              <w:right w:val="single" w:sz="8" w:color="auto"/>
            </w:tcBorders>
          </w:tcPr>
          <w:p>
            <w:pPr>
              <w:jc w:val="right"/>
              <w:ind w:right="321"/>
              <w:spacing w:after="0"/>
              <w:rPr>
                <w:sz w:val="20"/>
                <w:szCs w:val="20"/>
                <w:color w:val="auto"/>
              </w:rPr>
            </w:pPr>
            <w:r>
              <w:rPr>
                <w:rFonts w:ascii="Arial" w:cs="Arial" w:eastAsia="Arial" w:hAnsi="Arial"/>
                <w:sz w:val="20"/>
                <w:szCs w:val="20"/>
                <w:color w:val="auto"/>
              </w:rPr>
              <w:t>[***]</w:t>
            </w:r>
          </w:p>
        </w:tc>
        <w:tc>
          <w:tcPr>
            <w:tcW w:w="1280" w:type="dxa"/>
            <w:vAlign w:val="bottom"/>
            <w:tcBorders>
              <w:top w:val="single" w:sz="8" w:color="auto"/>
              <w:bottom w:val="single" w:sz="8" w:color="auto"/>
              <w:right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r>
      <w:tr>
        <w:trPr>
          <w:trHeight w:val="216"/>
        </w:trPr>
        <w:tc>
          <w:tcPr>
            <w:tcW w:w="40" w:type="dxa"/>
            <w:vAlign w:val="bottom"/>
            <w:tcBorders>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line="216" w:lineRule="exact"/>
              <w:rPr>
                <w:sz w:val="20"/>
                <w:szCs w:val="20"/>
                <w:color w:val="auto"/>
              </w:rPr>
            </w:pPr>
            <w:r>
              <w:rPr>
                <w:rFonts w:ascii="Arial" w:cs="Arial" w:eastAsia="Arial" w:hAnsi="Arial"/>
                <w:sz w:val="20"/>
                <w:szCs w:val="20"/>
                <w:color w:val="auto"/>
              </w:rPr>
              <w:t>5b</w:t>
            </w:r>
          </w:p>
        </w:tc>
        <w:tc>
          <w:tcPr>
            <w:tcW w:w="3600" w:type="dxa"/>
            <w:vAlign w:val="bottom"/>
            <w:tcBorders>
              <w:bottom w:val="single" w:sz="8" w:color="auto"/>
              <w:right w:val="single" w:sz="8" w:color="auto"/>
            </w:tcBorders>
          </w:tcPr>
          <w:p>
            <w:pPr>
              <w:spacing w:after="0" w:line="216" w:lineRule="exact"/>
              <w:rPr>
                <w:sz w:val="20"/>
                <w:szCs w:val="20"/>
                <w:color w:val="auto"/>
              </w:rPr>
            </w:pPr>
            <w:r>
              <w:rPr>
                <w:rFonts w:ascii="Arial" w:cs="Arial" w:eastAsia="Arial" w:hAnsi="Arial"/>
                <w:sz w:val="20"/>
                <w:szCs w:val="20"/>
                <w:color w:val="auto"/>
              </w:rPr>
              <w:t>BLA Filing in US</w:t>
            </w:r>
          </w:p>
        </w:tc>
        <w:tc>
          <w:tcPr>
            <w:tcW w:w="1420" w:type="dxa"/>
            <w:vAlign w:val="bottom"/>
            <w:tcBorders>
              <w:bottom w:val="single" w:sz="8" w:color="auto"/>
              <w:right w:val="single" w:sz="8" w:color="auto"/>
            </w:tcBorders>
          </w:tcPr>
          <w:p>
            <w:pPr>
              <w:jc w:val="right"/>
              <w:ind w:right="421"/>
              <w:spacing w:after="0" w:line="216" w:lineRule="exact"/>
              <w:rPr>
                <w:sz w:val="20"/>
                <w:szCs w:val="20"/>
                <w:color w:val="auto"/>
              </w:rPr>
            </w:pPr>
            <w:r>
              <w:rPr>
                <w:rFonts w:ascii="Arial" w:cs="Arial" w:eastAsia="Arial" w:hAnsi="Arial"/>
                <w:sz w:val="20"/>
                <w:szCs w:val="20"/>
                <w:color w:val="auto"/>
              </w:rPr>
              <w:t>[***]</w:t>
            </w:r>
          </w:p>
        </w:tc>
        <w:tc>
          <w:tcPr>
            <w:tcW w:w="1240" w:type="dxa"/>
            <w:vAlign w:val="bottom"/>
            <w:tcBorders>
              <w:bottom w:val="single" w:sz="8" w:color="auto"/>
              <w:right w:val="single" w:sz="8" w:color="auto"/>
            </w:tcBorders>
          </w:tcPr>
          <w:p>
            <w:pPr>
              <w:jc w:val="right"/>
              <w:ind w:right="321"/>
              <w:spacing w:after="0" w:line="216"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right w:val="single" w:sz="8" w:color="auto"/>
            </w:tcBorders>
          </w:tcPr>
          <w:p>
            <w:pPr>
              <w:jc w:val="right"/>
              <w:ind w:right="341"/>
              <w:spacing w:after="0" w:line="216" w:lineRule="exact"/>
              <w:rPr>
                <w:sz w:val="20"/>
                <w:szCs w:val="20"/>
                <w:color w:val="auto"/>
              </w:rPr>
            </w:pPr>
            <w:r>
              <w:rPr>
                <w:rFonts w:ascii="Arial" w:cs="Arial" w:eastAsia="Arial" w:hAnsi="Arial"/>
                <w:sz w:val="20"/>
                <w:szCs w:val="20"/>
                <w:color w:val="auto"/>
              </w:rPr>
              <w:t>[***]</w:t>
            </w:r>
          </w:p>
        </w:tc>
      </w:tr>
      <w:tr>
        <w:trPr>
          <w:trHeight w:val="216"/>
        </w:trPr>
        <w:tc>
          <w:tcPr>
            <w:tcW w:w="40" w:type="dxa"/>
            <w:vAlign w:val="bottom"/>
            <w:tcBorders>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line="216" w:lineRule="exact"/>
              <w:rPr>
                <w:sz w:val="20"/>
                <w:szCs w:val="20"/>
                <w:color w:val="auto"/>
              </w:rPr>
            </w:pPr>
            <w:r>
              <w:rPr>
                <w:rFonts w:ascii="Arial" w:cs="Arial" w:eastAsia="Arial" w:hAnsi="Arial"/>
                <w:sz w:val="20"/>
                <w:szCs w:val="20"/>
                <w:color w:val="auto"/>
              </w:rPr>
              <w:t>6b</w:t>
            </w:r>
          </w:p>
        </w:tc>
        <w:tc>
          <w:tcPr>
            <w:tcW w:w="3600" w:type="dxa"/>
            <w:vAlign w:val="bottom"/>
            <w:tcBorders>
              <w:bottom w:val="single" w:sz="8" w:color="auto"/>
              <w:right w:val="single" w:sz="8" w:color="auto"/>
            </w:tcBorders>
          </w:tcPr>
          <w:p>
            <w:pPr>
              <w:spacing w:after="0" w:line="216" w:lineRule="exact"/>
              <w:rPr>
                <w:sz w:val="20"/>
                <w:szCs w:val="20"/>
                <w:color w:val="auto"/>
              </w:rPr>
            </w:pPr>
            <w:r>
              <w:rPr>
                <w:rFonts w:ascii="Arial" w:cs="Arial" w:eastAsia="Arial" w:hAnsi="Arial"/>
                <w:sz w:val="20"/>
                <w:szCs w:val="20"/>
                <w:color w:val="auto"/>
              </w:rPr>
              <w:t>MAA Filing</w:t>
            </w:r>
          </w:p>
        </w:tc>
        <w:tc>
          <w:tcPr>
            <w:tcW w:w="1420" w:type="dxa"/>
            <w:vAlign w:val="bottom"/>
            <w:tcBorders>
              <w:bottom w:val="single" w:sz="8" w:color="auto"/>
              <w:right w:val="single" w:sz="8" w:color="auto"/>
            </w:tcBorders>
          </w:tcPr>
          <w:p>
            <w:pPr>
              <w:jc w:val="right"/>
              <w:ind w:right="421"/>
              <w:spacing w:after="0" w:line="216" w:lineRule="exact"/>
              <w:rPr>
                <w:sz w:val="20"/>
                <w:szCs w:val="20"/>
                <w:color w:val="auto"/>
              </w:rPr>
            </w:pPr>
            <w:r>
              <w:rPr>
                <w:rFonts w:ascii="Arial" w:cs="Arial" w:eastAsia="Arial" w:hAnsi="Arial"/>
                <w:sz w:val="20"/>
                <w:szCs w:val="20"/>
                <w:color w:val="auto"/>
              </w:rPr>
              <w:t>[***]</w:t>
            </w:r>
          </w:p>
        </w:tc>
        <w:tc>
          <w:tcPr>
            <w:tcW w:w="1240" w:type="dxa"/>
            <w:vAlign w:val="bottom"/>
            <w:tcBorders>
              <w:bottom w:val="single" w:sz="8" w:color="auto"/>
              <w:right w:val="single" w:sz="8" w:color="auto"/>
            </w:tcBorders>
          </w:tcPr>
          <w:p>
            <w:pPr>
              <w:jc w:val="right"/>
              <w:ind w:right="321"/>
              <w:spacing w:after="0" w:line="216"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right w:val="single" w:sz="8" w:color="auto"/>
            </w:tcBorders>
          </w:tcPr>
          <w:p>
            <w:pPr>
              <w:jc w:val="right"/>
              <w:ind w:right="341"/>
              <w:spacing w:after="0" w:line="216" w:lineRule="exact"/>
              <w:rPr>
                <w:sz w:val="20"/>
                <w:szCs w:val="20"/>
                <w:color w:val="auto"/>
              </w:rPr>
            </w:pPr>
            <w:r>
              <w:rPr>
                <w:rFonts w:ascii="Arial" w:cs="Arial" w:eastAsia="Arial" w:hAnsi="Arial"/>
                <w:sz w:val="20"/>
                <w:szCs w:val="20"/>
                <w:color w:val="auto"/>
              </w:rPr>
              <w:t>[***]</w:t>
            </w:r>
          </w:p>
        </w:tc>
      </w:tr>
      <w:tr>
        <w:trPr>
          <w:trHeight w:val="216"/>
        </w:trPr>
        <w:tc>
          <w:tcPr>
            <w:tcW w:w="40" w:type="dxa"/>
            <w:vAlign w:val="bottom"/>
            <w:tcBorders>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line="216" w:lineRule="exact"/>
              <w:rPr>
                <w:sz w:val="20"/>
                <w:szCs w:val="20"/>
                <w:color w:val="auto"/>
              </w:rPr>
            </w:pPr>
            <w:r>
              <w:rPr>
                <w:rFonts w:ascii="Arial" w:cs="Arial" w:eastAsia="Arial" w:hAnsi="Arial"/>
                <w:sz w:val="20"/>
                <w:szCs w:val="20"/>
                <w:color w:val="auto"/>
              </w:rPr>
              <w:t>7b</w:t>
            </w:r>
          </w:p>
        </w:tc>
        <w:tc>
          <w:tcPr>
            <w:tcW w:w="3600" w:type="dxa"/>
            <w:vAlign w:val="bottom"/>
            <w:tcBorders>
              <w:bottom w:val="single" w:sz="8" w:color="auto"/>
              <w:right w:val="single" w:sz="8" w:color="auto"/>
            </w:tcBorders>
          </w:tcPr>
          <w:p>
            <w:pPr>
              <w:spacing w:after="0" w:line="216" w:lineRule="exact"/>
              <w:rPr>
                <w:sz w:val="20"/>
                <w:szCs w:val="20"/>
                <w:color w:val="auto"/>
              </w:rPr>
            </w:pPr>
            <w:r>
              <w:rPr>
                <w:rFonts w:ascii="Arial" w:cs="Arial" w:eastAsia="Arial" w:hAnsi="Arial"/>
                <w:sz w:val="20"/>
                <w:szCs w:val="20"/>
                <w:color w:val="auto"/>
              </w:rPr>
              <w:t>BLA Filing in Japan</w:t>
            </w:r>
          </w:p>
        </w:tc>
        <w:tc>
          <w:tcPr>
            <w:tcW w:w="1420" w:type="dxa"/>
            <w:vAlign w:val="bottom"/>
            <w:tcBorders>
              <w:bottom w:val="single" w:sz="8" w:color="auto"/>
              <w:right w:val="single" w:sz="8" w:color="auto"/>
            </w:tcBorders>
          </w:tcPr>
          <w:p>
            <w:pPr>
              <w:jc w:val="right"/>
              <w:ind w:right="421"/>
              <w:spacing w:after="0" w:line="216" w:lineRule="exact"/>
              <w:rPr>
                <w:sz w:val="20"/>
                <w:szCs w:val="20"/>
                <w:color w:val="auto"/>
              </w:rPr>
            </w:pPr>
            <w:r>
              <w:rPr>
                <w:rFonts w:ascii="Arial" w:cs="Arial" w:eastAsia="Arial" w:hAnsi="Arial"/>
                <w:sz w:val="20"/>
                <w:szCs w:val="20"/>
                <w:color w:val="auto"/>
              </w:rPr>
              <w:t>[***]</w:t>
            </w:r>
          </w:p>
        </w:tc>
        <w:tc>
          <w:tcPr>
            <w:tcW w:w="1240" w:type="dxa"/>
            <w:vAlign w:val="bottom"/>
            <w:tcBorders>
              <w:bottom w:val="single" w:sz="8" w:color="auto"/>
              <w:right w:val="single" w:sz="8" w:color="auto"/>
            </w:tcBorders>
          </w:tcPr>
          <w:p>
            <w:pPr>
              <w:jc w:val="right"/>
              <w:ind w:right="321"/>
              <w:spacing w:after="0" w:line="216"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right w:val="single" w:sz="8" w:color="auto"/>
            </w:tcBorders>
          </w:tcPr>
          <w:p>
            <w:pPr>
              <w:jc w:val="right"/>
              <w:ind w:right="341"/>
              <w:spacing w:after="0" w:line="216" w:lineRule="exact"/>
              <w:rPr>
                <w:sz w:val="20"/>
                <w:szCs w:val="20"/>
                <w:color w:val="auto"/>
              </w:rPr>
            </w:pPr>
            <w:r>
              <w:rPr>
                <w:rFonts w:ascii="Arial" w:cs="Arial" w:eastAsia="Arial" w:hAnsi="Arial"/>
                <w:sz w:val="20"/>
                <w:szCs w:val="20"/>
                <w:color w:val="auto"/>
              </w:rPr>
              <w:t>[***]</w:t>
            </w:r>
          </w:p>
        </w:tc>
      </w:tr>
      <w:tr>
        <w:trPr>
          <w:trHeight w:val="216"/>
        </w:trPr>
        <w:tc>
          <w:tcPr>
            <w:tcW w:w="40" w:type="dxa"/>
            <w:vAlign w:val="bottom"/>
            <w:tcBorders>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line="216" w:lineRule="exact"/>
              <w:rPr>
                <w:sz w:val="20"/>
                <w:szCs w:val="20"/>
                <w:color w:val="auto"/>
              </w:rPr>
            </w:pPr>
            <w:r>
              <w:rPr>
                <w:rFonts w:ascii="Arial" w:cs="Arial" w:eastAsia="Arial" w:hAnsi="Arial"/>
                <w:sz w:val="20"/>
                <w:szCs w:val="20"/>
                <w:color w:val="auto"/>
              </w:rPr>
              <w:t>8b</w:t>
            </w:r>
          </w:p>
        </w:tc>
        <w:tc>
          <w:tcPr>
            <w:tcW w:w="3600" w:type="dxa"/>
            <w:vAlign w:val="bottom"/>
            <w:tcBorders>
              <w:bottom w:val="single" w:sz="8" w:color="auto"/>
              <w:right w:val="single" w:sz="8" w:color="auto"/>
            </w:tcBorders>
          </w:tcPr>
          <w:p>
            <w:pPr>
              <w:spacing w:after="0" w:line="216" w:lineRule="exact"/>
              <w:rPr>
                <w:sz w:val="20"/>
                <w:szCs w:val="20"/>
                <w:color w:val="auto"/>
              </w:rPr>
            </w:pPr>
            <w:r>
              <w:rPr>
                <w:rFonts w:ascii="Arial" w:cs="Arial" w:eastAsia="Arial" w:hAnsi="Arial"/>
                <w:sz w:val="20"/>
                <w:szCs w:val="20"/>
                <w:color w:val="auto"/>
              </w:rPr>
              <w:t>First Commercial Sale in US</w:t>
            </w:r>
          </w:p>
        </w:tc>
        <w:tc>
          <w:tcPr>
            <w:tcW w:w="1420" w:type="dxa"/>
            <w:vAlign w:val="bottom"/>
            <w:tcBorders>
              <w:bottom w:val="single" w:sz="8" w:color="auto"/>
              <w:right w:val="single" w:sz="8" w:color="auto"/>
            </w:tcBorders>
          </w:tcPr>
          <w:p>
            <w:pPr>
              <w:jc w:val="right"/>
              <w:ind w:right="421"/>
              <w:spacing w:after="0" w:line="216" w:lineRule="exact"/>
              <w:rPr>
                <w:sz w:val="20"/>
                <w:szCs w:val="20"/>
                <w:color w:val="auto"/>
              </w:rPr>
            </w:pPr>
            <w:r>
              <w:rPr>
                <w:rFonts w:ascii="Arial" w:cs="Arial" w:eastAsia="Arial" w:hAnsi="Arial"/>
                <w:sz w:val="20"/>
                <w:szCs w:val="20"/>
                <w:color w:val="auto"/>
              </w:rPr>
              <w:t>[***]</w:t>
            </w:r>
          </w:p>
        </w:tc>
        <w:tc>
          <w:tcPr>
            <w:tcW w:w="1240" w:type="dxa"/>
            <w:vAlign w:val="bottom"/>
            <w:tcBorders>
              <w:bottom w:val="single" w:sz="8" w:color="auto"/>
              <w:right w:val="single" w:sz="8" w:color="auto"/>
            </w:tcBorders>
          </w:tcPr>
          <w:p>
            <w:pPr>
              <w:jc w:val="right"/>
              <w:ind w:right="321"/>
              <w:spacing w:after="0" w:line="216"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right w:val="single" w:sz="8" w:color="auto"/>
            </w:tcBorders>
          </w:tcPr>
          <w:p>
            <w:pPr>
              <w:jc w:val="right"/>
              <w:ind w:right="341"/>
              <w:spacing w:after="0" w:line="216" w:lineRule="exact"/>
              <w:rPr>
                <w:sz w:val="20"/>
                <w:szCs w:val="20"/>
                <w:color w:val="auto"/>
              </w:rPr>
            </w:pPr>
            <w:r>
              <w:rPr>
                <w:rFonts w:ascii="Arial" w:cs="Arial" w:eastAsia="Arial" w:hAnsi="Arial"/>
                <w:sz w:val="20"/>
                <w:szCs w:val="20"/>
                <w:color w:val="auto"/>
              </w:rPr>
              <w:t>[***]</w:t>
            </w:r>
          </w:p>
        </w:tc>
      </w:tr>
      <w:tr>
        <w:trPr>
          <w:trHeight w:val="216"/>
        </w:trPr>
        <w:tc>
          <w:tcPr>
            <w:tcW w:w="40" w:type="dxa"/>
            <w:vAlign w:val="bottom"/>
            <w:tcBorders>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line="216" w:lineRule="exact"/>
              <w:rPr>
                <w:sz w:val="20"/>
                <w:szCs w:val="20"/>
                <w:color w:val="auto"/>
              </w:rPr>
            </w:pPr>
            <w:r>
              <w:rPr>
                <w:rFonts w:ascii="Arial" w:cs="Arial" w:eastAsia="Arial" w:hAnsi="Arial"/>
                <w:sz w:val="20"/>
                <w:szCs w:val="20"/>
                <w:color w:val="auto"/>
              </w:rPr>
              <w:t>9b</w:t>
            </w:r>
          </w:p>
        </w:tc>
        <w:tc>
          <w:tcPr>
            <w:tcW w:w="3600" w:type="dxa"/>
            <w:vAlign w:val="bottom"/>
            <w:tcBorders>
              <w:bottom w:val="single" w:sz="8" w:color="auto"/>
              <w:right w:val="single" w:sz="8" w:color="auto"/>
            </w:tcBorders>
          </w:tcPr>
          <w:p>
            <w:pPr>
              <w:spacing w:after="0" w:line="216" w:lineRule="exact"/>
              <w:rPr>
                <w:sz w:val="20"/>
                <w:szCs w:val="20"/>
                <w:color w:val="auto"/>
              </w:rPr>
            </w:pPr>
            <w:r>
              <w:rPr>
                <w:rFonts w:ascii="Arial" w:cs="Arial" w:eastAsia="Arial" w:hAnsi="Arial"/>
                <w:sz w:val="20"/>
                <w:szCs w:val="20"/>
                <w:color w:val="auto"/>
              </w:rPr>
              <w:t>First Commercial Sale in EU</w:t>
            </w:r>
          </w:p>
        </w:tc>
        <w:tc>
          <w:tcPr>
            <w:tcW w:w="1420" w:type="dxa"/>
            <w:vAlign w:val="bottom"/>
            <w:tcBorders>
              <w:bottom w:val="single" w:sz="8" w:color="auto"/>
              <w:right w:val="single" w:sz="8" w:color="auto"/>
            </w:tcBorders>
          </w:tcPr>
          <w:p>
            <w:pPr>
              <w:jc w:val="right"/>
              <w:ind w:right="421"/>
              <w:spacing w:after="0" w:line="216" w:lineRule="exact"/>
              <w:rPr>
                <w:sz w:val="20"/>
                <w:szCs w:val="20"/>
                <w:color w:val="auto"/>
              </w:rPr>
            </w:pPr>
            <w:r>
              <w:rPr>
                <w:rFonts w:ascii="Arial" w:cs="Arial" w:eastAsia="Arial" w:hAnsi="Arial"/>
                <w:sz w:val="20"/>
                <w:szCs w:val="20"/>
                <w:color w:val="auto"/>
              </w:rPr>
              <w:t>[***]</w:t>
            </w:r>
          </w:p>
        </w:tc>
        <w:tc>
          <w:tcPr>
            <w:tcW w:w="1240" w:type="dxa"/>
            <w:vAlign w:val="bottom"/>
            <w:tcBorders>
              <w:bottom w:val="single" w:sz="8" w:color="auto"/>
              <w:right w:val="single" w:sz="8" w:color="auto"/>
            </w:tcBorders>
          </w:tcPr>
          <w:p>
            <w:pPr>
              <w:jc w:val="right"/>
              <w:ind w:right="321"/>
              <w:spacing w:after="0" w:line="216"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right w:val="single" w:sz="8" w:color="auto"/>
            </w:tcBorders>
          </w:tcPr>
          <w:p>
            <w:pPr>
              <w:jc w:val="right"/>
              <w:ind w:right="341"/>
              <w:spacing w:after="0" w:line="216" w:lineRule="exact"/>
              <w:rPr>
                <w:sz w:val="20"/>
                <w:szCs w:val="20"/>
                <w:color w:val="auto"/>
              </w:rPr>
            </w:pPr>
            <w:r>
              <w:rPr>
                <w:rFonts w:ascii="Arial" w:cs="Arial" w:eastAsia="Arial" w:hAnsi="Arial"/>
                <w:sz w:val="20"/>
                <w:szCs w:val="20"/>
                <w:color w:val="auto"/>
              </w:rPr>
              <w:t>[***]</w:t>
            </w:r>
          </w:p>
        </w:tc>
      </w:tr>
      <w:tr>
        <w:trPr>
          <w:trHeight w:val="221"/>
        </w:trPr>
        <w:tc>
          <w:tcPr>
            <w:tcW w:w="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line="216" w:lineRule="exact"/>
              <w:rPr>
                <w:sz w:val="20"/>
                <w:szCs w:val="20"/>
                <w:color w:val="auto"/>
              </w:rPr>
            </w:pPr>
            <w:r>
              <w:rPr>
                <w:rFonts w:ascii="Arial" w:cs="Arial" w:eastAsia="Arial" w:hAnsi="Arial"/>
                <w:sz w:val="20"/>
                <w:szCs w:val="20"/>
                <w:color w:val="auto"/>
              </w:rPr>
              <w:t>10b</w:t>
            </w:r>
          </w:p>
        </w:tc>
        <w:tc>
          <w:tcPr>
            <w:tcW w:w="3600" w:type="dxa"/>
            <w:vAlign w:val="bottom"/>
            <w:tcBorders>
              <w:bottom w:val="single" w:sz="8" w:color="auto"/>
              <w:right w:val="single" w:sz="8" w:color="auto"/>
            </w:tcBorders>
          </w:tcPr>
          <w:p>
            <w:pPr>
              <w:spacing w:after="0" w:line="216" w:lineRule="exact"/>
              <w:rPr>
                <w:sz w:val="20"/>
                <w:szCs w:val="20"/>
                <w:color w:val="auto"/>
              </w:rPr>
            </w:pPr>
            <w:r>
              <w:rPr>
                <w:rFonts w:ascii="Arial" w:cs="Arial" w:eastAsia="Arial" w:hAnsi="Arial"/>
                <w:sz w:val="20"/>
                <w:szCs w:val="20"/>
                <w:color w:val="auto"/>
              </w:rPr>
              <w:t>First Commercial Sale in Japan</w:t>
            </w:r>
          </w:p>
        </w:tc>
        <w:tc>
          <w:tcPr>
            <w:tcW w:w="1420" w:type="dxa"/>
            <w:vAlign w:val="bottom"/>
            <w:tcBorders>
              <w:bottom w:val="single" w:sz="8" w:color="auto"/>
              <w:right w:val="single" w:sz="8" w:color="auto"/>
            </w:tcBorders>
          </w:tcPr>
          <w:p>
            <w:pPr>
              <w:jc w:val="right"/>
              <w:ind w:right="421"/>
              <w:spacing w:after="0" w:line="216" w:lineRule="exact"/>
              <w:rPr>
                <w:sz w:val="20"/>
                <w:szCs w:val="20"/>
                <w:color w:val="auto"/>
              </w:rPr>
            </w:pPr>
            <w:r>
              <w:rPr>
                <w:rFonts w:ascii="Arial" w:cs="Arial" w:eastAsia="Arial" w:hAnsi="Arial"/>
                <w:sz w:val="20"/>
                <w:szCs w:val="20"/>
                <w:color w:val="auto"/>
              </w:rPr>
              <w:t>[***]</w:t>
            </w:r>
          </w:p>
        </w:tc>
        <w:tc>
          <w:tcPr>
            <w:tcW w:w="1240" w:type="dxa"/>
            <w:vAlign w:val="bottom"/>
            <w:tcBorders>
              <w:bottom w:val="single" w:sz="8" w:color="auto"/>
              <w:right w:val="single" w:sz="8" w:color="auto"/>
            </w:tcBorders>
          </w:tcPr>
          <w:p>
            <w:pPr>
              <w:jc w:val="right"/>
              <w:ind w:right="321"/>
              <w:spacing w:after="0" w:line="216"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right w:val="single" w:sz="8" w:color="auto"/>
            </w:tcBorders>
          </w:tcPr>
          <w:p>
            <w:pPr>
              <w:jc w:val="right"/>
              <w:ind w:right="341"/>
              <w:spacing w:after="0" w:line="216" w:lineRule="exact"/>
              <w:rPr>
                <w:sz w:val="20"/>
                <w:szCs w:val="20"/>
                <w:color w:val="auto"/>
              </w:rPr>
            </w:pPr>
            <w:r>
              <w:rPr>
                <w:rFonts w:ascii="Arial" w:cs="Arial" w:eastAsia="Arial" w:hAnsi="Arial"/>
                <w:sz w:val="20"/>
                <w:szCs w:val="20"/>
                <w:color w:val="auto"/>
              </w:rPr>
              <w:t>[***]</w:t>
            </w:r>
          </w:p>
        </w:tc>
      </w:tr>
      <w:tr>
        <w:trPr>
          <w:trHeight w:val="198"/>
        </w:trPr>
        <w:tc>
          <w:tcPr>
            <w:tcW w:w="40" w:type="dxa"/>
            <w:vAlign w:val="bottom"/>
            <w:tcBorders>
              <w:right w:val="single" w:sz="8" w:color="auto"/>
            </w:tcBorders>
            <w:shd w:val="clear" w:color="auto" w:fill="000000"/>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600" w:type="dxa"/>
            <w:vAlign w:val="bottom"/>
            <w:tcBorders>
              <w:right w:val="single" w:sz="8" w:color="auto"/>
            </w:tcBorders>
          </w:tcPr>
          <w:p>
            <w:pPr>
              <w:spacing w:after="0" w:line="198" w:lineRule="exact"/>
              <w:rPr>
                <w:sz w:val="20"/>
                <w:szCs w:val="20"/>
                <w:color w:val="auto"/>
              </w:rPr>
            </w:pPr>
            <w:r>
              <w:rPr>
                <w:rFonts w:ascii="Arial" w:cs="Arial" w:eastAsia="Arial" w:hAnsi="Arial"/>
                <w:sz w:val="20"/>
                <w:szCs w:val="20"/>
                <w:b w:val="1"/>
                <w:bCs w:val="1"/>
                <w:color w:val="auto"/>
                <w:w w:val="92"/>
              </w:rPr>
              <w:t>Total milestone payments per Extension</w:t>
            </w:r>
          </w:p>
        </w:tc>
        <w:tc>
          <w:tcPr>
            <w:tcW w:w="1420" w:type="dxa"/>
            <w:vAlign w:val="bottom"/>
            <w:tcBorders>
              <w:right w:val="single" w:sz="8" w:color="auto"/>
            </w:tcBorders>
          </w:tcPr>
          <w:p>
            <w:pPr>
              <w:jc w:val="right"/>
              <w:ind w:right="421"/>
              <w:spacing w:after="0" w:line="198" w:lineRule="exact"/>
              <w:rPr>
                <w:sz w:val="20"/>
                <w:szCs w:val="20"/>
                <w:color w:val="auto"/>
              </w:rPr>
            </w:pPr>
            <w:r>
              <w:rPr>
                <w:rFonts w:ascii="Arial" w:cs="Arial" w:eastAsia="Arial" w:hAnsi="Arial"/>
                <w:sz w:val="20"/>
                <w:szCs w:val="20"/>
                <w:color w:val="auto"/>
              </w:rPr>
              <w:t>[***]</w:t>
            </w:r>
          </w:p>
        </w:tc>
        <w:tc>
          <w:tcPr>
            <w:tcW w:w="1240" w:type="dxa"/>
            <w:vAlign w:val="bottom"/>
            <w:tcBorders>
              <w:right w:val="single" w:sz="8" w:color="auto"/>
            </w:tcBorders>
          </w:tcPr>
          <w:p>
            <w:pPr>
              <w:jc w:val="right"/>
              <w:ind w:right="321"/>
              <w:spacing w:after="0" w:line="198" w:lineRule="exact"/>
              <w:rPr>
                <w:sz w:val="20"/>
                <w:szCs w:val="20"/>
                <w:color w:val="auto"/>
              </w:rPr>
            </w:pPr>
            <w:r>
              <w:rPr>
                <w:rFonts w:ascii="Arial" w:cs="Arial" w:eastAsia="Arial" w:hAnsi="Arial"/>
                <w:sz w:val="20"/>
                <w:szCs w:val="20"/>
                <w:color w:val="auto"/>
              </w:rPr>
              <w:t>[***]</w:t>
            </w:r>
          </w:p>
        </w:tc>
        <w:tc>
          <w:tcPr>
            <w:tcW w:w="1280" w:type="dxa"/>
            <w:vAlign w:val="bottom"/>
            <w:tcBorders>
              <w:right w:val="single" w:sz="8" w:color="auto"/>
            </w:tcBorders>
          </w:tcPr>
          <w:p>
            <w:pPr>
              <w:jc w:val="right"/>
              <w:ind w:right="341"/>
              <w:spacing w:after="0" w:line="198" w:lineRule="exact"/>
              <w:rPr>
                <w:sz w:val="20"/>
                <w:szCs w:val="20"/>
                <w:color w:val="auto"/>
              </w:rPr>
            </w:pPr>
            <w:r>
              <w:rPr>
                <w:rFonts w:ascii="Arial" w:cs="Arial" w:eastAsia="Arial" w:hAnsi="Arial"/>
                <w:sz w:val="20"/>
                <w:szCs w:val="20"/>
                <w:color w:val="auto"/>
              </w:rPr>
              <w:t>[***]</w:t>
            </w:r>
          </w:p>
        </w:tc>
      </w:tr>
      <w:tr>
        <w:trPr>
          <w:trHeight w:val="254"/>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520" w:type="dxa"/>
            <w:vAlign w:val="bottom"/>
            <w:tcBorders>
              <w:bottom w:val="single" w:sz="8" w:color="auto"/>
              <w:right w:val="single" w:sz="8" w:color="auto"/>
            </w:tcBorders>
          </w:tcPr>
          <w:p>
            <w:pPr>
              <w:spacing w:after="0"/>
              <w:rPr>
                <w:sz w:val="22"/>
                <w:szCs w:val="22"/>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b w:val="1"/>
                <w:bCs w:val="1"/>
                <w:color w:val="auto"/>
              </w:rPr>
              <w:t>Target for 1</w:t>
            </w:r>
            <w:r>
              <w:rPr>
                <w:rFonts w:ascii="Arial" w:cs="Arial" w:eastAsia="Arial" w:hAnsi="Arial"/>
                <w:sz w:val="16"/>
                <w:szCs w:val="16"/>
                <w:b w:val="1"/>
                <w:bCs w:val="1"/>
                <w:color w:val="auto"/>
              </w:rPr>
              <w:t>st</w:t>
            </w:r>
            <w:r>
              <w:rPr>
                <w:rFonts w:ascii="Arial" w:cs="Arial" w:eastAsia="Arial" w:hAnsi="Arial"/>
                <w:sz w:val="20"/>
                <w:szCs w:val="20"/>
                <w:b w:val="1"/>
                <w:bCs w:val="1"/>
                <w:color w:val="auto"/>
              </w:rPr>
              <w:t xml:space="preserve"> Modality</w:t>
            </w:r>
          </w:p>
        </w:tc>
        <w:tc>
          <w:tcPr>
            <w:tcW w:w="14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spacing w:after="0"/>
              <w:rPr>
                <w:sz w:val="22"/>
                <w:szCs w:val="22"/>
                <w:color w:val="auto"/>
              </w:rPr>
            </w:pPr>
          </w:p>
        </w:tc>
      </w:tr>
    </w:tbl>
    <w:p>
      <w:pPr>
        <w:spacing w:after="0" w:line="173" w:lineRule="exact"/>
        <w:rPr>
          <w:sz w:val="20"/>
          <w:szCs w:val="20"/>
          <w:color w:val="auto"/>
        </w:rPr>
      </w:pPr>
    </w:p>
    <w:p>
      <w:pPr>
        <w:ind w:left="840" w:hanging="411"/>
        <w:spacing w:after="0"/>
        <w:tabs>
          <w:tab w:leader="none" w:pos="840" w:val="left"/>
        </w:tabs>
        <w:numPr>
          <w:ilvl w:val="0"/>
          <w:numId w:val="47"/>
        </w:numPr>
        <w:rPr>
          <w:rFonts w:ascii="Arial" w:cs="Arial" w:eastAsia="Arial" w:hAnsi="Arial"/>
          <w:sz w:val="20"/>
          <w:szCs w:val="20"/>
          <w:color w:val="auto"/>
        </w:rPr>
      </w:pPr>
      <w:r>
        <w:rPr>
          <w:rFonts w:ascii="Arial" w:cs="Arial" w:eastAsia="Arial" w:hAnsi="Arial"/>
          <w:sz w:val="20"/>
          <w:szCs w:val="20"/>
          <w:b w:val="1"/>
          <w:bCs w:val="1"/>
          <w:color w:val="auto"/>
        </w:rPr>
        <w:t xml:space="preserve">Representations and Warranties. </w:t>
      </w:r>
      <w:r>
        <w:rPr>
          <w:rFonts w:ascii="Arial" w:cs="Arial" w:eastAsia="Arial" w:hAnsi="Arial"/>
          <w:sz w:val="20"/>
          <w:szCs w:val="20"/>
          <w:color w:val="auto"/>
        </w:rPr>
        <w:t>Section 14.1(f) is hereby deleted in its entirety and replaced with the following:</w:t>
      </w:r>
    </w:p>
    <w:p>
      <w:pPr>
        <w:spacing w:after="0" w:line="15" w:lineRule="exact"/>
        <w:rPr>
          <w:rFonts w:ascii="Arial" w:cs="Arial" w:eastAsia="Arial" w:hAnsi="Arial"/>
          <w:sz w:val="20"/>
          <w:szCs w:val="20"/>
          <w:color w:val="auto"/>
        </w:rPr>
      </w:pPr>
    </w:p>
    <w:p>
      <w:pPr>
        <w:ind w:left="1640" w:hanging="787"/>
        <w:spacing w:after="0"/>
        <w:tabs>
          <w:tab w:leader="none" w:pos="1640" w:val="left"/>
        </w:tabs>
        <w:numPr>
          <w:ilvl w:val="1"/>
          <w:numId w:val="47"/>
        </w:numPr>
        <w:rPr>
          <w:rFonts w:ascii="Arial" w:cs="Arial" w:eastAsia="Arial" w:hAnsi="Arial"/>
          <w:sz w:val="20"/>
          <w:szCs w:val="20"/>
          <w:color w:val="auto"/>
        </w:rPr>
      </w:pPr>
      <w:r>
        <w:rPr>
          <w:rFonts w:ascii="Arial" w:cs="Arial" w:eastAsia="Arial" w:hAnsi="Arial"/>
          <w:sz w:val="20"/>
          <w:szCs w:val="20"/>
          <w:color w:val="auto"/>
        </w:rPr>
        <w:t>to each Party’s knowledge, as of the Amendment No 2 Effective Date, it is not in breach of the Agreement.</w:t>
      </w:r>
    </w:p>
    <w:p>
      <w:pPr>
        <w:spacing w:after="0" w:line="170" w:lineRule="exact"/>
        <w:rPr>
          <w:rFonts w:ascii="Arial" w:cs="Arial" w:eastAsia="Arial" w:hAnsi="Arial"/>
          <w:sz w:val="20"/>
          <w:szCs w:val="20"/>
          <w:color w:val="auto"/>
        </w:rPr>
      </w:pPr>
    </w:p>
    <w:p>
      <w:pPr>
        <w:ind w:left="840" w:hanging="411"/>
        <w:spacing w:after="0" w:line="238" w:lineRule="auto"/>
        <w:tabs>
          <w:tab w:leader="none" w:pos="840" w:val="left"/>
        </w:tabs>
        <w:numPr>
          <w:ilvl w:val="0"/>
          <w:numId w:val="47"/>
        </w:numPr>
        <w:rPr>
          <w:rFonts w:ascii="Arial" w:cs="Arial" w:eastAsia="Arial" w:hAnsi="Arial"/>
          <w:sz w:val="20"/>
          <w:szCs w:val="20"/>
          <w:color w:val="auto"/>
        </w:rPr>
      </w:pPr>
      <w:r>
        <w:rPr>
          <w:rFonts w:ascii="Arial" w:cs="Arial" w:eastAsia="Arial" w:hAnsi="Arial"/>
          <w:sz w:val="20"/>
          <w:szCs w:val="20"/>
          <w:b w:val="1"/>
          <w:bCs w:val="1"/>
          <w:color w:val="auto"/>
        </w:rPr>
        <w:t>Miscellaneous</w:t>
      </w:r>
      <w:r>
        <w:rPr>
          <w:rFonts w:ascii="Arial" w:cs="Arial" w:eastAsia="Arial" w:hAnsi="Arial"/>
          <w:sz w:val="20"/>
          <w:szCs w:val="20"/>
          <w:color w:val="auto"/>
        </w:rPr>
        <w:t>. Except as expressly set forth herein, this Amendment shall not be construed to modify any of the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respective rights and obligations under the Collaboration Agreement. This Amendment shall be construed and interpreted according to the laws of the State of Delaware, without regard to conflicts of laws principles. This Amendment may be executed in more than one counterpart, each of which shall be deemed to be an original but all of which taken together shall be deemed a single instrument. A facsimile transmission of the signed Amendment will be legal and binding on both Parties. This Amendment shall be incorporated into and shall, as of the Amendment No 2 Effective Date, form part of the Collaboration Agreement between the Parties.</w:t>
      </w: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i w:val="1"/>
          <w:iCs w:val="1"/>
          <w:color w:val="auto"/>
        </w:rPr>
        <w:t>[signature page follows]</w:t>
      </w:r>
    </w:p>
    <w:p>
      <w:pPr>
        <w:spacing w:after="0" w:line="200" w:lineRule="exact"/>
        <w:rPr>
          <w:sz w:val="20"/>
          <w:szCs w:val="20"/>
          <w:color w:val="auto"/>
        </w:rPr>
      </w:pPr>
    </w:p>
    <w:p>
      <w:pPr>
        <w:spacing w:after="0" w:line="216" w:lineRule="exact"/>
        <w:rPr>
          <w:sz w:val="20"/>
          <w:szCs w:val="20"/>
          <w:color w:val="auto"/>
        </w:rPr>
      </w:pPr>
    </w:p>
    <w:p>
      <w:pPr>
        <w:ind w:left="86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184785</wp:posOffset>
            </wp:positionV>
            <wp:extent cx="7184390"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00" w:top="120" w:right="359" w:bottom="1440" w:gutter="0" w:footer="0" w:header="0"/>
        </w:sectPr>
      </w:pPr>
    </w:p>
    <w:bookmarkStart w:id="83" w:name="page84"/>
    <w:bookmarkEnd w:id="83"/>
    <w:p>
      <w:pPr>
        <w:jc w:val="center"/>
        <w:ind w:left="340" w:right="160"/>
        <w:spacing w:after="0" w:line="262"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have caused this Amendment to be executed by their duly authorized representatives effective as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 No 2 Effective Date.</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900" w:type="dxa"/>
            <w:vAlign w:val="bottom"/>
            <w:gridSpan w:val="9"/>
          </w:tcPr>
          <w:p>
            <w:pPr>
              <w:spacing w:after="0"/>
              <w:rPr>
                <w:sz w:val="20"/>
                <w:szCs w:val="20"/>
                <w:color w:val="auto"/>
              </w:rPr>
            </w:pPr>
            <w:r>
              <w:rPr>
                <w:rFonts w:ascii="Arial" w:cs="Arial" w:eastAsia="Arial" w:hAnsi="Arial"/>
                <w:sz w:val="20"/>
                <w:szCs w:val="20"/>
                <w:b w:val="1"/>
                <w:bCs w:val="1"/>
                <w:color w:val="auto"/>
              </w:rPr>
              <w:t>BRISTOL-MYERS SQUIBB COMPANY</w:t>
            </w:r>
          </w:p>
        </w:tc>
        <w:tc>
          <w:tcPr>
            <w:tcW w:w="19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520" w:type="dxa"/>
            <w:vAlign w:val="bottom"/>
            <w:gridSpan w:val="4"/>
          </w:tcPr>
          <w:p>
            <w:pPr>
              <w:jc w:val="right"/>
              <w:ind w:right="1"/>
              <w:spacing w:after="0"/>
              <w:rPr>
                <w:sz w:val="20"/>
                <w:szCs w:val="20"/>
                <w:color w:val="auto"/>
              </w:rPr>
            </w:pPr>
            <w:r>
              <w:rPr>
                <w:rFonts w:ascii="Arial" w:cs="Arial" w:eastAsia="Arial" w:hAnsi="Arial"/>
                <w:sz w:val="20"/>
                <w:szCs w:val="20"/>
                <w:b w:val="1"/>
                <w:bCs w:val="1"/>
                <w:color w:val="auto"/>
              </w:rPr>
              <w:t>CYTOMX THERAPEUTICS, INC.</w:t>
            </w:r>
          </w:p>
        </w:tc>
        <w:tc>
          <w:tcPr>
            <w:tcW w:w="400" w:type="dxa"/>
            <w:vAlign w:val="bottom"/>
          </w:tcPr>
          <w:p>
            <w:pPr>
              <w:spacing w:after="0"/>
              <w:rPr>
                <w:sz w:val="22"/>
                <w:szCs w:val="22"/>
                <w:color w:val="auto"/>
              </w:rPr>
            </w:pPr>
          </w:p>
        </w:tc>
      </w:tr>
      <w:tr>
        <w:trPr>
          <w:trHeight w:val="377"/>
        </w:trPr>
        <w:tc>
          <w:tcPr>
            <w:tcW w:w="740" w:type="dxa"/>
            <w:vAlign w:val="bottom"/>
            <w:gridSpan w:val="3"/>
          </w:tcPr>
          <w:p>
            <w:pPr>
              <w:spacing w:after="0"/>
              <w:rPr>
                <w:sz w:val="20"/>
                <w:szCs w:val="20"/>
                <w:color w:val="auto"/>
              </w:rPr>
            </w:pPr>
            <w:r>
              <w:rPr>
                <w:rFonts w:ascii="Arial" w:cs="Arial" w:eastAsia="Arial" w:hAnsi="Arial"/>
                <w:sz w:val="20"/>
                <w:szCs w:val="20"/>
                <w:color w:val="auto"/>
              </w:rPr>
              <w:t>By:  /s/</w:t>
            </w:r>
          </w:p>
        </w:tc>
        <w:tc>
          <w:tcPr>
            <w:tcW w:w="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w w:val="97"/>
              </w:rPr>
              <w:t>Janeen</w:t>
            </w:r>
          </w:p>
        </w:tc>
        <w:tc>
          <w:tcPr>
            <w:tcW w:w="2420" w:type="dxa"/>
            <w:vAlign w:val="bottom"/>
            <w:gridSpan w:val="4"/>
          </w:tcPr>
          <w:p>
            <w:pPr>
              <w:ind w:left="220"/>
              <w:spacing w:after="0"/>
              <w:rPr>
                <w:sz w:val="20"/>
                <w:szCs w:val="20"/>
                <w:color w:val="auto"/>
              </w:rPr>
            </w:pPr>
            <w:r>
              <w:rPr>
                <w:rFonts w:ascii="Arial" w:cs="Arial" w:eastAsia="Arial" w:hAnsi="Arial"/>
                <w:sz w:val="20"/>
                <w:szCs w:val="20"/>
                <w:color w:val="auto"/>
              </w:rPr>
              <w:t>Doyle</w:t>
            </w:r>
          </w:p>
        </w:tc>
        <w:tc>
          <w:tcPr>
            <w:tcW w:w="1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00" w:type="dxa"/>
            <w:vAlign w:val="bottom"/>
          </w:tcPr>
          <w:p>
            <w:pPr>
              <w:ind w:left="740"/>
              <w:spacing w:after="0"/>
              <w:rPr>
                <w:sz w:val="20"/>
                <w:szCs w:val="20"/>
                <w:color w:val="auto"/>
              </w:rPr>
            </w:pPr>
            <w:r>
              <w:rPr>
                <w:rFonts w:ascii="Arial" w:cs="Arial" w:eastAsia="Arial" w:hAnsi="Arial"/>
                <w:sz w:val="20"/>
                <w:szCs w:val="20"/>
                <w:color w:val="auto"/>
              </w:rPr>
              <w:t>By:</w:t>
            </w:r>
          </w:p>
        </w:tc>
        <w:tc>
          <w:tcPr>
            <w:tcW w:w="160" w:type="dxa"/>
            <w:vAlign w:val="bottom"/>
          </w:tcPr>
          <w:p>
            <w:pPr>
              <w:spacing w:after="0"/>
              <w:rPr>
                <w:sz w:val="24"/>
                <w:szCs w:val="24"/>
                <w:color w:val="auto"/>
              </w:rPr>
            </w:pPr>
          </w:p>
        </w:tc>
        <w:tc>
          <w:tcPr>
            <w:tcW w:w="400" w:type="dxa"/>
            <w:vAlign w:val="bottom"/>
          </w:tcPr>
          <w:p>
            <w:pPr>
              <w:jc w:val="right"/>
              <w:ind w:right="121"/>
              <w:spacing w:after="0"/>
              <w:rPr>
                <w:sz w:val="20"/>
                <w:szCs w:val="20"/>
                <w:color w:val="auto"/>
              </w:rPr>
            </w:pPr>
            <w:r>
              <w:rPr>
                <w:rFonts w:ascii="Arial" w:cs="Arial" w:eastAsia="Arial" w:hAnsi="Arial"/>
                <w:sz w:val="20"/>
                <w:szCs w:val="20"/>
                <w:color w:val="auto"/>
                <w:w w:val="75"/>
              </w:rPr>
              <w:t>/s/</w:t>
            </w:r>
          </w:p>
        </w:tc>
        <w:tc>
          <w:tcPr>
            <w:tcW w:w="400" w:type="dxa"/>
            <w:vAlign w:val="bottom"/>
          </w:tcPr>
          <w:p>
            <w:pPr>
              <w:jc w:val="right"/>
              <w:spacing w:after="0"/>
              <w:rPr>
                <w:sz w:val="20"/>
                <w:szCs w:val="20"/>
                <w:color w:val="auto"/>
              </w:rPr>
            </w:pPr>
            <w:r>
              <w:rPr>
                <w:rFonts w:ascii="Arial" w:cs="Arial" w:eastAsia="Arial" w:hAnsi="Arial"/>
                <w:sz w:val="20"/>
                <w:szCs w:val="20"/>
                <w:color w:val="auto"/>
                <w:w w:val="81"/>
              </w:rPr>
              <w:t>Sean</w:t>
            </w:r>
          </w:p>
        </w:tc>
      </w:tr>
      <w:tr>
        <w:trPr>
          <w:trHeight w:val="20"/>
        </w:trPr>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203"/>
        </w:trPr>
        <w:tc>
          <w:tcPr>
            <w:tcW w:w="1480" w:type="dxa"/>
            <w:vAlign w:val="bottom"/>
            <w:gridSpan w:val="5"/>
          </w:tcPr>
          <w:p>
            <w:pPr>
              <w:spacing w:after="0" w:line="204" w:lineRule="exact"/>
              <w:rPr>
                <w:sz w:val="20"/>
                <w:szCs w:val="20"/>
                <w:color w:val="auto"/>
              </w:rPr>
            </w:pPr>
            <w:r>
              <w:rPr>
                <w:rFonts w:ascii="Arial" w:cs="Arial" w:eastAsia="Arial" w:hAnsi="Arial"/>
                <w:sz w:val="20"/>
                <w:szCs w:val="20"/>
                <w:color w:val="auto"/>
              </w:rPr>
              <w:t>McCarthy</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6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02"/>
        </w:trPr>
        <w:tc>
          <w:tcPr>
            <w:tcW w:w="740" w:type="dxa"/>
            <w:vAlign w:val="bottom"/>
            <w:gridSpan w:val="3"/>
          </w:tcPr>
          <w:p>
            <w:pPr>
              <w:spacing w:after="0"/>
              <w:rPr>
                <w:sz w:val="20"/>
                <w:szCs w:val="20"/>
                <w:color w:val="auto"/>
              </w:rPr>
            </w:pPr>
            <w:r>
              <w:rPr>
                <w:rFonts w:ascii="Arial" w:cs="Arial" w:eastAsia="Arial" w:hAnsi="Arial"/>
                <w:sz w:val="20"/>
                <w:szCs w:val="20"/>
                <w:color w:val="auto"/>
              </w:rPr>
              <w:t>Name:</w:t>
            </w:r>
          </w:p>
        </w:tc>
        <w:tc>
          <w:tcPr>
            <w:tcW w:w="740" w:type="dxa"/>
            <w:vAlign w:val="bottom"/>
            <w:tcBorders>
              <w:bottom w:val="single" w:sz="8" w:color="auto"/>
            </w:tcBorders>
            <w:gridSpan w:val="2"/>
          </w:tcPr>
          <w:p>
            <w:pPr>
              <w:jc w:val="right"/>
              <w:ind w:right="101"/>
              <w:spacing w:after="0"/>
              <w:rPr>
                <w:sz w:val="20"/>
                <w:szCs w:val="20"/>
                <w:color w:val="auto"/>
              </w:rPr>
            </w:pPr>
            <w:r>
              <w:rPr>
                <w:rFonts w:ascii="Arial" w:cs="Arial" w:eastAsia="Arial" w:hAnsi="Arial"/>
                <w:sz w:val="20"/>
                <w:szCs w:val="20"/>
                <w:color w:val="auto"/>
                <w:w w:val="79"/>
              </w:rPr>
              <w:t>Janeen</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w w:val="89"/>
              </w:rPr>
              <w:t>Doyle</w:t>
            </w:r>
          </w:p>
        </w:tc>
        <w:tc>
          <w:tcPr>
            <w:tcW w:w="1920" w:type="dxa"/>
            <w:vAlign w:val="bottom"/>
            <w:gridSpan w:val="3"/>
          </w:tcPr>
          <w:p>
            <w:pPr>
              <w:spacing w:after="0"/>
              <w:rPr>
                <w:sz w:val="24"/>
                <w:szCs w:val="24"/>
                <w:color w:val="auto"/>
              </w:rPr>
            </w:pPr>
          </w:p>
        </w:tc>
        <w:tc>
          <w:tcPr>
            <w:tcW w:w="1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00" w:type="dxa"/>
            <w:vAlign w:val="bottom"/>
          </w:tcPr>
          <w:p>
            <w:pPr>
              <w:ind w:left="520"/>
              <w:spacing w:after="0"/>
              <w:rPr>
                <w:sz w:val="20"/>
                <w:szCs w:val="20"/>
                <w:color w:val="auto"/>
              </w:rPr>
            </w:pPr>
            <w:r>
              <w:rPr>
                <w:rFonts w:ascii="Arial" w:cs="Arial" w:eastAsia="Arial" w:hAnsi="Arial"/>
                <w:sz w:val="20"/>
                <w:szCs w:val="20"/>
                <w:color w:val="auto"/>
                <w:w w:val="94"/>
              </w:rPr>
              <w:t>Name:</w:t>
            </w:r>
          </w:p>
        </w:tc>
        <w:tc>
          <w:tcPr>
            <w:tcW w:w="16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1"/>
              </w:rPr>
              <w:t>Sean</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A.</w:t>
            </w:r>
          </w:p>
        </w:tc>
      </w:tr>
      <w:tr>
        <w:trPr>
          <w:trHeight w:val="203"/>
        </w:trPr>
        <w:tc>
          <w:tcPr>
            <w:tcW w:w="1480" w:type="dxa"/>
            <w:vAlign w:val="bottom"/>
            <w:gridSpan w:val="5"/>
          </w:tcPr>
          <w:p>
            <w:pPr>
              <w:spacing w:after="0" w:line="204" w:lineRule="exact"/>
              <w:rPr>
                <w:sz w:val="20"/>
                <w:szCs w:val="20"/>
                <w:color w:val="auto"/>
              </w:rPr>
            </w:pPr>
            <w:r>
              <w:rPr>
                <w:rFonts w:ascii="Arial" w:cs="Arial" w:eastAsia="Arial" w:hAnsi="Arial"/>
                <w:sz w:val="20"/>
                <w:szCs w:val="20"/>
                <w:color w:val="auto"/>
              </w:rPr>
              <w:t>McCarthy</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02"/>
        </w:trPr>
        <w:tc>
          <w:tcPr>
            <w:tcW w:w="740" w:type="dxa"/>
            <w:vAlign w:val="bottom"/>
            <w:tcBorders>
              <w:top w:val="single" w:sz="8" w:color="auto"/>
            </w:tcBorders>
            <w:gridSpan w:val="3"/>
          </w:tcPr>
          <w:p>
            <w:pPr>
              <w:spacing w:after="0"/>
              <w:rPr>
                <w:sz w:val="20"/>
                <w:szCs w:val="20"/>
                <w:color w:val="auto"/>
              </w:rPr>
            </w:pPr>
            <w:r>
              <w:rPr>
                <w:rFonts w:ascii="Arial" w:cs="Arial" w:eastAsia="Arial" w:hAnsi="Arial"/>
                <w:sz w:val="20"/>
                <w:szCs w:val="20"/>
                <w:color w:val="auto"/>
              </w:rPr>
              <w:t>Title:</w:t>
            </w:r>
          </w:p>
        </w:tc>
        <w:tc>
          <w:tcPr>
            <w:tcW w:w="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2"/>
          </w:tcPr>
          <w:p>
            <w:pPr>
              <w:ind w:left="20"/>
              <w:spacing w:after="0"/>
              <w:rPr>
                <w:sz w:val="20"/>
                <w:szCs w:val="20"/>
                <w:color w:val="auto"/>
              </w:rPr>
            </w:pPr>
            <w:r>
              <w:rPr>
                <w:rFonts w:ascii="Arial" w:cs="Arial" w:eastAsia="Arial" w:hAnsi="Arial"/>
                <w:sz w:val="20"/>
                <w:szCs w:val="20"/>
                <w:color w:val="auto"/>
              </w:rPr>
              <w:t>VP,</w:t>
            </w:r>
          </w:p>
        </w:tc>
        <w:tc>
          <w:tcPr>
            <w:tcW w:w="1980" w:type="dxa"/>
            <w:vAlign w:val="bottom"/>
          </w:tcPr>
          <w:p>
            <w:pPr>
              <w:ind w:left="360"/>
              <w:spacing w:after="0"/>
              <w:rPr>
                <w:sz w:val="20"/>
                <w:szCs w:val="20"/>
                <w:color w:val="auto"/>
              </w:rPr>
            </w:pPr>
            <w:r>
              <w:rPr>
                <w:rFonts w:ascii="Arial" w:cs="Arial" w:eastAsia="Arial" w:hAnsi="Arial"/>
                <w:sz w:val="20"/>
                <w:szCs w:val="20"/>
                <w:color w:val="auto"/>
              </w:rPr>
              <w:t>Research</w:t>
            </w:r>
          </w:p>
        </w:tc>
        <w:tc>
          <w:tcPr>
            <w:tcW w:w="1440" w:type="dxa"/>
            <w:vAlign w:val="bottom"/>
          </w:tcPr>
          <w:p>
            <w:pPr>
              <w:jc w:val="right"/>
              <w:ind w:right="301"/>
              <w:spacing w:after="0"/>
              <w:rPr>
                <w:sz w:val="20"/>
                <w:szCs w:val="20"/>
                <w:color w:val="auto"/>
              </w:rPr>
            </w:pPr>
            <w:r>
              <w:rPr>
                <w:rFonts w:ascii="Arial" w:cs="Arial" w:eastAsia="Arial" w:hAnsi="Arial"/>
                <w:sz w:val="20"/>
                <w:szCs w:val="20"/>
                <w:color w:val="auto"/>
              </w:rPr>
              <w:t>&amp;</w:t>
            </w:r>
          </w:p>
        </w:tc>
        <w:tc>
          <w:tcPr>
            <w:tcW w:w="2960" w:type="dxa"/>
            <w:vAlign w:val="bottom"/>
            <w:gridSpan w:val="2"/>
          </w:tcPr>
          <w:p>
            <w:pPr>
              <w:ind w:left="1380"/>
              <w:spacing w:after="0"/>
              <w:rPr>
                <w:sz w:val="20"/>
                <w:szCs w:val="20"/>
                <w:color w:val="auto"/>
              </w:rPr>
            </w:pPr>
            <w:r>
              <w:rPr>
                <w:rFonts w:ascii="Arial" w:cs="Arial" w:eastAsia="Arial" w:hAnsi="Arial"/>
                <w:sz w:val="20"/>
                <w:szCs w:val="20"/>
                <w:color w:val="auto"/>
              </w:rPr>
              <w:t>Early</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Dev</w:t>
            </w:r>
          </w:p>
        </w:tc>
      </w:tr>
      <w:tr>
        <w:trPr>
          <w:trHeight w:val="203"/>
        </w:trPr>
        <w:tc>
          <w:tcPr>
            <w:tcW w:w="680" w:type="dxa"/>
            <w:vAlign w:val="bottom"/>
            <w:gridSpan w:val="2"/>
          </w:tcPr>
          <w:p>
            <w:pPr>
              <w:spacing w:after="0" w:line="204" w:lineRule="exact"/>
              <w:rPr>
                <w:sz w:val="20"/>
                <w:szCs w:val="20"/>
                <w:color w:val="auto"/>
              </w:rPr>
            </w:pPr>
            <w:r>
              <w:rPr>
                <w:rFonts w:ascii="Arial" w:cs="Arial" w:eastAsia="Arial" w:hAnsi="Arial"/>
                <w:sz w:val="20"/>
                <w:szCs w:val="20"/>
                <w:color w:val="auto"/>
                <w:w w:val="94"/>
              </w:rPr>
              <w:t>Alliance</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gridSpan w:val="2"/>
          </w:tcPr>
          <w:p>
            <w:pPr>
              <w:ind w:left="1080"/>
              <w:spacing w:after="0" w:line="204" w:lineRule="exact"/>
              <w:rPr>
                <w:sz w:val="20"/>
                <w:szCs w:val="20"/>
                <w:color w:val="auto"/>
              </w:rPr>
            </w:pPr>
            <w:r>
              <w:rPr>
                <w:rFonts w:ascii="Arial" w:cs="Arial" w:eastAsia="Arial" w:hAnsi="Arial"/>
                <w:sz w:val="20"/>
                <w:szCs w:val="20"/>
                <w:color w:val="auto"/>
                <w:w w:val="88"/>
              </w:rPr>
              <w:t>Title:President,</w:t>
            </w:r>
          </w:p>
        </w:tc>
        <w:tc>
          <w:tcPr>
            <w:tcW w:w="560" w:type="dxa"/>
            <w:vAlign w:val="bottom"/>
            <w:tcBorders>
              <w:top w:val="single" w:sz="8" w:color="auto"/>
            </w:tcBorders>
            <w:gridSpan w:val="2"/>
          </w:tcPr>
          <w:p>
            <w:pPr>
              <w:jc w:val="right"/>
              <w:ind w:right="1"/>
              <w:spacing w:after="0" w:line="204" w:lineRule="exact"/>
              <w:rPr>
                <w:sz w:val="20"/>
                <w:szCs w:val="20"/>
                <w:color w:val="auto"/>
              </w:rPr>
            </w:pPr>
            <w:r>
              <w:rPr>
                <w:rFonts w:ascii="Arial" w:cs="Arial" w:eastAsia="Arial" w:hAnsi="Arial"/>
                <w:sz w:val="20"/>
                <w:szCs w:val="20"/>
                <w:color w:val="auto"/>
              </w:rPr>
              <w:t>CEO</w:t>
            </w:r>
          </w:p>
        </w:tc>
        <w:tc>
          <w:tcPr>
            <w:tcW w:w="40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20"/>
                <w:szCs w:val="20"/>
                <w:color w:val="auto"/>
              </w:rPr>
              <w:t>&amp;</w:t>
            </w:r>
          </w:p>
        </w:tc>
      </w:tr>
      <w:tr>
        <w:trPr>
          <w:trHeight w:val="20"/>
        </w:trPr>
        <w:tc>
          <w:tcPr>
            <w:tcW w:w="68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203"/>
        </w:trPr>
        <w:tc>
          <w:tcPr>
            <w:tcW w:w="1480" w:type="dxa"/>
            <w:vAlign w:val="bottom"/>
            <w:gridSpan w:val="5"/>
          </w:tcPr>
          <w:p>
            <w:pPr>
              <w:spacing w:after="0" w:line="204" w:lineRule="exact"/>
              <w:rPr>
                <w:sz w:val="20"/>
                <w:szCs w:val="20"/>
                <w:color w:val="auto"/>
              </w:rPr>
            </w:pPr>
            <w:r>
              <w:rPr>
                <w:rFonts w:ascii="Arial" w:cs="Arial" w:eastAsia="Arial" w:hAnsi="Arial"/>
                <w:sz w:val="20"/>
                <w:szCs w:val="20"/>
                <w:color w:val="auto"/>
              </w:rPr>
              <w:t>Chairman</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845"/>
        </w:trPr>
        <w:tc>
          <w:tcPr>
            <w:tcW w:w="5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80" w:type="dxa"/>
            <w:vAlign w:val="bottom"/>
          </w:tcPr>
          <w:p>
            <w:pPr>
              <w:jc w:val="right"/>
              <w:ind w:right="321"/>
              <w:spacing w:after="0"/>
              <w:rPr>
                <w:sz w:val="20"/>
                <w:szCs w:val="20"/>
                <w:color w:val="auto"/>
              </w:rPr>
            </w:pPr>
            <w:r>
              <w:rPr>
                <w:rFonts w:ascii="Arial" w:cs="Arial" w:eastAsia="Arial" w:hAnsi="Arial"/>
                <w:sz w:val="20"/>
                <w:szCs w:val="20"/>
                <w:color w:val="auto"/>
                <w:w w:val="97"/>
              </w:rPr>
              <w:t>-6-</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240"/>
          </w:cols>
          <w:pgMar w:left="320" w:top="114"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898525" cy="5048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898525" cy="504825"/>
                    </a:xfrm>
                    <a:prstGeom prst="rect">
                      <a:avLst/>
                    </a:prstGeom>
                    <a:noFill/>
                  </pic:spPr>
                </pic:pic>
              </a:graphicData>
            </a:graphic>
          </wp:anchor>
        </w:drawing>
        <w:t>Exhibit 10.3</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BUSINESS CONSULTING AGREEMENT</w:t>
      </w:r>
    </w:p>
    <w:p>
      <w:pPr>
        <w:spacing w:after="0" w:line="195" w:lineRule="exact"/>
        <w:rPr>
          <w:sz w:val="20"/>
          <w:szCs w:val="20"/>
          <w:color w:val="auto"/>
        </w:rPr>
      </w:pPr>
    </w:p>
    <w:p>
      <w:pPr>
        <w:jc w:val="both"/>
        <w:ind w:firstLine="865"/>
        <w:spacing w:after="0" w:line="288"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HIS</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ONSULTING</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by and between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YTOM</w:t>
      </w:r>
      <w:r>
        <w:rPr>
          <w:rFonts w:ascii="Arial" w:cs="Arial" w:eastAsia="Arial" w:hAnsi="Arial"/>
          <w:sz w:val="18"/>
          <w:szCs w:val="18"/>
          <w:b w:val="1"/>
          <w:bCs w:val="1"/>
          <w:color w:val="auto"/>
        </w:rPr>
        <w:t>X T</w:t>
      </w:r>
      <w:r>
        <w:rPr>
          <w:rFonts w:ascii="Arial" w:cs="Arial" w:eastAsia="Arial" w:hAnsi="Arial"/>
          <w:sz w:val="12"/>
          <w:szCs w:val="12"/>
          <w:b w:val="1"/>
          <w:bCs w:val="1"/>
          <w:color w:val="auto"/>
        </w:rPr>
        <w:t>HERAPEUTICS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 xml:space="preserve">., </w:t>
      </w:r>
      <w:r>
        <w:rPr>
          <w:rFonts w:ascii="Arial" w:cs="Arial" w:eastAsia="Arial" w:hAnsi="Arial"/>
          <w:sz w:val="18"/>
          <w:szCs w:val="18"/>
          <w:color w:val="auto"/>
        </w:rPr>
        <w:t>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with an address at 151 Oyster Point Blvd, Suite 400, South San Francisco, CA 94080,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C</w:t>
      </w:r>
      <w:r>
        <w:rPr>
          <w:rFonts w:ascii="Arial" w:cs="Arial" w:eastAsia="Arial" w:hAnsi="Arial"/>
          <w:sz w:val="12"/>
          <w:szCs w:val="12"/>
          <w:b w:val="1"/>
          <w:bCs w:val="1"/>
          <w:color w:val="auto"/>
        </w:rPr>
        <w:t>HARLES</w:t>
      </w:r>
      <w:r>
        <w:rPr>
          <w:rFonts w:ascii="Arial" w:cs="Arial" w:eastAsia="Arial" w:hAnsi="Arial"/>
          <w:sz w:val="18"/>
          <w:szCs w:val="18"/>
          <w:color w:val="auto"/>
        </w:rPr>
        <w:t xml:space="preserve"> </w:t>
      </w:r>
      <w:r>
        <w:rPr>
          <w:rFonts w:ascii="Arial" w:cs="Arial" w:eastAsia="Arial" w:hAnsi="Arial"/>
          <w:sz w:val="18"/>
          <w:szCs w:val="18"/>
          <w:b w:val="1"/>
          <w:bCs w:val="1"/>
          <w:color w:val="auto"/>
        </w:rPr>
        <w:t>F</w:t>
      </w:r>
      <w:r>
        <w:rPr>
          <w:rFonts w:ascii="Arial" w:cs="Arial" w:eastAsia="Arial" w:hAnsi="Arial"/>
          <w:sz w:val="12"/>
          <w:szCs w:val="12"/>
          <w:b w:val="1"/>
          <w:bCs w:val="1"/>
          <w:color w:val="auto"/>
        </w:rPr>
        <w:t>UCHS</w:t>
      </w:r>
      <w:r>
        <w:rPr>
          <w:rFonts w:ascii="Arial" w:cs="Arial" w:eastAsia="Arial" w:hAnsi="Arial"/>
          <w:sz w:val="18"/>
          <w:szCs w:val="18"/>
          <w:b w:val="1"/>
          <w:bCs w:val="1"/>
          <w:color w:val="auto"/>
        </w:rPr>
        <w:t>, M.D., M.P.H.</w:t>
      </w:r>
      <w:r>
        <w:rPr>
          <w:rFonts w:ascii="Arial" w:cs="Arial" w:eastAsia="Arial" w:hAnsi="Arial"/>
          <w:sz w:val="18"/>
          <w:szCs w:val="18"/>
          <w:color w:val="auto"/>
        </w:rPr>
        <w:t>, an individual residing at the address set below (“</w:t>
      </w:r>
      <w:r>
        <w:rPr>
          <w:rFonts w:ascii="Arial" w:cs="Arial" w:eastAsia="Arial" w:hAnsi="Arial"/>
          <w:sz w:val="18"/>
          <w:szCs w:val="18"/>
          <w:b w:val="1"/>
          <w:bCs w:val="1"/>
          <w:color w:val="auto"/>
        </w:rPr>
        <w:t>Consultant</w:t>
      </w:r>
      <w:r>
        <w:rPr>
          <w:rFonts w:ascii="Arial" w:cs="Arial" w:eastAsia="Arial" w:hAnsi="Arial"/>
          <w:sz w:val="18"/>
          <w:szCs w:val="18"/>
          <w:color w:val="auto"/>
        </w:rPr>
        <w:t>”), effective as of April 1, 2021 (“</w:t>
      </w:r>
      <w:r>
        <w:rPr>
          <w:rFonts w:ascii="Arial" w:cs="Arial" w:eastAsia="Arial" w:hAnsi="Arial"/>
          <w:sz w:val="18"/>
          <w:szCs w:val="18"/>
          <w:b w:val="1"/>
          <w:bCs w:val="1"/>
          <w:color w:val="auto"/>
        </w:rPr>
        <w:t>Effective Date</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ECITALS</w:t>
      </w:r>
    </w:p>
    <w:p>
      <w:pPr>
        <w:spacing w:after="0" w:line="217"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color w:val="auto"/>
        </w:rPr>
        <w:t>, Consultant has skills and knowledge in the Company’s field of endeavor and is well suited to advise the Company; and</w:t>
      </w:r>
    </w:p>
    <w:p>
      <w:pPr>
        <w:spacing w:after="0" w:line="240" w:lineRule="exact"/>
        <w:rPr>
          <w:sz w:val="20"/>
          <w:szCs w:val="20"/>
          <w:color w:val="auto"/>
        </w:rPr>
      </w:pPr>
    </w:p>
    <w:p>
      <w:pPr>
        <w:jc w:val="both"/>
        <w:ind w:firstLine="865"/>
        <w:spacing w:after="0" w:line="261"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the Company desires that Consultant advise and consult with the Company in Consultant’s area of expertise and on the</w:t>
      </w:r>
      <w:r>
        <w:rPr>
          <w:rFonts w:ascii="Arial" w:cs="Arial" w:eastAsia="Arial" w:hAnsi="Arial"/>
          <w:sz w:val="20"/>
          <w:szCs w:val="20"/>
          <w:b w:val="1"/>
          <w:bCs w:val="1"/>
          <w:color w:val="auto"/>
        </w:rPr>
        <w:t xml:space="preserve"> </w:t>
      </w:r>
      <w:r>
        <w:rPr>
          <w:rFonts w:ascii="Arial" w:cs="Arial" w:eastAsia="Arial" w:hAnsi="Arial"/>
          <w:sz w:val="20"/>
          <w:szCs w:val="20"/>
          <w:color w:val="auto"/>
        </w:rPr>
        <w:t>terms and conditions set forth herein;</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N</w:t>
      </w:r>
      <w:r>
        <w:rPr>
          <w:rFonts w:ascii="Arial" w:cs="Arial" w:eastAsia="Arial" w:hAnsi="Arial"/>
          <w:sz w:val="12"/>
          <w:szCs w:val="12"/>
          <w:b w:val="1"/>
          <w:bCs w:val="1"/>
          <w:color w:val="auto"/>
        </w:rPr>
        <w:t>OW</w:t>
      </w:r>
      <w:r>
        <w:rPr>
          <w:rFonts w:ascii="Arial" w:cs="Arial" w:eastAsia="Arial" w:hAnsi="Arial"/>
          <w:sz w:val="19"/>
          <w:szCs w:val="19"/>
          <w:b w:val="1"/>
          <w:bCs w:val="1"/>
          <w:color w:val="auto"/>
        </w:rPr>
        <w:t xml:space="preserve"> T</w:t>
      </w:r>
      <w:r>
        <w:rPr>
          <w:rFonts w:ascii="Arial" w:cs="Arial" w:eastAsia="Arial" w:hAnsi="Arial"/>
          <w:sz w:val="12"/>
          <w:szCs w:val="12"/>
          <w:b w:val="1"/>
          <w:bCs w:val="1"/>
          <w:color w:val="auto"/>
        </w:rPr>
        <w:t>HEREFORE</w:t>
      </w:r>
      <w:r>
        <w:rPr>
          <w:rFonts w:ascii="Arial" w:cs="Arial" w:eastAsia="Arial" w:hAnsi="Arial"/>
          <w:sz w:val="19"/>
          <w:szCs w:val="19"/>
          <w:color w:val="auto"/>
        </w:rPr>
        <w:t>, in consideration of the mutual obligations specified in this Agreement, the parties agree to the following:</w:t>
      </w:r>
    </w:p>
    <w:p>
      <w:pPr>
        <w:spacing w:after="0" w:line="229" w:lineRule="exact"/>
        <w:rPr>
          <w:sz w:val="20"/>
          <w:szCs w:val="20"/>
          <w:color w:val="auto"/>
        </w:rPr>
      </w:pPr>
    </w:p>
    <w:p>
      <w:pPr>
        <w:jc w:val="both"/>
        <w:ind w:firstLine="864"/>
        <w:spacing w:after="0" w:line="256" w:lineRule="auto"/>
        <w:tabs>
          <w:tab w:leader="none" w:pos="1610"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C</w:t>
      </w:r>
      <w:r>
        <w:rPr>
          <w:rFonts w:ascii="Arial" w:cs="Arial" w:eastAsia="Arial" w:hAnsi="Arial"/>
          <w:sz w:val="12"/>
          <w:szCs w:val="12"/>
          <w:b w:val="1"/>
          <w:bCs w:val="1"/>
          <w:color w:val="auto"/>
        </w:rPr>
        <w:t>ONSULTING</w:t>
      </w:r>
      <w:r>
        <w:rPr>
          <w:rFonts w:ascii="Arial" w:cs="Arial" w:eastAsia="Arial" w:hAnsi="Arial"/>
          <w:sz w:val="19"/>
          <w:szCs w:val="19"/>
          <w:b w:val="1"/>
          <w:bCs w:val="1"/>
          <w:color w:val="auto"/>
        </w:rPr>
        <w:t xml:space="preserve"> S</w:t>
      </w:r>
      <w:r>
        <w:rPr>
          <w:rFonts w:ascii="Arial" w:cs="Arial" w:eastAsia="Arial" w:hAnsi="Arial"/>
          <w:sz w:val="12"/>
          <w:szCs w:val="12"/>
          <w:b w:val="1"/>
          <w:bCs w:val="1"/>
          <w:color w:val="auto"/>
        </w:rPr>
        <w:t>ERVICES</w:t>
      </w:r>
      <w:r>
        <w:rPr>
          <w:rFonts w:ascii="Arial" w:cs="Arial" w:eastAsia="Arial" w:hAnsi="Arial"/>
          <w:sz w:val="19"/>
          <w:szCs w:val="19"/>
          <w:color w:val="auto"/>
        </w:rPr>
        <w:t>. Consultant shall serve as an advisor to the chief executive officer, providing consulting services to</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on corporate governance, strategy and development and on medical matters of the Company from time to time as requested (the “</w:t>
      </w:r>
      <w:r>
        <w:rPr>
          <w:rFonts w:ascii="Arial" w:cs="Arial" w:eastAsia="Arial" w:hAnsi="Arial"/>
          <w:sz w:val="19"/>
          <w:szCs w:val="19"/>
          <w:b w:val="1"/>
          <w:bCs w:val="1"/>
          <w:color w:val="auto"/>
        </w:rPr>
        <w:t>Services</w:t>
      </w:r>
      <w:r>
        <w:rPr>
          <w:rFonts w:ascii="Arial" w:cs="Arial" w:eastAsia="Arial" w:hAnsi="Arial"/>
          <w:sz w:val="19"/>
          <w:szCs w:val="19"/>
          <w:color w:val="auto"/>
        </w:rPr>
        <w:t>”). Consultant will perform the Services using Consultant’s highest degree of professional skill and expertise. Company recognizes that Consultant is an employee of Genentech and that all Services shall be provided here subject to his duties and obligations to Genentech, subject only to the confidentiality obligations set forth in Section 5 hereunder.</w:t>
      </w:r>
    </w:p>
    <w:p>
      <w:pPr>
        <w:spacing w:after="0" w:line="182" w:lineRule="exact"/>
        <w:rPr>
          <w:sz w:val="20"/>
          <w:szCs w:val="20"/>
          <w:color w:val="auto"/>
        </w:rPr>
      </w:pPr>
    </w:p>
    <w:p>
      <w:pPr>
        <w:ind w:firstLine="865"/>
        <w:spacing w:after="0" w:line="281" w:lineRule="auto"/>
        <w:rPr>
          <w:sz w:val="20"/>
          <w:szCs w:val="20"/>
          <w:color w:val="auto"/>
        </w:rPr>
      </w:pPr>
      <w:r>
        <w:rPr>
          <w:rFonts w:ascii="Arial" w:cs="Arial" w:eastAsia="Arial" w:hAnsi="Arial"/>
          <w:sz w:val="19"/>
          <w:szCs w:val="19"/>
          <w:color w:val="auto"/>
        </w:rPr>
        <w:t>Consultant shall render the Services at such times and in such quantities as are mutually agreeable, provided that such Services shall not exceed fifteen (15) hours in any given month, unless otherwise specifically agreed to by Consultant and Company.</w:t>
      </w:r>
    </w:p>
    <w:p>
      <w:pPr>
        <w:spacing w:after="0" w:line="153" w:lineRule="exact"/>
        <w:rPr>
          <w:sz w:val="20"/>
          <w:szCs w:val="20"/>
          <w:color w:val="auto"/>
        </w:rPr>
      </w:pPr>
    </w:p>
    <w:p>
      <w:pPr>
        <w:jc w:val="both"/>
        <w:ind w:firstLine="864"/>
        <w:spacing w:after="0" w:line="266" w:lineRule="auto"/>
        <w:tabs>
          <w:tab w:leader="none" w:pos="161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OMPENSATION</w:t>
      </w:r>
      <w:r>
        <w:rPr>
          <w:rFonts w:ascii="Arial" w:cs="Arial" w:eastAsia="Arial" w:hAnsi="Arial"/>
          <w:sz w:val="18"/>
          <w:szCs w:val="18"/>
          <w:color w:val="auto"/>
        </w:rPr>
        <w:t>. Company shall pay Consultant $300.00 per hour, payable in arrears pursuant to monthly invoices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by Consultant) for the Services, such invoices payable within thirty (30) days from date of receipt by the Company. The Company shall also reimburse Consultant for reasonable expenses. Without limiting the foregoing and notwithstanding the existing terms and conditions of Consultant’s outstanding options to purchase Company common stock, Consultant hereby agrees all options held by Consultant that are unvested as of the Effective Date shall thereupon terminate for no consideration. The Company and Consultant agree that all options to purchase Company common stock that are vested and outstanding as of the Effective Date shall remain outstanding based on Consultant’s services under this Agreement. Consultant acknowledges that any vested options that remain outstanding on the three month anniversary of Consultant’s cessation of services under this Agreement shall thereupon terminate in accordance with their terms. Each agreement evidencing Consultant’s options shall be deemed amended to the extent necessary to reflect the terms of this Section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250190</wp:posOffset>
            </wp:positionV>
            <wp:extent cx="6071235" cy="5518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6071235" cy="551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US-DOCS\122428112.1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46990</wp:posOffset>
            </wp:positionV>
            <wp:extent cx="7184390"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85" w:name="page86"/>
    <w:bookmarkEnd w:id="85"/>
    <w:p>
      <w:pPr>
        <w:jc w:val="both"/>
        <w:ind w:firstLine="864"/>
        <w:spacing w:after="0" w:line="256" w:lineRule="auto"/>
        <w:tabs>
          <w:tab w:leader="none" w:pos="1610"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898525" cy="5048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898525" cy="504825"/>
                    </a:xfrm>
                    <a:prstGeom prst="rect">
                      <a:avLst/>
                    </a:prstGeom>
                    <a:noFill/>
                  </pic:spPr>
                </pic:pic>
              </a:graphicData>
            </a:graphic>
          </wp:anchor>
        </w:drawing>
        <w:t>I</w:t>
      </w:r>
      <w:r>
        <w:rPr>
          <w:rFonts w:ascii="Arial" w:cs="Arial" w:eastAsia="Arial" w:hAnsi="Arial"/>
          <w:sz w:val="12"/>
          <w:szCs w:val="12"/>
          <w:b w:val="1"/>
          <w:bCs w:val="1"/>
          <w:color w:val="auto"/>
        </w:rPr>
        <w:t>NDEPENDENT</w:t>
      </w:r>
      <w:r>
        <w:rPr>
          <w:rFonts w:ascii="Arial" w:cs="Arial" w:eastAsia="Arial" w:hAnsi="Arial"/>
          <w:sz w:val="19"/>
          <w:szCs w:val="19"/>
          <w:b w:val="1"/>
          <w:bCs w:val="1"/>
          <w:color w:val="auto"/>
        </w:rPr>
        <w:t xml:space="preserve"> C</w:t>
      </w:r>
      <w:r>
        <w:rPr>
          <w:rFonts w:ascii="Arial" w:cs="Arial" w:eastAsia="Arial" w:hAnsi="Arial"/>
          <w:sz w:val="12"/>
          <w:szCs w:val="12"/>
          <w:b w:val="1"/>
          <w:bCs w:val="1"/>
          <w:color w:val="auto"/>
        </w:rPr>
        <w:t>ONTRACTOR</w:t>
      </w:r>
      <w:r>
        <w:rPr>
          <w:rFonts w:ascii="Arial" w:cs="Arial" w:eastAsia="Arial" w:hAnsi="Arial"/>
          <w:sz w:val="19"/>
          <w:szCs w:val="19"/>
          <w:b w:val="1"/>
          <w:bCs w:val="1"/>
          <w:color w:val="auto"/>
        </w:rPr>
        <w:t xml:space="preserve"> S</w:t>
      </w:r>
      <w:r>
        <w:rPr>
          <w:rFonts w:ascii="Arial" w:cs="Arial" w:eastAsia="Arial" w:hAnsi="Arial"/>
          <w:sz w:val="12"/>
          <w:szCs w:val="12"/>
          <w:b w:val="1"/>
          <w:bCs w:val="1"/>
          <w:color w:val="auto"/>
        </w:rPr>
        <w:t>TATUS</w:t>
      </w:r>
      <w:r>
        <w:rPr>
          <w:rFonts w:ascii="Arial" w:cs="Arial" w:eastAsia="Arial" w:hAnsi="Arial"/>
          <w:sz w:val="19"/>
          <w:szCs w:val="19"/>
          <w:color w:val="auto"/>
        </w:rPr>
        <w:t>. It is understood and agreed that Consultant is an independent contractor, is not an</w:t>
      </w:r>
      <w:r>
        <w:rPr>
          <w:rFonts w:ascii="Arial" w:cs="Arial" w:eastAsia="Arial" w:hAnsi="Arial"/>
          <w:sz w:val="19"/>
          <w:szCs w:val="19"/>
          <w:b w:val="1"/>
          <w:bCs w:val="1"/>
          <w:color w:val="auto"/>
        </w:rPr>
        <w:t xml:space="preserve"> </w:t>
      </w:r>
      <w:r>
        <w:rPr>
          <w:rFonts w:ascii="Arial" w:cs="Arial" w:eastAsia="Arial" w:hAnsi="Arial"/>
          <w:sz w:val="19"/>
          <w:szCs w:val="19"/>
          <w:color w:val="auto"/>
        </w:rPr>
        <w:t>agent or employee of the Company, and is not authorized to act on behalf of the Company. Consultant agrees not to hold himself or herself out as, or give any person any reason to believe that he is an employee, agent, joint venturer or partner of the Company. The Company will not make any deductions from any amounts payable to Consultant for taxes or insurance (except to the extent the Company is required by law to do so). All payroll, income and employment taxes shall be the sole responsibility of Consultant.</w:t>
      </w:r>
    </w:p>
    <w:p>
      <w:pPr>
        <w:spacing w:after="0" w:line="175" w:lineRule="exact"/>
        <w:rPr>
          <w:rFonts w:ascii="Arial" w:cs="Arial" w:eastAsia="Arial" w:hAnsi="Arial"/>
          <w:sz w:val="19"/>
          <w:szCs w:val="19"/>
          <w:b w:val="1"/>
          <w:bCs w:val="1"/>
          <w:color w:val="auto"/>
        </w:rPr>
      </w:pPr>
    </w:p>
    <w:p>
      <w:pPr>
        <w:jc w:val="both"/>
        <w:ind w:firstLine="864"/>
        <w:spacing w:after="0"/>
        <w:tabs>
          <w:tab w:leader="none" w:pos="161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OLICITATION</w:t>
      </w:r>
      <w:r>
        <w:rPr>
          <w:rFonts w:ascii="Arial" w:cs="Arial" w:eastAsia="Arial" w:hAnsi="Arial"/>
          <w:sz w:val="20"/>
          <w:szCs w:val="20"/>
          <w:color w:val="auto"/>
        </w:rPr>
        <w:t>. During the term of this Agreement and for one (1) years after its termination, Consultant (and its</w:t>
      </w:r>
      <w:r>
        <w:rPr>
          <w:rFonts w:ascii="Arial" w:cs="Arial" w:eastAsia="Arial" w:hAnsi="Arial"/>
          <w:sz w:val="20"/>
          <w:szCs w:val="20"/>
          <w:b w:val="1"/>
          <w:bCs w:val="1"/>
          <w:color w:val="auto"/>
        </w:rPr>
        <w:t xml:space="preserve"> </w:t>
      </w:r>
      <w:r>
        <w:rPr>
          <w:rFonts w:ascii="Arial" w:cs="Arial" w:eastAsia="Arial" w:hAnsi="Arial"/>
          <w:sz w:val="20"/>
          <w:szCs w:val="20"/>
          <w:color w:val="auto"/>
        </w:rPr>
        <w:t>personnel performing hereunder) will not personally or through others recruit, solicit or induce any employee of the Company to terminate his or her employment with the Company. Notwithstanding the foregoing, this provision shall not apply to potential employees of Genentech that seek out Genentech or Consultant without prior solicitation from Consultant or to potential employees of Genentech who are approached by third party recruiters independently of Consultant.</w:t>
      </w:r>
    </w:p>
    <w:p>
      <w:pPr>
        <w:spacing w:after="0" w:line="191" w:lineRule="exact"/>
        <w:rPr>
          <w:rFonts w:ascii="Arial" w:cs="Arial" w:eastAsia="Arial" w:hAnsi="Arial"/>
          <w:sz w:val="20"/>
          <w:szCs w:val="20"/>
          <w:b w:val="1"/>
          <w:bCs w:val="1"/>
          <w:color w:val="auto"/>
        </w:rPr>
      </w:pPr>
    </w:p>
    <w:p>
      <w:pPr>
        <w:ind w:left="1600" w:hanging="736"/>
        <w:spacing w:after="0"/>
        <w:tabs>
          <w:tab w:leader="none" w:pos="160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M</w:t>
      </w:r>
      <w:r>
        <w:rPr>
          <w:rFonts w:ascii="Arial" w:cs="Arial" w:eastAsia="Arial" w:hAnsi="Arial"/>
          <w:sz w:val="13"/>
          <w:szCs w:val="13"/>
          <w:b w:val="1"/>
          <w:bCs w:val="1"/>
          <w:color w:val="auto"/>
        </w:rPr>
        <w:t>AINTAINING</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ONFIDENTIAL</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NFORMATION</w:t>
      </w:r>
      <w:r>
        <w:rPr>
          <w:rFonts w:ascii="Arial" w:cs="Arial" w:eastAsia="Arial" w:hAnsi="Arial"/>
          <w:sz w:val="20"/>
          <w:szCs w:val="20"/>
          <w:color w:val="auto"/>
        </w:rPr>
        <w:t>.</w:t>
      </w:r>
    </w:p>
    <w:p>
      <w:pPr>
        <w:spacing w:after="0" w:line="217" w:lineRule="exact"/>
        <w:rPr>
          <w:sz w:val="20"/>
          <w:szCs w:val="20"/>
          <w:color w:val="auto"/>
        </w:rPr>
      </w:pPr>
    </w:p>
    <w:p>
      <w:pPr>
        <w:jc w:val="both"/>
        <w:ind w:firstLine="865"/>
        <w:spacing w:after="0" w:line="226" w:lineRule="exact"/>
        <w:rPr>
          <w:sz w:val="20"/>
          <w:szCs w:val="20"/>
          <w:color w:val="auto"/>
        </w:rPr>
      </w:pPr>
      <w:r>
        <w:rPr>
          <w:rFonts w:ascii="Arial" w:cs="Arial" w:eastAsia="Arial" w:hAnsi="Arial"/>
          <w:sz w:val="19"/>
          <w:szCs w:val="19"/>
          <w:b w:val="1"/>
          <w:bCs w:val="1"/>
          <w:color w:val="auto"/>
        </w:rPr>
        <w:t>5.1 Company Information</w:t>
      </w:r>
      <w:r>
        <w:rPr>
          <w:rFonts w:ascii="Arial" w:cs="Arial" w:eastAsia="Arial" w:hAnsi="Arial"/>
          <w:sz w:val="19"/>
          <w:szCs w:val="19"/>
          <w:color w:val="auto"/>
        </w:rPr>
        <w:t>. During the term of this Agreement, Consultant may receive or otherwise be exposed to</w:t>
      </w:r>
      <w:r>
        <w:rPr>
          <w:rFonts w:ascii="Arial" w:cs="Arial" w:eastAsia="Arial" w:hAnsi="Arial"/>
          <w:sz w:val="19"/>
          <w:szCs w:val="19"/>
          <w:b w:val="1"/>
          <w:bCs w:val="1"/>
          <w:color w:val="auto"/>
        </w:rPr>
        <w:t xml:space="preserve"> </w:t>
      </w:r>
      <w:r>
        <w:rPr>
          <w:rFonts w:ascii="Arial" w:cs="Arial" w:eastAsia="Arial" w:hAnsi="Arial"/>
          <w:sz w:val="19"/>
          <w:szCs w:val="19"/>
          <w:color w:val="auto"/>
        </w:rPr>
        <w:t>confidential and proprietary information relating to the Company’s technology, know-how, data, inventions, developments, plans, business practices, and strategies, and those of the Company’s collaborators and business associates. Such confidential and proprietary information of the Company (collectively referred to as “</w:t>
      </w:r>
      <w:r>
        <w:rPr>
          <w:rFonts w:ascii="Arial" w:cs="Arial" w:eastAsia="Arial" w:hAnsi="Arial"/>
          <w:sz w:val="19"/>
          <w:szCs w:val="19"/>
          <w:b w:val="1"/>
          <w:bCs w:val="1"/>
          <w:color w:val="auto"/>
        </w:rPr>
        <w:t>Information</w:t>
      </w:r>
      <w:r>
        <w:rPr>
          <w:rFonts w:ascii="Arial" w:cs="Arial" w:eastAsia="Arial" w:hAnsi="Arial"/>
          <w:sz w:val="19"/>
          <w:szCs w:val="19"/>
          <w:color w:val="auto"/>
        </w:rPr>
        <w:t>”) may include but not be limited to: (i) information supplied to Consultant with the legend “Confidential” or equivalent; (ii) the Company’s marketing and customer support strategies, financial information (including sales, costs, profits and pricing methods), internal organization, employee information, customer lists and business plans; (iii) the Company’s technology, including, but not limited to, discoveries, inventions, research and development efforts, manufacturing processes, assays, data (including without limitation preclinical, clinical and manufacturing data), software, trade secrets, processes, compounds, product, candidates, products, samples, media and/or cell lines (and procedures and formulations for producing any such samples, media and/or cell lines), vectors, viruses, assays, plasmids, formulas, methods, protocols, clinical trial designs and product know</w:t>
      </w:r>
      <w:r>
        <w:rPr>
          <w:rFonts w:ascii="MS PGothic" w:cs="MS PGothic" w:eastAsia="MS PGothic" w:hAnsi="MS PGothic"/>
          <w:sz w:val="19"/>
          <w:szCs w:val="19"/>
          <w:color w:val="auto"/>
        </w:rPr>
        <w:t>‑</w:t>
      </w:r>
      <w:r>
        <w:rPr>
          <w:rFonts w:ascii="Arial" w:cs="Arial" w:eastAsia="Arial" w:hAnsi="Arial"/>
          <w:sz w:val="19"/>
          <w:szCs w:val="19"/>
          <w:color w:val="auto"/>
        </w:rPr>
        <w:t>how and show</w:t>
      </w:r>
      <w:r>
        <w:rPr>
          <w:rFonts w:ascii="MS PGothic" w:cs="MS PGothic" w:eastAsia="MS PGothic" w:hAnsi="MS PGothic"/>
          <w:sz w:val="19"/>
          <w:szCs w:val="19"/>
          <w:color w:val="auto"/>
        </w:rPr>
        <w:t>‑</w:t>
      </w:r>
      <w:r>
        <w:rPr>
          <w:rFonts w:ascii="Arial" w:cs="Arial" w:eastAsia="Arial" w:hAnsi="Arial"/>
          <w:sz w:val="19"/>
          <w:szCs w:val="19"/>
          <w:color w:val="auto"/>
        </w:rPr>
        <w:t>how; (iv) all derivatives, improvements, additions, modifications, and enhancements to any of the above, including any such information or material created or developed by Consultant under this Agreement; and (v) information of third parties as to which the Company has an obligation of confidentiality.</w:t>
      </w:r>
    </w:p>
    <w:p>
      <w:pPr>
        <w:spacing w:after="0" w:line="200" w:lineRule="exact"/>
        <w:rPr>
          <w:sz w:val="20"/>
          <w:szCs w:val="20"/>
          <w:color w:val="auto"/>
        </w:rPr>
      </w:pPr>
    </w:p>
    <w:p>
      <w:pPr>
        <w:jc w:val="both"/>
        <w:ind w:firstLine="865"/>
        <w:spacing w:after="0" w:line="252" w:lineRule="auto"/>
        <w:rPr>
          <w:sz w:val="20"/>
          <w:szCs w:val="20"/>
          <w:color w:val="auto"/>
        </w:rPr>
      </w:pPr>
      <w:r>
        <w:rPr>
          <w:rFonts w:ascii="Arial" w:cs="Arial" w:eastAsia="Arial" w:hAnsi="Arial"/>
          <w:sz w:val="19"/>
          <w:szCs w:val="19"/>
          <w:color w:val="auto"/>
        </w:rPr>
        <w:t>Consultant acknowledges the confidential and secret character of the Information and agrees that the Information (with the exception of information in category (v)) is the sole, exclusive and extremely valuable property of the Company. Accordingly, Consultant shall not reproduce any of the Information without the applicable prior written consent of the Company, use the Information except in the performance of this Agreement, nor disclose all or any part of the Information in any form to any third party, either during or after the term of this Agreement. Upon termination of this Agreement for any reason, including expiration of term, Consultant agrees to cease using and to return to the Company all whole and partial copies of the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257810</wp:posOffset>
            </wp:positionV>
            <wp:extent cx="6071235" cy="5518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6071235" cy="551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color w:val="auto"/>
        </w:rPr>
        <w:t>US-DOCS\122428112.1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46990</wp:posOffset>
            </wp:positionV>
            <wp:extent cx="7184390"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86" w:name="page87"/>
    <w:bookmarkEnd w:id="86"/>
    <w:p>
      <w:pPr>
        <w:jc w:val="both"/>
        <w:ind w:left="1" w:firstLine="865"/>
        <w:spacing w:after="0" w:line="255"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898525" cy="5048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898525" cy="504825"/>
                    </a:xfrm>
                    <a:prstGeom prst="rect">
                      <a:avLst/>
                    </a:prstGeom>
                    <a:noFill/>
                  </pic:spPr>
                </pic:pic>
              </a:graphicData>
            </a:graphic>
          </wp:anchor>
        </w:drawing>
        <w:t>Consultant shall not remove from the premises of Company or otherwise transfer to any third party any materials to which Company provides Consultant access, unless Consultant has express advance written consent from Company.</w:t>
      </w:r>
    </w:p>
    <w:p>
      <w:pPr>
        <w:spacing w:after="0" w:line="176" w:lineRule="exact"/>
        <w:rPr>
          <w:sz w:val="20"/>
          <w:szCs w:val="20"/>
          <w:color w:val="auto"/>
        </w:rPr>
      </w:pPr>
    </w:p>
    <w:p>
      <w:pPr>
        <w:jc w:val="both"/>
        <w:ind w:left="1" w:firstLine="865"/>
        <w:spacing w:after="0" w:line="247" w:lineRule="auto"/>
        <w:rPr>
          <w:sz w:val="20"/>
          <w:szCs w:val="20"/>
          <w:color w:val="auto"/>
        </w:rPr>
      </w:pPr>
      <w:r>
        <w:rPr>
          <w:rFonts w:ascii="Arial" w:cs="Arial" w:eastAsia="Arial" w:hAnsi="Arial"/>
          <w:sz w:val="20"/>
          <w:szCs w:val="20"/>
          <w:b w:val="1"/>
          <w:bCs w:val="1"/>
          <w:color w:val="auto"/>
        </w:rPr>
        <w:t>5.2 Employer Information</w:t>
      </w:r>
      <w:r>
        <w:rPr>
          <w:rFonts w:ascii="Arial" w:cs="Arial" w:eastAsia="Arial" w:hAnsi="Arial"/>
          <w:sz w:val="20"/>
          <w:szCs w:val="20"/>
          <w:color w:val="auto"/>
        </w:rPr>
        <w:t>. Consultant agrees that he will not, during her or his engagement with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improperly use or disclose any proprietary information or trade secrets of her or his former or current employers or companies with which he has or has had a consulting or other relationship, if any.</w:t>
      </w:r>
    </w:p>
    <w:p>
      <w:pPr>
        <w:spacing w:after="0" w:line="184" w:lineRule="exact"/>
        <w:rPr>
          <w:sz w:val="20"/>
          <w:szCs w:val="20"/>
          <w:color w:val="auto"/>
        </w:rPr>
      </w:pPr>
    </w:p>
    <w:p>
      <w:pPr>
        <w:jc w:val="both"/>
        <w:ind w:left="1" w:firstLine="865"/>
        <w:spacing w:after="0" w:line="238" w:lineRule="auto"/>
        <w:rPr>
          <w:sz w:val="20"/>
          <w:szCs w:val="20"/>
          <w:color w:val="auto"/>
        </w:rPr>
      </w:pPr>
      <w:r>
        <w:rPr>
          <w:rFonts w:ascii="Arial" w:cs="Arial" w:eastAsia="Arial" w:hAnsi="Arial"/>
          <w:sz w:val="20"/>
          <w:szCs w:val="20"/>
          <w:b w:val="1"/>
          <w:bCs w:val="1"/>
          <w:color w:val="auto"/>
        </w:rPr>
        <w:t>5.3 Third Party Information</w:t>
      </w:r>
      <w:r>
        <w:rPr>
          <w:rFonts w:ascii="Arial" w:cs="Arial" w:eastAsia="Arial" w:hAnsi="Arial"/>
          <w:sz w:val="20"/>
          <w:szCs w:val="20"/>
          <w:color w:val="auto"/>
        </w:rPr>
        <w:t>. Consultant recognizes that the Company has received and in the future will receive from</w:t>
      </w:r>
      <w:r>
        <w:rPr>
          <w:rFonts w:ascii="Arial" w:cs="Arial" w:eastAsia="Arial" w:hAnsi="Arial"/>
          <w:sz w:val="20"/>
          <w:szCs w:val="20"/>
          <w:b w:val="1"/>
          <w:bCs w:val="1"/>
          <w:color w:val="auto"/>
        </w:rPr>
        <w:t xml:space="preserve"> </w:t>
      </w:r>
      <w:r>
        <w:rPr>
          <w:rFonts w:ascii="Arial" w:cs="Arial" w:eastAsia="Arial" w:hAnsi="Arial"/>
          <w:sz w:val="20"/>
          <w:szCs w:val="20"/>
          <w:color w:val="auto"/>
        </w:rPr>
        <w:t>third parties their confidential or proprietary information subject to a duty on the Company’s part to maintain the confidentiality of such information and, in some cases, to use it only for certain limited purposes. Consultant agrees that he owes the Company and such third parties, both during the term of her or his engagement and thereafter, a duty to hold all such confidential or proprietary information in the strictest confidence and not to disclose it to any person, firm or corporation (except in a manner that is consistent with the Company’s agreement with the third party) or use it for the benefit of anyone other than the Company or such third party (consistent with the Company’s agreement with the third party).</w:t>
      </w:r>
    </w:p>
    <w:p>
      <w:pPr>
        <w:spacing w:after="0" w:line="192" w:lineRule="exact"/>
        <w:rPr>
          <w:sz w:val="20"/>
          <w:szCs w:val="20"/>
          <w:color w:val="auto"/>
        </w:rPr>
      </w:pPr>
    </w:p>
    <w:p>
      <w:pPr>
        <w:jc w:val="both"/>
        <w:ind w:left="1" w:firstLine="865"/>
        <w:spacing w:after="0" w:line="267" w:lineRule="auto"/>
        <w:rPr>
          <w:sz w:val="20"/>
          <w:szCs w:val="20"/>
          <w:color w:val="auto"/>
        </w:rPr>
      </w:pPr>
      <w:r>
        <w:rPr>
          <w:rFonts w:ascii="Arial" w:cs="Arial" w:eastAsia="Arial" w:hAnsi="Arial"/>
          <w:sz w:val="18"/>
          <w:szCs w:val="18"/>
          <w:b w:val="1"/>
          <w:bCs w:val="1"/>
          <w:color w:val="auto"/>
        </w:rPr>
        <w:t xml:space="preserve">5.4 Statutory Immunity from Prosecution. </w:t>
      </w:r>
      <w:r>
        <w:rPr>
          <w:rFonts w:ascii="Arial" w:cs="Arial" w:eastAsia="Arial" w:hAnsi="Arial"/>
          <w:sz w:val="18"/>
          <w:szCs w:val="18"/>
          <w:color w:val="auto"/>
        </w:rPr>
        <w:t>Consultant shall not be held criminally or civilly liable under any Federal or</w:t>
      </w:r>
      <w:r>
        <w:rPr>
          <w:rFonts w:ascii="Arial" w:cs="Arial" w:eastAsia="Arial" w:hAnsi="Arial"/>
          <w:sz w:val="18"/>
          <w:szCs w:val="18"/>
          <w:b w:val="1"/>
          <w:bCs w:val="1"/>
          <w:color w:val="auto"/>
        </w:rPr>
        <w:t xml:space="preserve"> </w:t>
      </w:r>
      <w:r>
        <w:rPr>
          <w:rFonts w:ascii="Arial" w:cs="Arial" w:eastAsia="Arial" w:hAnsi="Arial"/>
          <w:sz w:val="18"/>
          <w:szCs w:val="18"/>
          <w:color w:val="auto"/>
        </w:rPr>
        <w:t>State trade secret law for the disclosure of a trade secret that: (i) is done solely for the purpose of reporting or investigating a suspected violation of law and is made in confidence to a Federal, State, or local government official, either directly or indirectly, or to an attorney; or</w:t>
      </w:r>
    </w:p>
    <w:p>
      <w:pPr>
        <w:spacing w:after="0" w:line="2" w:lineRule="exact"/>
        <w:rPr>
          <w:sz w:val="20"/>
          <w:szCs w:val="20"/>
          <w:color w:val="auto"/>
        </w:rPr>
      </w:pPr>
    </w:p>
    <w:p>
      <w:pPr>
        <w:ind w:left="301" w:hanging="301"/>
        <w:spacing w:after="0"/>
        <w:tabs>
          <w:tab w:leader="none" w:pos="301" w:val="left"/>
        </w:tabs>
        <w:numPr>
          <w:ilvl w:val="0"/>
          <w:numId w:val="51"/>
        </w:numPr>
        <w:rPr>
          <w:rFonts w:ascii="Arial" w:cs="Arial" w:eastAsia="Arial" w:hAnsi="Arial"/>
          <w:sz w:val="20"/>
          <w:szCs w:val="20"/>
          <w:color w:val="auto"/>
        </w:rPr>
      </w:pPr>
      <w:r>
        <w:rPr>
          <w:rFonts w:ascii="Arial" w:cs="Arial" w:eastAsia="Arial" w:hAnsi="Arial"/>
          <w:sz w:val="20"/>
          <w:szCs w:val="20"/>
          <w:color w:val="auto"/>
        </w:rPr>
        <w:t>is made in a complaint or other document filed in a lawsuit or other proceeding, if such filing is made under seal.</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jc w:val="both"/>
        <w:ind w:left="1" w:firstLine="864"/>
        <w:spacing w:after="0" w:line="252" w:lineRule="auto"/>
        <w:tabs>
          <w:tab w:leader="none" w:pos="1610" w:val="left"/>
        </w:tabs>
        <w:numPr>
          <w:ilvl w:val="1"/>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T</w:t>
      </w:r>
      <w:r>
        <w:rPr>
          <w:rFonts w:ascii="Arial" w:cs="Arial" w:eastAsia="Arial" w:hAnsi="Arial"/>
          <w:sz w:val="12"/>
          <w:szCs w:val="12"/>
          <w:b w:val="1"/>
          <w:bCs w:val="1"/>
          <w:color w:val="auto"/>
        </w:rPr>
        <w:t>ERM AND</w:t>
      </w:r>
      <w:r>
        <w:rPr>
          <w:rFonts w:ascii="Arial" w:cs="Arial" w:eastAsia="Arial" w:hAnsi="Arial"/>
          <w:sz w:val="19"/>
          <w:szCs w:val="19"/>
          <w:b w:val="1"/>
          <w:bCs w:val="1"/>
          <w:color w:val="auto"/>
        </w:rPr>
        <w:t xml:space="preserve"> T</w:t>
      </w:r>
      <w:r>
        <w:rPr>
          <w:rFonts w:ascii="Arial" w:cs="Arial" w:eastAsia="Arial" w:hAnsi="Arial"/>
          <w:sz w:val="12"/>
          <w:szCs w:val="12"/>
          <w:b w:val="1"/>
          <w:bCs w:val="1"/>
          <w:color w:val="auto"/>
        </w:rPr>
        <w: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expire two years after the Effective Date. Notwithstanding the</w:t>
      </w:r>
      <w:r>
        <w:rPr>
          <w:rFonts w:ascii="Arial" w:cs="Arial" w:eastAsia="Arial" w:hAnsi="Arial"/>
          <w:sz w:val="19"/>
          <w:szCs w:val="19"/>
          <w:b w:val="1"/>
          <w:bCs w:val="1"/>
          <w:color w:val="auto"/>
        </w:rPr>
        <w:t xml:space="preserve"> </w:t>
      </w:r>
      <w:r>
        <w:rPr>
          <w:rFonts w:ascii="Arial" w:cs="Arial" w:eastAsia="Arial" w:hAnsi="Arial"/>
          <w:sz w:val="19"/>
          <w:szCs w:val="19"/>
          <w:color w:val="auto"/>
        </w:rPr>
        <w:t>foregoing, either the Company or Consultant may terminate this Agreement at any time with or without cause by giving thirty (30) days written notice. In addition, Consultant may terminate this Agreement immediately upon written notice that Consultant’s employer refuses to approve the engagement of Consultant under this Agreement. If this Agreement terminates, Consultant shall cease work immediately after giving or receiving such notice or termination, unless otherwise advised by the Company, shall return to the Company all Information and other materials belonging to the Company, and shall notify the Company of costs incurred up to the termination date. Sections 4-5 of this Agreement shall survive any termination of this Agreement.</w:t>
      </w:r>
    </w:p>
    <w:p>
      <w:pPr>
        <w:spacing w:after="0" w:line="182" w:lineRule="exact"/>
        <w:rPr>
          <w:rFonts w:ascii="Arial" w:cs="Arial" w:eastAsia="Arial" w:hAnsi="Arial"/>
          <w:sz w:val="19"/>
          <w:szCs w:val="19"/>
          <w:b w:val="1"/>
          <w:bCs w:val="1"/>
          <w:color w:val="auto"/>
        </w:rPr>
      </w:pPr>
    </w:p>
    <w:p>
      <w:pPr>
        <w:ind w:left="1" w:firstLine="864"/>
        <w:spacing w:after="0" w:line="261" w:lineRule="auto"/>
        <w:tabs>
          <w:tab w:leader="none" w:pos="1610" w:val="left"/>
        </w:tabs>
        <w:numPr>
          <w:ilvl w:val="1"/>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OMPLIANCE WITH</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PPLICABLE</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AWS</w:t>
      </w:r>
      <w:r>
        <w:rPr>
          <w:rFonts w:ascii="Arial" w:cs="Arial" w:eastAsia="Arial" w:hAnsi="Arial"/>
          <w:sz w:val="20"/>
          <w:szCs w:val="20"/>
          <w:color w:val="auto"/>
        </w:rPr>
        <w:t>. Consultant warrants that all work performed under this Agreement complies with</w:t>
      </w:r>
      <w:r>
        <w:rPr>
          <w:rFonts w:ascii="Arial" w:cs="Arial" w:eastAsia="Arial" w:hAnsi="Arial"/>
          <w:sz w:val="20"/>
          <w:szCs w:val="20"/>
          <w:b w:val="1"/>
          <w:bCs w:val="1"/>
          <w:color w:val="auto"/>
        </w:rPr>
        <w:t xml:space="preserve"> </w:t>
      </w:r>
      <w:r>
        <w:rPr>
          <w:rFonts w:ascii="Arial" w:cs="Arial" w:eastAsia="Arial" w:hAnsi="Arial"/>
          <w:sz w:val="20"/>
          <w:szCs w:val="20"/>
          <w:color w:val="auto"/>
        </w:rPr>
        <w:t>or will comply with all applicable United States and foreign laws and regulations.</w:t>
      </w:r>
    </w:p>
    <w:p>
      <w:pPr>
        <w:spacing w:after="0" w:line="170" w:lineRule="exact"/>
        <w:rPr>
          <w:rFonts w:ascii="Arial" w:cs="Arial" w:eastAsia="Arial" w:hAnsi="Arial"/>
          <w:sz w:val="20"/>
          <w:szCs w:val="20"/>
          <w:b w:val="1"/>
          <w:bCs w:val="1"/>
          <w:color w:val="auto"/>
        </w:rPr>
      </w:pPr>
    </w:p>
    <w:p>
      <w:pPr>
        <w:jc w:val="both"/>
        <w:ind w:left="1" w:firstLine="864"/>
        <w:spacing w:after="0" w:line="266" w:lineRule="auto"/>
        <w:tabs>
          <w:tab w:leader="none" w:pos="1610" w:val="left"/>
        </w:tabs>
        <w:numPr>
          <w:ilvl w:val="1"/>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A</w:t>
      </w:r>
      <w:r>
        <w:rPr>
          <w:rFonts w:ascii="Arial" w:cs="Arial" w:eastAsia="Arial" w:hAnsi="Arial"/>
          <w:sz w:val="12"/>
          <w:szCs w:val="12"/>
          <w:b w:val="1"/>
          <w:bCs w:val="1"/>
          <w:color w:val="auto"/>
        </w:rPr>
        <w:t>SSIGNMENT</w:t>
      </w:r>
      <w:r>
        <w:rPr>
          <w:rFonts w:ascii="Arial" w:cs="Arial" w:eastAsia="Arial" w:hAnsi="Arial"/>
          <w:sz w:val="19"/>
          <w:szCs w:val="19"/>
          <w:b w:val="1"/>
          <w:bCs w:val="1"/>
          <w:color w:val="auto"/>
        </w:rPr>
        <w:t>; B</w:t>
      </w:r>
      <w:r>
        <w:rPr>
          <w:rFonts w:ascii="Arial" w:cs="Arial" w:eastAsia="Arial" w:hAnsi="Arial"/>
          <w:sz w:val="12"/>
          <w:szCs w:val="12"/>
          <w:b w:val="1"/>
          <w:bCs w:val="1"/>
          <w:color w:val="auto"/>
        </w:rPr>
        <w:t>ENEFIT</w:t>
      </w:r>
      <w:r>
        <w:rPr>
          <w:rFonts w:ascii="Arial" w:cs="Arial" w:eastAsia="Arial" w:hAnsi="Arial"/>
          <w:sz w:val="19"/>
          <w:szCs w:val="19"/>
          <w:color w:val="auto"/>
        </w:rPr>
        <w:t>. This Agreement is for the personal services of Consultant and may not be assigned by her, him or</w:t>
      </w:r>
      <w:r>
        <w:rPr>
          <w:rFonts w:ascii="Arial" w:cs="Arial" w:eastAsia="Arial" w:hAnsi="Arial"/>
          <w:sz w:val="19"/>
          <w:szCs w:val="19"/>
          <w:b w:val="1"/>
          <w:bCs w:val="1"/>
          <w:color w:val="auto"/>
        </w:rPr>
        <w:t xml:space="preserve"> </w:t>
      </w:r>
      <w:r>
        <w:rPr>
          <w:rFonts w:ascii="Arial" w:cs="Arial" w:eastAsia="Arial" w:hAnsi="Arial"/>
          <w:sz w:val="19"/>
          <w:szCs w:val="19"/>
          <w:color w:val="auto"/>
        </w:rPr>
        <w:t>it. Consultant may not delegate any of his, her or its duties under this Agreement nor shall it be assignable by Consultant by operation of law, without the prior written consent of the Company. The parties’ rights and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6071235" cy="5518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6071235" cy="551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
        <w:spacing w:after="0"/>
        <w:rPr>
          <w:sz w:val="20"/>
          <w:szCs w:val="20"/>
          <w:color w:val="auto"/>
        </w:rPr>
      </w:pPr>
      <w:r>
        <w:rPr>
          <w:rFonts w:ascii="Arial" w:cs="Arial" w:eastAsia="Arial" w:hAnsi="Arial"/>
          <w:sz w:val="13"/>
          <w:szCs w:val="13"/>
          <w:color w:val="auto"/>
        </w:rPr>
        <w:t>US-DOCS\122428112.1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wp:posOffset>
            </wp:positionV>
            <wp:extent cx="7184390"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1"/>
          </w:cols>
          <w:pgMar w:left="319" w:top="1312" w:right="339" w:bottom="1440" w:gutter="0" w:footer="0" w:header="0"/>
        </w:sectPr>
      </w:pPr>
    </w:p>
    <w:bookmarkStart w:id="87" w:name="page88"/>
    <w:bookmarkEnd w:id="87"/>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898525" cy="5048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898525" cy="504825"/>
                    </a:xfrm>
                    <a:prstGeom prst="rect">
                      <a:avLst/>
                    </a:prstGeom>
                    <a:noFill/>
                  </pic:spPr>
                </pic:pic>
              </a:graphicData>
            </a:graphic>
          </wp:anchor>
        </w:drawing>
        <w:t>will bind and inure to the benefit of their respective successors, heirs, executors, and administrators and permitted assigns.</w:t>
      </w:r>
    </w:p>
    <w:p>
      <w:pPr>
        <w:spacing w:after="0" w:line="211" w:lineRule="exact"/>
        <w:rPr>
          <w:sz w:val="20"/>
          <w:szCs w:val="20"/>
          <w:color w:val="auto"/>
        </w:rPr>
      </w:pPr>
    </w:p>
    <w:p>
      <w:pPr>
        <w:jc w:val="both"/>
        <w:ind w:firstLine="864"/>
        <w:spacing w:after="0" w:line="273" w:lineRule="auto"/>
        <w:tabs>
          <w:tab w:leader="none" w:pos="161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EGAL AND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QUITABLE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EMEDIES</w:t>
      </w:r>
      <w:r>
        <w:rPr>
          <w:rFonts w:ascii="Arial" w:cs="Arial" w:eastAsia="Arial" w:hAnsi="Arial"/>
          <w:sz w:val="18"/>
          <w:szCs w:val="18"/>
          <w:color w:val="auto"/>
        </w:rPr>
        <w:t>. Consultant hereby acknowledges and agrees that if Consultant breaches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including, without limitation, by the actual or threatened disclosure of Information without the prior express written consent of the Company, the Company will suffer an irreparable injury, such that no remedy at law will afford it adequate protection against, or appropriate compensation for, such injury. Accordingly, Consultant hereby agrees that the Company shall be entitled to specific performance of Consultant’s obligations under this Agreement, as well as such further relief as may be granted by a court of competent jurisdiction.</w:t>
      </w:r>
    </w:p>
    <w:p>
      <w:pPr>
        <w:spacing w:after="0" w:line="163" w:lineRule="exact"/>
        <w:rPr>
          <w:rFonts w:ascii="Arial" w:cs="Arial" w:eastAsia="Arial" w:hAnsi="Arial"/>
          <w:sz w:val="18"/>
          <w:szCs w:val="18"/>
          <w:b w:val="1"/>
          <w:bCs w:val="1"/>
          <w:color w:val="auto"/>
        </w:rPr>
      </w:pPr>
    </w:p>
    <w:p>
      <w:pPr>
        <w:jc w:val="both"/>
        <w:ind w:firstLine="864"/>
        <w:spacing w:after="0" w:line="242" w:lineRule="auto"/>
        <w:tabs>
          <w:tab w:leader="none" w:pos="1709"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OTICES</w:t>
      </w:r>
      <w:r>
        <w:rPr>
          <w:rFonts w:ascii="Arial" w:cs="Arial" w:eastAsia="Arial" w:hAnsi="Arial"/>
          <w:sz w:val="20"/>
          <w:szCs w:val="20"/>
          <w:color w:val="auto"/>
        </w:rPr>
        <w:t>. Any notices required or permitted hereunder shall be given to the appropriate party at the address specified</w:t>
      </w:r>
      <w:r>
        <w:rPr>
          <w:rFonts w:ascii="Arial" w:cs="Arial" w:eastAsia="Arial" w:hAnsi="Arial"/>
          <w:sz w:val="20"/>
          <w:szCs w:val="20"/>
          <w:b w:val="1"/>
          <w:bCs w:val="1"/>
          <w:color w:val="auto"/>
        </w:rPr>
        <w:t xml:space="preserve"> </w:t>
      </w:r>
      <w:r>
        <w:rPr>
          <w:rFonts w:ascii="Arial" w:cs="Arial" w:eastAsia="Arial" w:hAnsi="Arial"/>
          <w:sz w:val="20"/>
          <w:szCs w:val="20"/>
          <w:color w:val="auto"/>
        </w:rPr>
        <w:t>below or at such other address as the party shall specify in writing. Such notice shall be deemed given upon personal delivery to the appropriate address or sent by certified or registered mail, three days after the date of mailing. Either party may update its notice address by written notice to the other party.</w:t>
      </w:r>
    </w:p>
    <w:p>
      <w:pPr>
        <w:sectPr>
          <w:pgSz w:w="11900" w:h="16838" w:orient="portrait"/>
          <w:cols w:equalWidth="0" w:num="1">
            <w:col w:w="11240"/>
          </w:cols>
          <w:pgMar w:left="320" w:top="1114" w:right="339" w:bottom="1440" w:gutter="0" w:footer="0" w:header="0"/>
        </w:sectPr>
      </w:pPr>
    </w:p>
    <w:p>
      <w:pPr>
        <w:spacing w:after="0" w:line="196" w:lineRule="exact"/>
        <w:rPr>
          <w:sz w:val="20"/>
          <w:szCs w:val="20"/>
          <w:color w:val="auto"/>
        </w:rPr>
      </w:pPr>
    </w:p>
    <w:p>
      <w:pPr>
        <w:ind w:left="860"/>
        <w:spacing w:after="0"/>
        <w:rPr>
          <w:sz w:val="20"/>
          <w:szCs w:val="20"/>
          <w:color w:val="auto"/>
        </w:rPr>
      </w:pPr>
      <w:r>
        <w:rPr>
          <w:rFonts w:ascii="Arial" w:cs="Arial" w:eastAsia="Arial" w:hAnsi="Arial"/>
          <w:sz w:val="20"/>
          <w:szCs w:val="20"/>
          <w:color w:val="auto"/>
        </w:rPr>
        <w:t>If to the Company:</w:t>
      </w:r>
    </w:p>
    <w:p>
      <w:pPr>
        <w:spacing w:after="0" w:line="3"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YTOM</w:t>
      </w:r>
      <w:r>
        <w:rPr>
          <w:rFonts w:ascii="Arial" w:cs="Arial" w:eastAsia="Arial" w:hAnsi="Arial"/>
          <w:sz w:val="20"/>
          <w:szCs w:val="20"/>
          <w:b w:val="1"/>
          <w:bCs w:val="1"/>
          <w:color w:val="auto"/>
        </w:rPr>
        <w:t>X T</w:t>
      </w:r>
      <w:r>
        <w:rPr>
          <w:rFonts w:ascii="Arial" w:cs="Arial" w:eastAsia="Arial" w:hAnsi="Arial"/>
          <w:sz w:val="13"/>
          <w:szCs w:val="13"/>
          <w:b w:val="1"/>
          <w:bCs w:val="1"/>
          <w:color w:val="auto"/>
        </w:rPr>
        <w:t>HERAPEUTICS</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p>
    <w:p>
      <w:pPr>
        <w:ind w:left="860"/>
        <w:spacing w:after="0"/>
        <w:rPr>
          <w:sz w:val="20"/>
          <w:szCs w:val="20"/>
          <w:color w:val="auto"/>
        </w:rPr>
      </w:pPr>
      <w:r>
        <w:rPr>
          <w:rFonts w:ascii="Arial" w:cs="Arial" w:eastAsia="Arial" w:hAnsi="Arial"/>
          <w:sz w:val="18"/>
          <w:szCs w:val="18"/>
          <w:color w:val="auto"/>
        </w:rPr>
        <w:t>151 Oyster Point Blvd, Suite 400</w:t>
      </w:r>
    </w:p>
    <w:p>
      <w:pPr>
        <w:spacing w:after="0" w:line="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South San Francisco, CA 94080</w:t>
      </w:r>
    </w:p>
    <w:p>
      <w:pPr>
        <w:spacing w:after="0" w:line="17"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ATTN: General Counsel</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If to the Consultant: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Charles Fuchs, M.D., M.P.H.</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[At the Address below]</w:t>
      </w:r>
    </w:p>
    <w:p>
      <w:pPr>
        <w:spacing w:after="0" w:line="641" w:lineRule="exact"/>
        <w:rPr>
          <w:sz w:val="20"/>
          <w:szCs w:val="20"/>
          <w:color w:val="auto"/>
        </w:rPr>
      </w:pPr>
    </w:p>
    <w:p>
      <w:pPr>
        <w:sectPr>
          <w:pgSz w:w="11900" w:h="16838" w:orient="portrait"/>
          <w:cols w:equalWidth="0" w:num="2">
            <w:col w:w="6020" w:space="720"/>
            <w:col w:w="4500"/>
          </w:cols>
          <w:pgMar w:left="320" w:top="1114" w:right="339" w:bottom="1440" w:gutter="0" w:footer="0" w:header="0"/>
          <w:type w:val="continuous"/>
        </w:sectPr>
      </w:pPr>
    </w:p>
    <w:p>
      <w:pPr>
        <w:jc w:val="both"/>
        <w:ind w:firstLine="864"/>
        <w:spacing w:after="0" w:line="238" w:lineRule="auto"/>
        <w:tabs>
          <w:tab w:leader="none" w:pos="1698"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color w:val="auto"/>
        </w:rPr>
        <w:t>G</w:t>
      </w:r>
      <w:r>
        <w:rPr>
          <w:rFonts w:ascii="Arial" w:cs="Arial" w:eastAsia="Arial" w:hAnsi="Arial"/>
          <w:sz w:val="13"/>
          <w:szCs w:val="13"/>
          <w:b w:val="1"/>
          <w:bCs w:val="1"/>
          <w:color w:val="auto"/>
        </w:rPr>
        <w:t>OVERNING</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AW</w:t>
      </w:r>
      <w:r>
        <w:rPr>
          <w:rFonts w:ascii="Arial" w:cs="Arial" w:eastAsia="Arial" w:hAnsi="Arial"/>
          <w:sz w:val="20"/>
          <w:szCs w:val="20"/>
          <w:b w:val="1"/>
          <w:bCs w:val="1"/>
          <w:color w:val="auto"/>
        </w:rPr>
        <w:t>; S</w:t>
      </w:r>
      <w:r>
        <w:rPr>
          <w:rFonts w:ascii="Arial" w:cs="Arial" w:eastAsia="Arial" w:hAnsi="Arial"/>
          <w:sz w:val="13"/>
          <w:szCs w:val="13"/>
          <w:b w:val="1"/>
          <w:bCs w:val="1"/>
          <w:color w:val="auto"/>
        </w:rPr>
        <w:t>EVERABILITY</w:t>
      </w:r>
      <w:r>
        <w:rPr>
          <w:rFonts w:ascii="Arial" w:cs="Arial" w:eastAsia="Arial" w:hAnsi="Arial"/>
          <w:sz w:val="20"/>
          <w:szCs w:val="20"/>
          <w:color w:val="auto"/>
        </w:rPr>
        <w:t>. This Agreement shall be governed by and construed according to the laws of the State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of California, without giving effect to its conflict of laws rules. If any provision of this Agreement is found by a court of competent jurisdiction to be unenforceable, that provision shall be severed and the remainder of this Agreement shall continue in full force and effect. Any disputes arising under this Agreement shall be resolved by trial to a judge as the finder of fact seated in a court of competent subject matter jurisdiction in California. Each party hereby consents to, and waives any defenses that party may have to or conflicting with, the personal jurisdiction and venue of all such courts or relating to trial to a judge (including without limitation the defense of </w:t>
      </w:r>
      <w:r>
        <w:rPr>
          <w:rFonts w:ascii="Arial" w:cs="Arial" w:eastAsia="Arial" w:hAnsi="Arial"/>
          <w:sz w:val="20"/>
          <w:szCs w:val="20"/>
          <w:i w:val="1"/>
          <w:iCs w:val="1"/>
          <w:color w:val="auto"/>
        </w:rPr>
        <w:t>forum non</w:t>
      </w:r>
      <w:r>
        <w:rPr>
          <w:rFonts w:ascii="Arial" w:cs="Arial" w:eastAsia="Arial" w:hAnsi="Arial"/>
          <w:sz w:val="20"/>
          <w:szCs w:val="20"/>
          <w:color w:val="auto"/>
        </w:rPr>
        <w:t xml:space="preserve"> </w:t>
      </w:r>
      <w:r>
        <w:rPr>
          <w:rFonts w:ascii="Arial" w:cs="Arial" w:eastAsia="Arial" w:hAnsi="Arial"/>
          <w:sz w:val="20"/>
          <w:szCs w:val="20"/>
          <w:i w:val="1"/>
          <w:iCs w:val="1"/>
          <w:color w:val="auto"/>
        </w:rPr>
        <w:t>conveniens</w:t>
      </w:r>
      <w:r>
        <w:rPr>
          <w:rFonts w:ascii="Arial" w:cs="Arial" w:eastAsia="Arial" w:hAnsi="Arial"/>
          <w:sz w:val="20"/>
          <w:szCs w:val="20"/>
          <w:color w:val="auto"/>
        </w:rPr>
        <w:t>).</w:t>
      </w:r>
    </w:p>
    <w:p>
      <w:pPr>
        <w:spacing w:after="0" w:line="191" w:lineRule="exact"/>
        <w:rPr>
          <w:rFonts w:ascii="Arial" w:cs="Arial" w:eastAsia="Arial" w:hAnsi="Arial"/>
          <w:sz w:val="20"/>
          <w:szCs w:val="20"/>
          <w:b w:val="1"/>
          <w:bCs w:val="1"/>
          <w:color w:val="auto"/>
        </w:rPr>
      </w:pPr>
    </w:p>
    <w:p>
      <w:pPr>
        <w:jc w:val="both"/>
        <w:ind w:firstLine="864"/>
        <w:spacing w:after="0" w:line="278" w:lineRule="auto"/>
        <w:tabs>
          <w:tab w:leader="none" w:pos="1709"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OMPLETE</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NDERSTANDING</w:t>
      </w:r>
      <w:r>
        <w:rPr>
          <w:rFonts w:ascii="Arial" w:cs="Arial" w:eastAsia="Arial" w:hAnsi="Arial"/>
          <w:sz w:val="18"/>
          <w:szCs w:val="18"/>
          <w:b w:val="1"/>
          <w:bCs w:val="1"/>
          <w:color w:val="auto"/>
        </w:rPr>
        <w:t>; M</w:t>
      </w:r>
      <w:r>
        <w:rPr>
          <w:rFonts w:ascii="Arial" w:cs="Arial" w:eastAsia="Arial" w:hAnsi="Arial"/>
          <w:sz w:val="12"/>
          <w:szCs w:val="12"/>
          <w:b w:val="1"/>
          <w:bCs w:val="1"/>
          <w:color w:val="auto"/>
        </w:rPr>
        <w:t>ODIFICATION</w:t>
      </w:r>
      <w:r>
        <w:rPr>
          <w:rFonts w:ascii="Arial" w:cs="Arial" w:eastAsia="Arial" w:hAnsi="Arial"/>
          <w:sz w:val="18"/>
          <w:szCs w:val="18"/>
          <w:color w:val="auto"/>
        </w:rPr>
        <w:t>. This Agreement constitutes the final, exclusive and complete understanding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agreement of the Company and Consultant with respect to the subject matter hereof. There are no other understandings, agreements, representations or warranties between the parties with respect to that subject matter other than those set forth in this Agreement. Any waiver, modification or amendment of any provision of this Agreement shall be effective only if in writing and signed by a Company officer.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417830</wp:posOffset>
            </wp:positionV>
            <wp:extent cx="6071235" cy="5518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6071235" cy="551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3"/>
          <w:szCs w:val="13"/>
          <w:color w:val="auto"/>
        </w:rPr>
        <w:t>US-DOCS\122428112.1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46990</wp:posOffset>
            </wp:positionV>
            <wp:extent cx="7184390"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7184390" cy="41275"/>
                    </a:xfrm>
                    <a:prstGeom prst="rect">
                      <a:avLst/>
                    </a:prstGeom>
                    <a:noFill/>
                  </pic:spPr>
                </pic:pic>
              </a:graphicData>
            </a:graphic>
          </wp:anchor>
        </w:drawing>
      </w:r>
    </w:p>
    <w:p>
      <w:pPr>
        <w:sectPr>
          <w:pgSz w:w="11900" w:h="16838" w:orient="portrait"/>
          <w:cols w:equalWidth="0" w:num="1">
            <w:col w:w="11240"/>
          </w:cols>
          <w:pgMar w:left="320" w:top="1114"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898525" cy="5048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898525" cy="504825"/>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hereto have executed this Agreement as of the Effective Date.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320" w:type="dxa"/>
            <w:vAlign w:val="bottom"/>
            <w:gridSpan w:val="3"/>
          </w:tcPr>
          <w:p>
            <w:pPr>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YTOM</w:t>
            </w:r>
            <w:r>
              <w:rPr>
                <w:rFonts w:ascii="Arial" w:cs="Arial" w:eastAsia="Arial" w:hAnsi="Arial"/>
                <w:sz w:val="20"/>
                <w:szCs w:val="20"/>
                <w:b w:val="1"/>
                <w:bCs w:val="1"/>
                <w:color w:val="auto"/>
              </w:rPr>
              <w:t>X T</w:t>
            </w:r>
            <w:r>
              <w:rPr>
                <w:rFonts w:ascii="Arial" w:cs="Arial" w:eastAsia="Arial" w:hAnsi="Arial"/>
                <w:sz w:val="13"/>
                <w:szCs w:val="13"/>
                <w:b w:val="1"/>
                <w:bCs w:val="1"/>
                <w:color w:val="auto"/>
              </w:rPr>
              <w:t>HERAPEUTICS</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p>
        </w:tc>
        <w:tc>
          <w:tcPr>
            <w:tcW w:w="5100" w:type="dxa"/>
            <w:vAlign w:val="bottom"/>
            <w:gridSpan w:val="3"/>
          </w:tcPr>
          <w:p>
            <w:pPr>
              <w:ind w:left="1260"/>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ONSULTANT</w:t>
            </w:r>
          </w:p>
        </w:tc>
      </w:tr>
      <w:tr>
        <w:trPr>
          <w:trHeight w:val="389"/>
        </w:trPr>
        <w:tc>
          <w:tcPr>
            <w:tcW w:w="4320" w:type="dxa"/>
            <w:vAlign w:val="bottom"/>
            <w:gridSpan w:val="3"/>
          </w:tcPr>
          <w:p>
            <w:pPr>
              <w:spacing w:after="0"/>
              <w:rPr>
                <w:sz w:val="20"/>
                <w:szCs w:val="20"/>
                <w:color w:val="auto"/>
              </w:rPr>
            </w:pPr>
            <w:r>
              <w:rPr>
                <w:rFonts w:ascii="Arial" w:cs="Arial" w:eastAsia="Arial" w:hAnsi="Arial"/>
                <w:sz w:val="18"/>
                <w:szCs w:val="18"/>
                <w:color w:val="auto"/>
              </w:rPr>
              <w:t>By: /s/ Lloyd Rowland</w:t>
            </w:r>
          </w:p>
        </w:tc>
        <w:tc>
          <w:tcPr>
            <w:tcW w:w="5100" w:type="dxa"/>
            <w:vAlign w:val="bottom"/>
            <w:gridSpan w:val="3"/>
          </w:tcPr>
          <w:p>
            <w:pPr>
              <w:ind w:left="1260"/>
              <w:spacing w:after="0"/>
              <w:rPr>
                <w:sz w:val="20"/>
                <w:szCs w:val="20"/>
                <w:color w:val="auto"/>
              </w:rPr>
            </w:pPr>
            <w:r>
              <w:rPr>
                <w:rFonts w:ascii="Arial" w:cs="Arial" w:eastAsia="Arial" w:hAnsi="Arial"/>
                <w:sz w:val="18"/>
                <w:szCs w:val="18"/>
                <w:color w:val="auto"/>
              </w:rPr>
              <w:t>By: /s Charles Fuchs</w:t>
            </w:r>
          </w:p>
        </w:tc>
      </w:tr>
      <w:tr>
        <w:trPr>
          <w:trHeight w:val="20"/>
        </w:trPr>
        <w:tc>
          <w:tcPr>
            <w:tcW w:w="2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456"/>
        </w:trPr>
        <w:tc>
          <w:tcPr>
            <w:tcW w:w="4320" w:type="dxa"/>
            <w:vAlign w:val="bottom"/>
            <w:gridSpan w:val="3"/>
          </w:tcPr>
          <w:p>
            <w:pPr>
              <w:spacing w:after="0"/>
              <w:rPr>
                <w:sz w:val="20"/>
                <w:szCs w:val="20"/>
                <w:color w:val="auto"/>
              </w:rPr>
            </w:pPr>
            <w:r>
              <w:rPr>
                <w:rFonts w:ascii="Arial" w:cs="Arial" w:eastAsia="Arial" w:hAnsi="Arial"/>
                <w:sz w:val="18"/>
                <w:szCs w:val="18"/>
                <w:color w:val="auto"/>
              </w:rPr>
              <w:t>Name: Lloyd Rowland</w:t>
            </w:r>
          </w:p>
        </w:tc>
        <w:tc>
          <w:tcPr>
            <w:tcW w:w="5100" w:type="dxa"/>
            <w:vAlign w:val="bottom"/>
            <w:gridSpan w:val="3"/>
          </w:tcPr>
          <w:p>
            <w:pPr>
              <w:ind w:left="1260"/>
              <w:spacing w:after="0"/>
              <w:rPr>
                <w:sz w:val="20"/>
                <w:szCs w:val="20"/>
                <w:color w:val="auto"/>
              </w:rPr>
            </w:pPr>
            <w:r>
              <w:rPr>
                <w:rFonts w:ascii="Arial" w:cs="Arial" w:eastAsia="Arial" w:hAnsi="Arial"/>
                <w:sz w:val="18"/>
                <w:szCs w:val="18"/>
                <w:color w:val="auto"/>
              </w:rPr>
              <w:t>Name: Charles Fuchs, M.D., M.P.H.</w:t>
            </w:r>
          </w:p>
        </w:tc>
      </w:tr>
      <w:tr>
        <w:trPr>
          <w:trHeight w:val="435"/>
        </w:trPr>
        <w:tc>
          <w:tcPr>
            <w:tcW w:w="4320" w:type="dxa"/>
            <w:vAlign w:val="bottom"/>
            <w:gridSpan w:val="3"/>
          </w:tcPr>
          <w:p>
            <w:pPr>
              <w:spacing w:after="0"/>
              <w:rPr>
                <w:sz w:val="20"/>
                <w:szCs w:val="20"/>
                <w:color w:val="auto"/>
              </w:rPr>
            </w:pPr>
            <w:r>
              <w:rPr>
                <w:rFonts w:ascii="Arial" w:cs="Arial" w:eastAsia="Arial" w:hAnsi="Arial"/>
                <w:sz w:val="18"/>
                <w:szCs w:val="18"/>
                <w:color w:val="auto"/>
              </w:rPr>
              <w:t>Title: Sr. Vice President, General Counsel</w:t>
            </w:r>
          </w:p>
        </w:tc>
        <w:tc>
          <w:tcPr>
            <w:tcW w:w="1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63"/>
        </w:trPr>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100" w:type="dxa"/>
            <w:vAlign w:val="bottom"/>
            <w:gridSpan w:val="3"/>
          </w:tcPr>
          <w:p>
            <w:pPr>
              <w:ind w:left="1260"/>
              <w:spacing w:after="0"/>
              <w:rPr>
                <w:sz w:val="20"/>
                <w:szCs w:val="20"/>
                <w:color w:val="auto"/>
              </w:rPr>
            </w:pPr>
            <w:r>
              <w:rPr>
                <w:rFonts w:ascii="Arial" w:cs="Arial" w:eastAsia="Arial" w:hAnsi="Arial"/>
                <w:sz w:val="20"/>
                <w:szCs w:val="20"/>
                <w:color w:val="auto"/>
                <w:w w:val="97"/>
              </w:rPr>
              <w:t>A</w:t>
            </w:r>
            <w:r>
              <w:rPr>
                <w:rFonts w:ascii="Arial" w:cs="Arial" w:eastAsia="Arial" w:hAnsi="Arial"/>
                <w:sz w:val="13"/>
                <w:szCs w:val="13"/>
                <w:color w:val="auto"/>
                <w:w w:val="97"/>
              </w:rPr>
              <w:t>DDRESS</w:t>
            </w:r>
            <w:r>
              <w:rPr>
                <w:rFonts w:ascii="Arial" w:cs="Arial" w:eastAsia="Arial" w:hAnsi="Arial"/>
                <w:sz w:val="20"/>
                <w:szCs w:val="20"/>
                <w:color w:val="auto"/>
                <w:w w:val="97"/>
              </w:rPr>
              <w:t>: ____________________________</w:t>
            </w:r>
          </w:p>
        </w:tc>
      </w:tr>
      <w:tr>
        <w:trPr>
          <w:trHeight w:val="447"/>
        </w:trPr>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100" w:type="dxa"/>
            <w:vAlign w:val="bottom"/>
            <w:gridSpan w:val="3"/>
          </w:tcPr>
          <w:p>
            <w:pPr>
              <w:ind w:left="2300"/>
              <w:spacing w:after="0"/>
              <w:rPr>
                <w:sz w:val="20"/>
                <w:szCs w:val="20"/>
                <w:color w:val="auto"/>
              </w:rPr>
            </w:pPr>
            <w:r>
              <w:rPr>
                <w:rFonts w:ascii="Arial" w:cs="Arial" w:eastAsia="Arial" w:hAnsi="Arial"/>
                <w:sz w:val="20"/>
                <w:szCs w:val="20"/>
                <w:color w:val="auto"/>
                <w:w w:val="89"/>
              </w:rPr>
              <w:t>____________________________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247015</wp:posOffset>
            </wp:positionV>
            <wp:extent cx="6071235" cy="5518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6071235" cy="551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US-DOCS\122428112.1</w:t>
      </w:r>
    </w:p>
    <w:p>
      <w:pPr>
        <w:sectPr>
          <w:pgSz w:w="11900" w:h="16838" w:orient="portrait"/>
          <w:cols w:equalWidth="0" w:num="1">
            <w:col w:w="10139"/>
          </w:cols>
          <w:pgMar w:left="320" w:top="1108" w:right="1440" w:bottom="1440" w:gutter="0" w:footer="0" w:header="0"/>
        </w:sectPr>
      </w:pPr>
    </w:p>
    <w:bookmarkStart w:id="89" w:name="page90"/>
    <w:bookmarkEnd w:id="89"/>
    <w:p>
      <w:pPr>
        <w:jc w:val="right"/>
        <w:spacing w:after="0"/>
        <w:rPr>
          <w:sz w:val="20"/>
          <w:szCs w:val="20"/>
          <w:color w:val="auto"/>
        </w:rPr>
      </w:pPr>
      <w:r>
        <w:rPr>
          <w:rFonts w:ascii="Arial" w:cs="Arial" w:eastAsia="Arial" w:hAnsi="Arial"/>
          <w:sz w:val="17"/>
          <w:szCs w:val="17"/>
          <w:b w:val="1"/>
          <w:bCs w:val="1"/>
          <w:color w:val="auto"/>
        </w:rPr>
        <w:t>Exhibit 31.1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EXECUTIVE OFFICER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I, Sean A. McCarthy, President and Chief Executive Officer of CytomX Therapeutics, Inc., certify that:</w:t>
      </w:r>
    </w:p>
    <w:p>
      <w:pPr>
        <w:spacing w:after="0" w:line="103" w:lineRule="exact"/>
        <w:rPr>
          <w:sz w:val="20"/>
          <w:szCs w:val="20"/>
          <w:color w:val="auto"/>
        </w:rPr>
      </w:pPr>
    </w:p>
    <w:p>
      <w:pPr>
        <w:ind w:left="760" w:hanging="252"/>
        <w:spacing w:after="0"/>
        <w:tabs>
          <w:tab w:leader="none" w:pos="7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CytomX Therapeutics, Inc.;</w:t>
      </w:r>
    </w:p>
    <w:p>
      <w:pPr>
        <w:spacing w:after="0" w:line="201" w:lineRule="exact"/>
        <w:rPr>
          <w:rFonts w:ascii="Arial" w:cs="Arial" w:eastAsia="Arial" w:hAnsi="Arial"/>
          <w:sz w:val="17"/>
          <w:szCs w:val="17"/>
          <w:color w:val="auto"/>
        </w:rPr>
      </w:pPr>
    </w:p>
    <w:p>
      <w:pPr>
        <w:ind w:left="760" w:right="120" w:hanging="252"/>
        <w:spacing w:after="0" w:line="368" w:lineRule="auto"/>
        <w:tabs>
          <w:tab w:leader="none" w:pos="7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4"/>
          <w:szCs w:val="14"/>
          <w:color w:val="auto"/>
        </w:rPr>
      </w:pPr>
    </w:p>
    <w:p>
      <w:pPr>
        <w:ind w:left="760" w:right="200" w:hanging="252"/>
        <w:spacing w:after="0" w:line="261" w:lineRule="auto"/>
        <w:tabs>
          <w:tab w:leader="none" w:pos="7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7"/>
          <w:szCs w:val="17"/>
          <w:color w:val="auto"/>
        </w:rPr>
      </w:pPr>
    </w:p>
    <w:p>
      <w:pPr>
        <w:jc w:val="both"/>
        <w:ind w:left="760" w:right="20" w:hanging="252"/>
        <w:spacing w:after="0" w:line="202" w:lineRule="exact"/>
        <w:tabs>
          <w:tab w:leader="none" w:pos="7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15d-15(e)) and internal control over financial reporting (as defined in Exchange Act Rules 13a-15(f) and 15d-15(f)) for the registrant and have:</w:t>
      </w:r>
    </w:p>
    <w:p>
      <w:pPr>
        <w:spacing w:after="0" w:line="89" w:lineRule="exact"/>
        <w:rPr>
          <w:rFonts w:ascii="Arial" w:cs="Arial" w:eastAsia="Arial" w:hAnsi="Arial"/>
          <w:sz w:val="17"/>
          <w:szCs w:val="17"/>
          <w:color w:val="auto"/>
        </w:rPr>
      </w:pPr>
    </w:p>
    <w:p>
      <w:pPr>
        <w:jc w:val="both"/>
        <w:ind w:left="1520" w:right="320" w:hanging="503"/>
        <w:spacing w:after="0" w:line="252" w:lineRule="auto"/>
        <w:tabs>
          <w:tab w:leader="none" w:pos="1520"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9" w:lineRule="exact"/>
        <w:rPr>
          <w:rFonts w:ascii="Arial" w:cs="Arial" w:eastAsia="Arial" w:hAnsi="Arial"/>
          <w:sz w:val="17"/>
          <w:szCs w:val="17"/>
          <w:color w:val="auto"/>
        </w:rPr>
      </w:pPr>
    </w:p>
    <w:p>
      <w:pPr>
        <w:ind w:left="1520" w:right="40" w:hanging="503"/>
        <w:spacing w:after="0" w:line="252" w:lineRule="auto"/>
        <w:tabs>
          <w:tab w:leader="none" w:pos="1520"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7"/>
          <w:szCs w:val="17"/>
          <w:color w:val="auto"/>
        </w:rPr>
      </w:pPr>
    </w:p>
    <w:p>
      <w:pPr>
        <w:jc w:val="both"/>
        <w:ind w:left="1520" w:right="760" w:hanging="503"/>
        <w:spacing w:after="0" w:line="368" w:lineRule="auto"/>
        <w:tabs>
          <w:tab w:leader="none" w:pos="1520" w:val="left"/>
        </w:tabs>
        <w:numPr>
          <w:ilvl w:val="1"/>
          <w:numId w:val="5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4"/>
          <w:szCs w:val="14"/>
          <w:color w:val="auto"/>
        </w:rPr>
      </w:pPr>
    </w:p>
    <w:p>
      <w:pPr>
        <w:ind w:left="1520" w:right="60" w:hanging="503"/>
        <w:spacing w:after="0" w:line="252" w:lineRule="auto"/>
        <w:tabs>
          <w:tab w:leader="none" w:pos="1520" w:val="left"/>
        </w:tabs>
        <w:numPr>
          <w:ilvl w:val="1"/>
          <w:numId w:val="5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Arial" w:cs="Arial" w:eastAsia="Arial" w:hAnsi="Arial"/>
          <w:sz w:val="17"/>
          <w:szCs w:val="17"/>
          <w:color w:val="auto"/>
        </w:rPr>
      </w:pPr>
    </w:p>
    <w:p>
      <w:pPr>
        <w:ind w:left="760" w:right="760" w:hanging="252"/>
        <w:spacing w:after="0" w:line="368" w:lineRule="auto"/>
        <w:tabs>
          <w:tab w:leader="none" w:pos="7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4"/>
          <w:szCs w:val="14"/>
          <w:color w:val="auto"/>
        </w:rPr>
      </w:pPr>
    </w:p>
    <w:p>
      <w:pPr>
        <w:ind w:left="1520" w:right="240" w:hanging="503"/>
        <w:spacing w:after="0" w:line="292" w:lineRule="auto"/>
        <w:tabs>
          <w:tab w:leader="none" w:pos="15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6"/>
          <w:szCs w:val="16"/>
          <w:color w:val="auto"/>
        </w:rPr>
      </w:pPr>
    </w:p>
    <w:p>
      <w:pPr>
        <w:ind w:left="1520" w:right="200" w:hanging="503"/>
        <w:spacing w:after="0" w:line="261" w:lineRule="auto"/>
        <w:tabs>
          <w:tab w:leader="none" w:pos="1520" w:val="left"/>
        </w:tabs>
        <w:numPr>
          <w:ilvl w:val="1"/>
          <w:numId w:val="5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40" w:type="dxa"/>
            <w:vAlign w:val="bottom"/>
          </w:tcPr>
          <w:p>
            <w:pPr>
              <w:spacing w:after="0"/>
              <w:rPr>
                <w:sz w:val="20"/>
                <w:szCs w:val="20"/>
                <w:color w:val="auto"/>
              </w:rPr>
            </w:pPr>
            <w:r>
              <w:rPr>
                <w:rFonts w:ascii="Arial" w:cs="Arial" w:eastAsia="Arial" w:hAnsi="Arial"/>
                <w:sz w:val="17"/>
                <w:szCs w:val="17"/>
                <w:color w:val="auto"/>
              </w:rPr>
              <w:t>Date: May 6, 2021</w:t>
            </w:r>
          </w:p>
        </w:tc>
        <w:tc>
          <w:tcPr>
            <w:tcW w:w="2760" w:type="dxa"/>
            <w:vAlign w:val="bottom"/>
          </w:tcPr>
          <w:p>
            <w:pPr>
              <w:ind w:left="1980"/>
              <w:spacing w:after="0"/>
              <w:rPr>
                <w:sz w:val="20"/>
                <w:szCs w:val="20"/>
                <w:color w:val="auto"/>
              </w:rPr>
            </w:pPr>
            <w:r>
              <w:rPr>
                <w:rFonts w:ascii="Arial" w:cs="Arial" w:eastAsia="Arial" w:hAnsi="Arial"/>
                <w:sz w:val="17"/>
                <w:szCs w:val="17"/>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Sean A. McCarthy</w:t>
            </w:r>
          </w:p>
        </w:tc>
      </w:tr>
      <w:tr>
        <w:trPr>
          <w:trHeight w:val="204"/>
        </w:trPr>
        <w:tc>
          <w:tcPr>
            <w:tcW w:w="3240" w:type="dxa"/>
            <w:vAlign w:val="bottom"/>
          </w:tcPr>
          <w:p>
            <w:pPr>
              <w:spacing w:after="0"/>
              <w:rPr>
                <w:sz w:val="17"/>
                <w:szCs w:val="17"/>
                <w:color w:val="auto"/>
              </w:rPr>
            </w:pPr>
          </w:p>
        </w:tc>
        <w:tc>
          <w:tcPr>
            <w:tcW w:w="2760" w:type="dxa"/>
            <w:vAlign w:val="bottom"/>
          </w:tcPr>
          <w:p>
            <w:pPr>
              <w:ind w:left="1980"/>
              <w:spacing w:after="0" w:line="191" w:lineRule="exact"/>
              <w:rPr>
                <w:sz w:val="20"/>
                <w:szCs w:val="20"/>
                <w:color w:val="auto"/>
              </w:rPr>
            </w:pPr>
            <w:r>
              <w:rPr>
                <w:rFonts w:ascii="Arial" w:cs="Arial" w:eastAsia="Arial" w:hAnsi="Arial"/>
                <w:sz w:val="17"/>
                <w:szCs w:val="17"/>
                <w:color w:val="auto"/>
              </w:rPr>
              <w:t>Name:</w:t>
            </w:r>
          </w:p>
        </w:tc>
        <w:tc>
          <w:tcPr>
            <w:tcW w:w="4680" w:type="dxa"/>
            <w:vAlign w:val="bottom"/>
          </w:tcPr>
          <w:p>
            <w:pPr>
              <w:spacing w:after="0"/>
              <w:rPr>
                <w:sz w:val="20"/>
                <w:szCs w:val="20"/>
                <w:color w:val="auto"/>
              </w:rPr>
            </w:pPr>
            <w:r>
              <w:rPr>
                <w:rFonts w:ascii="Arial" w:cs="Arial" w:eastAsia="Arial" w:hAnsi="Arial"/>
                <w:sz w:val="17"/>
                <w:szCs w:val="17"/>
                <w:color w:val="auto"/>
              </w:rPr>
              <w:t>Sean A. McCarthy</w:t>
            </w:r>
          </w:p>
        </w:tc>
      </w:tr>
      <w:tr>
        <w:trPr>
          <w:trHeight w:val="211"/>
        </w:trPr>
        <w:tc>
          <w:tcPr>
            <w:tcW w:w="3240" w:type="dxa"/>
            <w:vAlign w:val="bottom"/>
          </w:tcPr>
          <w:p>
            <w:pPr>
              <w:spacing w:after="0"/>
              <w:rPr>
                <w:sz w:val="18"/>
                <w:szCs w:val="18"/>
                <w:color w:val="auto"/>
              </w:rPr>
            </w:pPr>
          </w:p>
        </w:tc>
        <w:tc>
          <w:tcPr>
            <w:tcW w:w="2760" w:type="dxa"/>
            <w:vAlign w:val="bottom"/>
          </w:tcPr>
          <w:p>
            <w:pPr>
              <w:ind w:left="1980"/>
              <w:spacing w:after="0"/>
              <w:rPr>
                <w:sz w:val="20"/>
                <w:szCs w:val="20"/>
                <w:color w:val="auto"/>
              </w:rPr>
            </w:pPr>
            <w:r>
              <w:rPr>
                <w:rFonts w:ascii="Arial" w:cs="Arial" w:eastAsia="Arial" w:hAnsi="Arial"/>
                <w:sz w:val="17"/>
                <w:szCs w:val="17"/>
                <w:color w:val="auto"/>
              </w:rPr>
              <w:t>Title:</w:t>
            </w:r>
          </w:p>
        </w:tc>
        <w:tc>
          <w:tcPr>
            <w:tcW w:w="4680" w:type="dxa"/>
            <w:vAlign w:val="bottom"/>
          </w:tcPr>
          <w:p>
            <w:pPr>
              <w:spacing w:after="0"/>
              <w:rPr>
                <w:sz w:val="20"/>
                <w:szCs w:val="20"/>
                <w:color w:val="auto"/>
              </w:rPr>
            </w:pPr>
            <w:r>
              <w:rPr>
                <w:rFonts w:ascii="Arial" w:cs="Arial" w:eastAsia="Arial" w:hAnsi="Arial"/>
                <w:sz w:val="17"/>
                <w:szCs w:val="17"/>
                <w:color w:val="auto"/>
              </w:rPr>
              <w:t>President and Chief Executive Officer</w:t>
            </w:r>
          </w:p>
        </w:tc>
      </w:tr>
    </w:tbl>
    <w:p>
      <w:pPr>
        <w:sectPr>
          <w:pgSz w:w="11900" w:h="16838" w:orient="portrait"/>
          <w:cols w:equalWidth="0" w:num="1">
            <w:col w:w="11240"/>
          </w:cols>
          <w:pgMar w:left="320" w:top="135"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7"/>
          <w:szCs w:val="17"/>
          <w:b w:val="1"/>
          <w:bCs w:val="1"/>
          <w:color w:val="auto"/>
        </w:rPr>
        <w:t>Exhibit 31.2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FINANCIAL OFFICER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I, Carlos Campoy, Chief Financial Officer of CytomX Therapeutics, Inc., certify that:</w:t>
      </w:r>
    </w:p>
    <w:p>
      <w:pPr>
        <w:spacing w:after="0" w:line="103" w:lineRule="exact"/>
        <w:rPr>
          <w:sz w:val="20"/>
          <w:szCs w:val="20"/>
          <w:color w:val="auto"/>
        </w:rPr>
      </w:pPr>
    </w:p>
    <w:p>
      <w:pPr>
        <w:ind w:left="760" w:hanging="252"/>
        <w:spacing w:after="0"/>
        <w:tabs>
          <w:tab w:leader="none" w:pos="7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CytomX Therapeutics, Inc.;</w:t>
      </w:r>
    </w:p>
    <w:p>
      <w:pPr>
        <w:spacing w:after="0" w:line="201" w:lineRule="exact"/>
        <w:rPr>
          <w:rFonts w:ascii="Arial" w:cs="Arial" w:eastAsia="Arial" w:hAnsi="Arial"/>
          <w:sz w:val="17"/>
          <w:szCs w:val="17"/>
          <w:color w:val="auto"/>
        </w:rPr>
      </w:pPr>
    </w:p>
    <w:p>
      <w:pPr>
        <w:ind w:left="760" w:right="120" w:hanging="252"/>
        <w:spacing w:after="0" w:line="368" w:lineRule="auto"/>
        <w:tabs>
          <w:tab w:leader="none" w:pos="7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4"/>
          <w:szCs w:val="14"/>
          <w:color w:val="auto"/>
        </w:rPr>
      </w:pPr>
    </w:p>
    <w:p>
      <w:pPr>
        <w:ind w:left="760" w:right="200" w:hanging="252"/>
        <w:spacing w:after="0" w:line="261" w:lineRule="auto"/>
        <w:tabs>
          <w:tab w:leader="none" w:pos="7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7"/>
          <w:szCs w:val="17"/>
          <w:color w:val="auto"/>
        </w:rPr>
      </w:pPr>
    </w:p>
    <w:p>
      <w:pPr>
        <w:jc w:val="both"/>
        <w:ind w:left="760" w:right="20" w:hanging="252"/>
        <w:spacing w:after="0" w:line="202" w:lineRule="exact"/>
        <w:tabs>
          <w:tab w:leader="none" w:pos="7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15d-15(e)) and internal control over financial reporting (as defined in Exchange Act Rules 13a-15(f) and 15d-15(f)) for the registrant and have:</w:t>
      </w:r>
    </w:p>
    <w:p>
      <w:pPr>
        <w:spacing w:after="0" w:line="89" w:lineRule="exact"/>
        <w:rPr>
          <w:rFonts w:ascii="Arial" w:cs="Arial" w:eastAsia="Arial" w:hAnsi="Arial"/>
          <w:sz w:val="17"/>
          <w:szCs w:val="17"/>
          <w:color w:val="auto"/>
        </w:rPr>
      </w:pPr>
    </w:p>
    <w:p>
      <w:pPr>
        <w:jc w:val="both"/>
        <w:ind w:left="1520" w:right="320" w:hanging="503"/>
        <w:spacing w:after="0" w:line="252" w:lineRule="auto"/>
        <w:tabs>
          <w:tab w:leader="none" w:pos="1520" w:val="left"/>
        </w:tabs>
        <w:numPr>
          <w:ilvl w:val="1"/>
          <w:numId w:val="5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9" w:lineRule="exact"/>
        <w:rPr>
          <w:rFonts w:ascii="Arial" w:cs="Arial" w:eastAsia="Arial" w:hAnsi="Arial"/>
          <w:sz w:val="17"/>
          <w:szCs w:val="17"/>
          <w:color w:val="auto"/>
        </w:rPr>
      </w:pPr>
    </w:p>
    <w:p>
      <w:pPr>
        <w:ind w:left="1520" w:right="40" w:hanging="503"/>
        <w:spacing w:after="0" w:line="252" w:lineRule="auto"/>
        <w:tabs>
          <w:tab w:leader="none" w:pos="1520" w:val="left"/>
        </w:tabs>
        <w:numPr>
          <w:ilvl w:val="1"/>
          <w:numId w:val="5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7"/>
          <w:szCs w:val="17"/>
          <w:color w:val="auto"/>
        </w:rPr>
      </w:pPr>
    </w:p>
    <w:p>
      <w:pPr>
        <w:jc w:val="both"/>
        <w:ind w:left="1520" w:right="760" w:hanging="503"/>
        <w:spacing w:after="0" w:line="368" w:lineRule="auto"/>
        <w:tabs>
          <w:tab w:leader="none" w:pos="1520" w:val="left"/>
        </w:tabs>
        <w:numPr>
          <w:ilvl w:val="1"/>
          <w:numId w:val="5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4"/>
          <w:szCs w:val="14"/>
          <w:color w:val="auto"/>
        </w:rPr>
      </w:pPr>
    </w:p>
    <w:p>
      <w:pPr>
        <w:ind w:left="1520" w:right="60" w:hanging="503"/>
        <w:spacing w:after="0" w:line="252" w:lineRule="auto"/>
        <w:tabs>
          <w:tab w:leader="none" w:pos="1520" w:val="left"/>
        </w:tabs>
        <w:numPr>
          <w:ilvl w:val="1"/>
          <w:numId w:val="5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Arial" w:cs="Arial" w:eastAsia="Arial" w:hAnsi="Arial"/>
          <w:sz w:val="17"/>
          <w:szCs w:val="17"/>
          <w:color w:val="auto"/>
        </w:rPr>
      </w:pPr>
    </w:p>
    <w:p>
      <w:pPr>
        <w:ind w:left="760" w:right="760" w:hanging="252"/>
        <w:spacing w:after="0" w:line="368" w:lineRule="auto"/>
        <w:tabs>
          <w:tab w:leader="none" w:pos="7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4"/>
          <w:szCs w:val="14"/>
          <w:color w:val="auto"/>
        </w:rPr>
      </w:pPr>
    </w:p>
    <w:p>
      <w:pPr>
        <w:ind w:left="1520" w:right="240" w:hanging="503"/>
        <w:spacing w:after="0" w:line="292" w:lineRule="auto"/>
        <w:tabs>
          <w:tab w:leader="none" w:pos="15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6"/>
          <w:szCs w:val="16"/>
          <w:color w:val="auto"/>
        </w:rPr>
      </w:pPr>
    </w:p>
    <w:p>
      <w:pPr>
        <w:ind w:left="1520" w:right="200" w:hanging="503"/>
        <w:spacing w:after="0" w:line="261" w:lineRule="auto"/>
        <w:tabs>
          <w:tab w:leader="none" w:pos="152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40" w:type="dxa"/>
            <w:vAlign w:val="bottom"/>
          </w:tcPr>
          <w:p>
            <w:pPr>
              <w:spacing w:after="0"/>
              <w:rPr>
                <w:sz w:val="20"/>
                <w:szCs w:val="20"/>
                <w:color w:val="auto"/>
              </w:rPr>
            </w:pPr>
            <w:r>
              <w:rPr>
                <w:rFonts w:ascii="Arial" w:cs="Arial" w:eastAsia="Arial" w:hAnsi="Arial"/>
                <w:sz w:val="17"/>
                <w:szCs w:val="17"/>
                <w:color w:val="auto"/>
              </w:rPr>
              <w:t>Date: May 6, 2021</w:t>
            </w:r>
          </w:p>
        </w:tc>
        <w:tc>
          <w:tcPr>
            <w:tcW w:w="2760" w:type="dxa"/>
            <w:vAlign w:val="bottom"/>
          </w:tcPr>
          <w:p>
            <w:pPr>
              <w:ind w:left="1980"/>
              <w:spacing w:after="0"/>
              <w:rPr>
                <w:sz w:val="20"/>
                <w:szCs w:val="20"/>
                <w:color w:val="auto"/>
              </w:rPr>
            </w:pPr>
            <w:r>
              <w:rPr>
                <w:rFonts w:ascii="Arial" w:cs="Arial" w:eastAsia="Arial" w:hAnsi="Arial"/>
                <w:sz w:val="17"/>
                <w:szCs w:val="17"/>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Carlos Campoy</w:t>
            </w:r>
          </w:p>
        </w:tc>
      </w:tr>
      <w:tr>
        <w:trPr>
          <w:trHeight w:val="204"/>
        </w:trPr>
        <w:tc>
          <w:tcPr>
            <w:tcW w:w="3240" w:type="dxa"/>
            <w:vAlign w:val="bottom"/>
          </w:tcPr>
          <w:p>
            <w:pPr>
              <w:spacing w:after="0"/>
              <w:rPr>
                <w:sz w:val="17"/>
                <w:szCs w:val="17"/>
                <w:color w:val="auto"/>
              </w:rPr>
            </w:pPr>
          </w:p>
        </w:tc>
        <w:tc>
          <w:tcPr>
            <w:tcW w:w="2760" w:type="dxa"/>
            <w:vAlign w:val="bottom"/>
          </w:tcPr>
          <w:p>
            <w:pPr>
              <w:ind w:left="1980"/>
              <w:spacing w:after="0" w:line="191" w:lineRule="exact"/>
              <w:rPr>
                <w:sz w:val="20"/>
                <w:szCs w:val="20"/>
                <w:color w:val="auto"/>
              </w:rPr>
            </w:pPr>
            <w:r>
              <w:rPr>
                <w:rFonts w:ascii="Arial" w:cs="Arial" w:eastAsia="Arial" w:hAnsi="Arial"/>
                <w:sz w:val="17"/>
                <w:szCs w:val="17"/>
                <w:color w:val="auto"/>
              </w:rPr>
              <w:t>Name:</w:t>
            </w:r>
          </w:p>
        </w:tc>
        <w:tc>
          <w:tcPr>
            <w:tcW w:w="4680" w:type="dxa"/>
            <w:vAlign w:val="bottom"/>
          </w:tcPr>
          <w:p>
            <w:pPr>
              <w:spacing w:after="0"/>
              <w:rPr>
                <w:sz w:val="20"/>
                <w:szCs w:val="20"/>
                <w:color w:val="auto"/>
              </w:rPr>
            </w:pPr>
            <w:r>
              <w:rPr>
                <w:rFonts w:ascii="Arial" w:cs="Arial" w:eastAsia="Arial" w:hAnsi="Arial"/>
                <w:sz w:val="17"/>
                <w:szCs w:val="17"/>
                <w:color w:val="auto"/>
              </w:rPr>
              <w:t>Carlos Campoy</w:t>
            </w:r>
          </w:p>
        </w:tc>
      </w:tr>
      <w:tr>
        <w:trPr>
          <w:trHeight w:val="211"/>
        </w:trPr>
        <w:tc>
          <w:tcPr>
            <w:tcW w:w="3240" w:type="dxa"/>
            <w:vAlign w:val="bottom"/>
          </w:tcPr>
          <w:p>
            <w:pPr>
              <w:spacing w:after="0"/>
              <w:rPr>
                <w:sz w:val="18"/>
                <w:szCs w:val="18"/>
                <w:color w:val="auto"/>
              </w:rPr>
            </w:pPr>
          </w:p>
        </w:tc>
        <w:tc>
          <w:tcPr>
            <w:tcW w:w="2760" w:type="dxa"/>
            <w:vAlign w:val="bottom"/>
          </w:tcPr>
          <w:p>
            <w:pPr>
              <w:ind w:left="1980"/>
              <w:spacing w:after="0"/>
              <w:rPr>
                <w:sz w:val="20"/>
                <w:szCs w:val="20"/>
                <w:color w:val="auto"/>
              </w:rPr>
            </w:pPr>
            <w:r>
              <w:rPr>
                <w:rFonts w:ascii="Arial" w:cs="Arial" w:eastAsia="Arial" w:hAnsi="Arial"/>
                <w:sz w:val="17"/>
                <w:szCs w:val="17"/>
                <w:color w:val="auto"/>
              </w:rPr>
              <w:t>Title:</w:t>
            </w:r>
          </w:p>
        </w:tc>
        <w:tc>
          <w:tcPr>
            <w:tcW w:w="468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240"/>
          </w:cols>
          <w:pgMar w:left="320" w:top="135"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7"/>
          <w:szCs w:val="17"/>
          <w:b w:val="1"/>
          <w:bCs w:val="1"/>
          <w:color w:val="auto"/>
        </w:rPr>
        <w:t>Exhibit 32.1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1" w:lineRule="exact"/>
        <w:rPr>
          <w:sz w:val="20"/>
          <w:szCs w:val="20"/>
          <w:color w:val="auto"/>
        </w:rPr>
      </w:pPr>
    </w:p>
    <w:p>
      <w:pPr>
        <w:jc w:val="both"/>
        <w:ind w:left="1" w:right="40"/>
        <w:spacing w:after="0" w:line="252" w:lineRule="auto"/>
        <w:rPr>
          <w:sz w:val="20"/>
          <w:szCs w:val="20"/>
          <w:color w:val="auto"/>
        </w:rPr>
      </w:pPr>
      <w:r>
        <w:rPr>
          <w:rFonts w:ascii="Arial" w:cs="Arial" w:eastAsia="Arial" w:hAnsi="Arial"/>
          <w:sz w:val="17"/>
          <w:szCs w:val="17"/>
          <w:color w:val="auto"/>
        </w:rPr>
        <w:t>In connection with the Quarterly Report of CytomX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quarter ended March 31, 2021,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Sean A. McCarthy, President and Chief Executive Officer of the Company, certify, pursuant to 18 U.S.C. Section 1350, as adopted pursuant to Section 906 of the Sarbanes-Oxley Act of 2002 (the “</w:t>
      </w:r>
      <w:r>
        <w:rPr>
          <w:rFonts w:ascii="Arial" w:cs="Arial" w:eastAsia="Arial" w:hAnsi="Arial"/>
          <w:sz w:val="17"/>
          <w:szCs w:val="17"/>
          <w:u w:val="single" w:color="auto"/>
          <w:color w:val="auto"/>
        </w:rPr>
        <w:t>Act</w:t>
      </w:r>
      <w:r>
        <w:rPr>
          <w:rFonts w:ascii="Arial" w:cs="Arial" w:eastAsia="Arial" w:hAnsi="Arial"/>
          <w:sz w:val="17"/>
          <w:szCs w:val="17"/>
          <w:color w:val="auto"/>
        </w:rPr>
        <w:t>”), that:</w:t>
      </w:r>
    </w:p>
    <w:p>
      <w:pPr>
        <w:spacing w:after="0" w:line="80" w:lineRule="exact"/>
        <w:rPr>
          <w:sz w:val="20"/>
          <w:szCs w:val="20"/>
          <w:color w:val="auto"/>
        </w:rPr>
      </w:pPr>
    </w:p>
    <w:p>
      <w:pPr>
        <w:ind w:left="501" w:hanging="501"/>
        <w:spacing w:after="0"/>
        <w:tabs>
          <w:tab w:leader="none" w:pos="501"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02" w:lineRule="exact"/>
        <w:rPr>
          <w:rFonts w:ascii="Arial" w:cs="Arial" w:eastAsia="Arial" w:hAnsi="Arial"/>
          <w:sz w:val="17"/>
          <w:szCs w:val="17"/>
          <w:color w:val="auto"/>
        </w:rPr>
      </w:pPr>
    </w:p>
    <w:p>
      <w:pPr>
        <w:ind w:left="501" w:hanging="501"/>
        <w:spacing w:after="0"/>
        <w:tabs>
          <w:tab w:leader="none" w:pos="501"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6" w:lineRule="exact"/>
        <w:rPr>
          <w:sz w:val="20"/>
          <w:szCs w:val="20"/>
          <w:color w:val="auto"/>
        </w:rPr>
      </w:pPr>
    </w:p>
    <w:tbl>
      <w:tblPr>
        <w:tblLayout w:type="fixed"/>
        <w:tblInd w:w="1" w:type="dxa"/>
        <w:tblCellMar>
          <w:top w:w="0" w:type="dxa"/>
          <w:left w:w="0" w:type="dxa"/>
          <w:bottom w:w="0" w:type="dxa"/>
          <w:right w:w="0" w:type="dxa"/>
        </w:tblCellMar>
      </w:tblPr>
      <w:tr>
        <w:trPr>
          <w:trHeight w:val="209"/>
        </w:trPr>
        <w:tc>
          <w:tcPr>
            <w:tcW w:w="3260" w:type="dxa"/>
            <w:vAlign w:val="bottom"/>
          </w:tcPr>
          <w:p>
            <w:pPr>
              <w:spacing w:after="0"/>
              <w:rPr>
                <w:sz w:val="20"/>
                <w:szCs w:val="20"/>
                <w:color w:val="auto"/>
              </w:rPr>
            </w:pPr>
            <w:r>
              <w:rPr>
                <w:rFonts w:ascii="Arial" w:cs="Arial" w:eastAsia="Arial" w:hAnsi="Arial"/>
                <w:sz w:val="17"/>
                <w:szCs w:val="17"/>
                <w:color w:val="auto"/>
              </w:rPr>
              <w:t>Date: May 6, 2021</w:t>
            </w:r>
          </w:p>
        </w:tc>
        <w:tc>
          <w:tcPr>
            <w:tcW w:w="2700" w:type="dxa"/>
            <w:vAlign w:val="bottom"/>
          </w:tcPr>
          <w:p>
            <w:pPr>
              <w:ind w:left="2020"/>
              <w:spacing w:after="0"/>
              <w:rPr>
                <w:sz w:val="20"/>
                <w:szCs w:val="20"/>
                <w:color w:val="auto"/>
              </w:rPr>
            </w:pPr>
            <w:r>
              <w:rPr>
                <w:rFonts w:ascii="Arial" w:cs="Arial" w:eastAsia="Arial" w:hAnsi="Arial"/>
                <w:sz w:val="17"/>
                <w:szCs w:val="17"/>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Sean A. McCarthy</w:t>
            </w:r>
          </w:p>
        </w:tc>
      </w:tr>
      <w:tr>
        <w:trPr>
          <w:trHeight w:val="204"/>
        </w:trPr>
        <w:tc>
          <w:tcPr>
            <w:tcW w:w="3260" w:type="dxa"/>
            <w:vAlign w:val="bottom"/>
          </w:tcPr>
          <w:p>
            <w:pPr>
              <w:spacing w:after="0"/>
              <w:rPr>
                <w:sz w:val="17"/>
                <w:szCs w:val="17"/>
                <w:color w:val="auto"/>
              </w:rPr>
            </w:pPr>
          </w:p>
        </w:tc>
        <w:tc>
          <w:tcPr>
            <w:tcW w:w="2700" w:type="dxa"/>
            <w:vAlign w:val="bottom"/>
          </w:tcPr>
          <w:p>
            <w:pPr>
              <w:ind w:left="2020"/>
              <w:spacing w:after="0"/>
              <w:rPr>
                <w:sz w:val="20"/>
                <w:szCs w:val="20"/>
                <w:color w:val="auto"/>
              </w:rPr>
            </w:pPr>
            <w:r>
              <w:rPr>
                <w:rFonts w:ascii="Arial" w:cs="Arial" w:eastAsia="Arial" w:hAnsi="Arial"/>
                <w:sz w:val="17"/>
                <w:szCs w:val="17"/>
                <w:color w:val="auto"/>
              </w:rPr>
              <w:t>Name:</w:t>
            </w:r>
          </w:p>
        </w:tc>
        <w:tc>
          <w:tcPr>
            <w:tcW w:w="4700" w:type="dxa"/>
            <w:vAlign w:val="bottom"/>
          </w:tcPr>
          <w:p>
            <w:pPr>
              <w:spacing w:after="0"/>
              <w:rPr>
                <w:sz w:val="20"/>
                <w:szCs w:val="20"/>
                <w:color w:val="auto"/>
              </w:rPr>
            </w:pPr>
            <w:r>
              <w:rPr>
                <w:rFonts w:ascii="Arial" w:cs="Arial" w:eastAsia="Arial" w:hAnsi="Arial"/>
                <w:sz w:val="17"/>
                <w:szCs w:val="17"/>
                <w:color w:val="auto"/>
              </w:rPr>
              <w:t>Sean A. McCarthy</w:t>
            </w:r>
          </w:p>
        </w:tc>
      </w:tr>
      <w:tr>
        <w:trPr>
          <w:trHeight w:val="211"/>
        </w:trPr>
        <w:tc>
          <w:tcPr>
            <w:tcW w:w="3260" w:type="dxa"/>
            <w:vAlign w:val="bottom"/>
          </w:tcPr>
          <w:p>
            <w:pPr>
              <w:spacing w:after="0"/>
              <w:rPr>
                <w:sz w:val="18"/>
                <w:szCs w:val="18"/>
                <w:color w:val="auto"/>
              </w:rPr>
            </w:pPr>
          </w:p>
        </w:tc>
        <w:tc>
          <w:tcPr>
            <w:tcW w:w="2700" w:type="dxa"/>
            <w:vAlign w:val="bottom"/>
          </w:tcPr>
          <w:p>
            <w:pPr>
              <w:ind w:left="2020"/>
              <w:spacing w:after="0"/>
              <w:rPr>
                <w:sz w:val="20"/>
                <w:szCs w:val="20"/>
                <w:color w:val="auto"/>
              </w:rPr>
            </w:pPr>
            <w:r>
              <w:rPr>
                <w:rFonts w:ascii="Arial" w:cs="Arial" w:eastAsia="Arial" w:hAnsi="Arial"/>
                <w:sz w:val="17"/>
                <w:szCs w:val="17"/>
                <w:color w:val="auto"/>
              </w:rPr>
              <w:t>Title:</w:t>
            </w:r>
          </w:p>
        </w:tc>
        <w:tc>
          <w:tcPr>
            <w:tcW w:w="4700" w:type="dxa"/>
            <w:vAlign w:val="bottom"/>
          </w:tcPr>
          <w:p>
            <w:pPr>
              <w:spacing w:after="0"/>
              <w:rPr>
                <w:sz w:val="20"/>
                <w:szCs w:val="20"/>
                <w:color w:val="auto"/>
              </w:rPr>
            </w:pPr>
            <w:r>
              <w:rPr>
                <w:rFonts w:ascii="Arial" w:cs="Arial" w:eastAsia="Arial" w:hAnsi="Arial"/>
                <w:sz w:val="17"/>
                <w:szCs w:val="17"/>
                <w:color w:val="auto"/>
              </w:rPr>
              <w:t>President and Chief Executive Officer</w:t>
            </w:r>
          </w:p>
        </w:tc>
      </w:tr>
    </w:tbl>
    <w:p>
      <w:pPr>
        <w:spacing w:after="0" w:line="188" w:lineRule="exact"/>
        <w:rPr>
          <w:sz w:val="20"/>
          <w:szCs w:val="20"/>
          <w:color w:val="auto"/>
        </w:rPr>
      </w:pPr>
    </w:p>
    <w:p>
      <w:pPr>
        <w:ind w:left="1"/>
        <w:spacing w:after="0" w:line="275"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sectPr>
          <w:pgSz w:w="11900" w:h="16838" w:orient="portrait"/>
          <w:cols w:equalWidth="0" w:num="1">
            <w:col w:w="11241"/>
          </w:cols>
          <w:pgMar w:left="319" w:top="123"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7"/>
          <w:szCs w:val="17"/>
          <w:b w:val="1"/>
          <w:bCs w:val="1"/>
          <w:color w:val="auto"/>
        </w:rPr>
        <w:t>Exhibit 32.2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1" w:lineRule="exact"/>
        <w:rPr>
          <w:sz w:val="20"/>
          <w:szCs w:val="20"/>
          <w:color w:val="auto"/>
        </w:rPr>
      </w:pPr>
    </w:p>
    <w:p>
      <w:pPr>
        <w:jc w:val="both"/>
        <w:ind w:left="1" w:right="40"/>
        <w:spacing w:after="0" w:line="252" w:lineRule="auto"/>
        <w:rPr>
          <w:sz w:val="20"/>
          <w:szCs w:val="20"/>
          <w:color w:val="auto"/>
        </w:rPr>
      </w:pPr>
      <w:r>
        <w:rPr>
          <w:rFonts w:ascii="Arial" w:cs="Arial" w:eastAsia="Arial" w:hAnsi="Arial"/>
          <w:sz w:val="17"/>
          <w:szCs w:val="17"/>
          <w:color w:val="auto"/>
        </w:rPr>
        <w:t>In connection with the Quarterly Report of CytomX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quarter ended March 31, 2021,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Carlos Campoy, Chief Financial Officer of the Company, certify, pursuant to 18 U.S.C. Section 1350, as adopted pursuant to Section 906 of the Sarbanes-Oxley Act of 2002 (the “</w:t>
      </w:r>
      <w:r>
        <w:rPr>
          <w:rFonts w:ascii="Arial" w:cs="Arial" w:eastAsia="Arial" w:hAnsi="Arial"/>
          <w:sz w:val="17"/>
          <w:szCs w:val="17"/>
          <w:u w:val="single" w:color="auto"/>
          <w:color w:val="auto"/>
        </w:rPr>
        <w:t>Act</w:t>
      </w:r>
      <w:r>
        <w:rPr>
          <w:rFonts w:ascii="Arial" w:cs="Arial" w:eastAsia="Arial" w:hAnsi="Arial"/>
          <w:sz w:val="17"/>
          <w:szCs w:val="17"/>
          <w:color w:val="auto"/>
        </w:rPr>
        <w:t>”), that:</w:t>
      </w:r>
    </w:p>
    <w:p>
      <w:pPr>
        <w:spacing w:after="0" w:line="80" w:lineRule="exact"/>
        <w:rPr>
          <w:sz w:val="20"/>
          <w:szCs w:val="20"/>
          <w:color w:val="auto"/>
        </w:rPr>
      </w:pPr>
    </w:p>
    <w:p>
      <w:pPr>
        <w:ind w:left="501" w:hanging="501"/>
        <w:spacing w:after="0"/>
        <w:tabs>
          <w:tab w:leader="none" w:pos="501"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02" w:lineRule="exact"/>
        <w:rPr>
          <w:rFonts w:ascii="Arial" w:cs="Arial" w:eastAsia="Arial" w:hAnsi="Arial"/>
          <w:sz w:val="17"/>
          <w:szCs w:val="17"/>
          <w:color w:val="auto"/>
        </w:rPr>
      </w:pPr>
    </w:p>
    <w:p>
      <w:pPr>
        <w:ind w:left="501" w:hanging="501"/>
        <w:spacing w:after="0"/>
        <w:tabs>
          <w:tab w:leader="none" w:pos="501"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6" w:lineRule="exact"/>
        <w:rPr>
          <w:sz w:val="20"/>
          <w:szCs w:val="20"/>
          <w:color w:val="auto"/>
        </w:rPr>
      </w:pPr>
    </w:p>
    <w:tbl>
      <w:tblPr>
        <w:tblLayout w:type="fixed"/>
        <w:tblInd w:w="1" w:type="dxa"/>
        <w:tblCellMar>
          <w:top w:w="0" w:type="dxa"/>
          <w:left w:w="0" w:type="dxa"/>
          <w:bottom w:w="0" w:type="dxa"/>
          <w:right w:w="0" w:type="dxa"/>
        </w:tblCellMar>
      </w:tblPr>
      <w:tr>
        <w:trPr>
          <w:trHeight w:val="209"/>
        </w:trPr>
        <w:tc>
          <w:tcPr>
            <w:tcW w:w="3260" w:type="dxa"/>
            <w:vAlign w:val="bottom"/>
          </w:tcPr>
          <w:p>
            <w:pPr>
              <w:spacing w:after="0"/>
              <w:rPr>
                <w:sz w:val="20"/>
                <w:szCs w:val="20"/>
                <w:color w:val="auto"/>
              </w:rPr>
            </w:pPr>
            <w:r>
              <w:rPr>
                <w:rFonts w:ascii="Arial" w:cs="Arial" w:eastAsia="Arial" w:hAnsi="Arial"/>
                <w:sz w:val="17"/>
                <w:szCs w:val="17"/>
                <w:color w:val="auto"/>
              </w:rPr>
              <w:t>Date: May 6, 2021</w:t>
            </w:r>
          </w:p>
        </w:tc>
        <w:tc>
          <w:tcPr>
            <w:tcW w:w="2700" w:type="dxa"/>
            <w:vAlign w:val="bottom"/>
          </w:tcPr>
          <w:p>
            <w:pPr>
              <w:ind w:left="2020"/>
              <w:spacing w:after="0"/>
              <w:rPr>
                <w:sz w:val="20"/>
                <w:szCs w:val="20"/>
                <w:color w:val="auto"/>
              </w:rPr>
            </w:pPr>
            <w:r>
              <w:rPr>
                <w:rFonts w:ascii="Arial" w:cs="Arial" w:eastAsia="Arial" w:hAnsi="Arial"/>
                <w:sz w:val="17"/>
                <w:szCs w:val="17"/>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Carlos Campoy</w:t>
            </w:r>
          </w:p>
        </w:tc>
      </w:tr>
      <w:tr>
        <w:trPr>
          <w:trHeight w:val="204"/>
        </w:trPr>
        <w:tc>
          <w:tcPr>
            <w:tcW w:w="3260" w:type="dxa"/>
            <w:vAlign w:val="bottom"/>
          </w:tcPr>
          <w:p>
            <w:pPr>
              <w:spacing w:after="0"/>
              <w:rPr>
                <w:sz w:val="17"/>
                <w:szCs w:val="17"/>
                <w:color w:val="auto"/>
              </w:rPr>
            </w:pPr>
          </w:p>
        </w:tc>
        <w:tc>
          <w:tcPr>
            <w:tcW w:w="2700" w:type="dxa"/>
            <w:vAlign w:val="bottom"/>
          </w:tcPr>
          <w:p>
            <w:pPr>
              <w:ind w:left="2020"/>
              <w:spacing w:after="0"/>
              <w:rPr>
                <w:sz w:val="20"/>
                <w:szCs w:val="20"/>
                <w:color w:val="auto"/>
              </w:rPr>
            </w:pPr>
            <w:r>
              <w:rPr>
                <w:rFonts w:ascii="Arial" w:cs="Arial" w:eastAsia="Arial" w:hAnsi="Arial"/>
                <w:sz w:val="17"/>
                <w:szCs w:val="17"/>
                <w:color w:val="auto"/>
              </w:rPr>
              <w:t>Name:</w:t>
            </w:r>
          </w:p>
        </w:tc>
        <w:tc>
          <w:tcPr>
            <w:tcW w:w="4700" w:type="dxa"/>
            <w:vAlign w:val="bottom"/>
          </w:tcPr>
          <w:p>
            <w:pPr>
              <w:spacing w:after="0"/>
              <w:rPr>
                <w:sz w:val="20"/>
                <w:szCs w:val="20"/>
                <w:color w:val="auto"/>
              </w:rPr>
            </w:pPr>
            <w:r>
              <w:rPr>
                <w:rFonts w:ascii="Arial" w:cs="Arial" w:eastAsia="Arial" w:hAnsi="Arial"/>
                <w:sz w:val="17"/>
                <w:szCs w:val="17"/>
                <w:color w:val="auto"/>
              </w:rPr>
              <w:t>Carlos Campoy</w:t>
            </w:r>
          </w:p>
        </w:tc>
      </w:tr>
      <w:tr>
        <w:trPr>
          <w:trHeight w:val="211"/>
        </w:trPr>
        <w:tc>
          <w:tcPr>
            <w:tcW w:w="3260" w:type="dxa"/>
            <w:vAlign w:val="bottom"/>
          </w:tcPr>
          <w:p>
            <w:pPr>
              <w:spacing w:after="0"/>
              <w:rPr>
                <w:sz w:val="18"/>
                <w:szCs w:val="18"/>
                <w:color w:val="auto"/>
              </w:rPr>
            </w:pPr>
          </w:p>
        </w:tc>
        <w:tc>
          <w:tcPr>
            <w:tcW w:w="2700" w:type="dxa"/>
            <w:vAlign w:val="bottom"/>
          </w:tcPr>
          <w:p>
            <w:pPr>
              <w:ind w:left="2020"/>
              <w:spacing w:after="0"/>
              <w:rPr>
                <w:sz w:val="20"/>
                <w:szCs w:val="20"/>
                <w:color w:val="auto"/>
              </w:rPr>
            </w:pPr>
            <w:r>
              <w:rPr>
                <w:rFonts w:ascii="Arial" w:cs="Arial" w:eastAsia="Arial" w:hAnsi="Arial"/>
                <w:sz w:val="17"/>
                <w:szCs w:val="17"/>
                <w:color w:val="auto"/>
              </w:rPr>
              <w:t>Title:</w:t>
            </w:r>
          </w:p>
        </w:tc>
        <w:tc>
          <w:tcPr>
            <w:tcW w:w="470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pacing w:after="0" w:line="188" w:lineRule="exact"/>
        <w:rPr>
          <w:sz w:val="20"/>
          <w:szCs w:val="20"/>
          <w:color w:val="auto"/>
        </w:rPr>
      </w:pPr>
    </w:p>
    <w:p>
      <w:pPr>
        <w:ind w:left="1"/>
        <w:spacing w:after="0" w:line="275"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1"/>
      </w:cols>
      <w:pgMar w:left="319" w:top="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1."/>
      <w:numFmt w:val="decimal"/>
      <w:start w:val="6"/>
    </w:lvl>
    <w:lvl w:ilvl="1">
      <w:lvlJc w:val="left"/>
      <w:lvlText w:val="•"/>
      <w:numFmt w:val="bullet"/>
      <w:start w:val="1"/>
    </w:lvl>
  </w:abstractNum>
  <w:abstractNum w:abstractNumId="8">
    <w:nsid w:val="4516DDE9"/>
    <w:multiLevelType w:val="hybridMultilevel"/>
    <w:lvl w:ilvl="0">
      <w:lvlJc w:val="left"/>
      <w:lvlText w:val="%1)"/>
      <w:numFmt w:val="decimal"/>
      <w:start w:val="72"/>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1)"/>
      <w:numFmt w:val="lowerRoman"/>
      <w:start w:val="4"/>
    </w:lvl>
  </w:abstractNum>
  <w:abstractNum w:abstractNumId="43">
    <w:nsid w:val="3DC240FB"/>
    <w:multiLevelType w:val="hybridMultilevel"/>
    <w:lvl w:ilvl="0">
      <w:lvlJc w:val="left"/>
      <w:lvlText w:val="[***]"/>
      <w:numFmt w:val="bullet"/>
      <w:start w:val="1"/>
    </w:lvl>
    <w:lvl w:ilvl="1">
      <w:lvlJc w:val="left"/>
      <w:lvlText w:val="(%2)"/>
      <w:numFmt w:val="lowerRoman"/>
      <w:start w:val="6"/>
    </w:lvl>
  </w:abstractNum>
  <w:abstractNum w:abstractNumId="44">
    <w:nsid w:val="1BA026FA"/>
    <w:multiLevelType w:val="hybridMultilevel"/>
    <w:lvl w:ilvl="0">
      <w:lvlJc w:val="left"/>
      <w:lvlText w:val="(%1)"/>
      <w:numFmt w:val="lowerLetter"/>
      <w:start w:val="4"/>
    </w:lvl>
  </w:abstractNum>
  <w:abstractNum w:abstractNumId="45">
    <w:nsid w:val="79A1DEAA"/>
    <w:multiLevelType w:val="hybridMultilevel"/>
    <w:lvl w:ilvl="0">
      <w:lvlJc w:val="left"/>
      <w:lvlText w:val="%1."/>
      <w:numFmt w:val="decimal"/>
      <w:start w:val="3"/>
    </w:lvl>
    <w:lvl w:ilvl="1">
      <w:lvlJc w:val="left"/>
      <w:lvlText w:val="(%2)"/>
      <w:numFmt w:val="lowerLetter"/>
      <w:start w:val="4"/>
    </w:lvl>
  </w:abstractNum>
  <w:abstractNum w:abstractNumId="46">
    <w:nsid w:val="75C6C33A"/>
    <w:multiLevelType w:val="hybridMultilevel"/>
    <w:lvl w:ilvl="0">
      <w:lvlJc w:val="left"/>
      <w:lvlText w:val="%1."/>
      <w:numFmt w:val="decimal"/>
      <w:start w:val="6"/>
    </w:lvl>
    <w:lvl w:ilvl="1">
      <w:lvlJc w:val="left"/>
      <w:lvlText w:val="(%2)"/>
      <w:numFmt w:val="lowerLetter"/>
      <w:start w:val="6"/>
    </w:lvl>
  </w:abstractNum>
  <w:abstractNum w:abstractNumId="47">
    <w:nsid w:val="12E685FB"/>
    <w:multiLevelType w:val="hybridMultilevel"/>
    <w:lvl w:ilvl="0">
      <w:lvlJc w:val="left"/>
      <w:lvlText w:val="%1."/>
      <w:numFmt w:val="decimal"/>
      <w:start w:val="1"/>
    </w:lvl>
  </w:abstractNum>
  <w:abstractNum w:abstractNumId="48">
    <w:nsid w:val="70C6A529"/>
    <w:multiLevelType w:val="hybridMultilevel"/>
    <w:lvl w:ilvl="0">
      <w:lvlJc w:val="left"/>
      <w:lvlText w:val="%1."/>
      <w:numFmt w:val="decimal"/>
      <w:start w:val="2"/>
    </w:lvl>
  </w:abstractNum>
  <w:abstractNum w:abstractNumId="49">
    <w:nsid w:val="520EEDD1"/>
    <w:multiLevelType w:val="hybridMultilevel"/>
    <w:lvl w:ilvl="0">
      <w:lvlJc w:val="left"/>
      <w:lvlText w:val="%1."/>
      <w:numFmt w:val="decimal"/>
      <w:start w:val="3"/>
    </w:lvl>
  </w:abstractNum>
  <w:abstractNum w:abstractNumId="50">
    <w:nsid w:val="374A3FE6"/>
    <w:multiLevelType w:val="hybridMultilevel"/>
    <w:lvl w:ilvl="0">
      <w:lvlJc w:val="left"/>
      <w:lvlText w:val="(%1)"/>
      <w:numFmt w:val="lowerRoman"/>
      <w:start w:val="2"/>
    </w:lvl>
    <w:lvl w:ilvl="1">
      <w:lvlJc w:val="left"/>
      <w:lvlText w:val="%2."/>
      <w:numFmt w:val="decimal"/>
      <w:start w:val="6"/>
    </w:lvl>
  </w:abstractNum>
  <w:abstractNum w:abstractNumId="51">
    <w:nsid w:val="4F4EF005"/>
    <w:multiLevelType w:val="hybridMultilevel"/>
    <w:lvl w:ilvl="0">
      <w:lvlJc w:val="left"/>
      <w:lvlText w:val="%1."/>
      <w:numFmt w:val="decimal"/>
      <w:start w:val="9"/>
    </w:lvl>
  </w:abstractNum>
  <w:abstractNum w:abstractNumId="52">
    <w:nsid w:val="23F9C13C"/>
    <w:multiLevelType w:val="hybridMultilevel"/>
    <w:lvl w:ilvl="0">
      <w:lvlJc w:val="left"/>
      <w:lvlText w:val="%1."/>
      <w:numFmt w:val="decimal"/>
      <w:start w:val="1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jpeg"/><Relationship Id="rId110" Type="http://schemas.openxmlformats.org/officeDocument/2006/relationships/image" Target="media/image97.jpeg"/><Relationship Id="rId111" Type="http://schemas.openxmlformats.org/officeDocument/2006/relationships/image" Target="media/image98.png"/><Relationship Id="rId112" Type="http://schemas.openxmlformats.org/officeDocument/2006/relationships/image" Target="media/image99.jpeg"/><Relationship Id="rId113" Type="http://schemas.openxmlformats.org/officeDocument/2006/relationships/image" Target="media/image100.jpeg"/><Relationship Id="rId114" Type="http://schemas.openxmlformats.org/officeDocument/2006/relationships/image" Target="media/image101.png"/><Relationship Id="rId115" Type="http://schemas.openxmlformats.org/officeDocument/2006/relationships/image" Target="media/image102.jpeg"/><Relationship Id="rId116" Type="http://schemas.openxmlformats.org/officeDocument/2006/relationships/image" Target="media/image103.jpeg"/><Relationship Id="rId117" Type="http://schemas.openxmlformats.org/officeDocument/2006/relationships/image" Target="media/image104.png"/><Relationship Id="rId118" Type="http://schemas.openxmlformats.org/officeDocument/2006/relationships/image" Target="media/image105.jpeg"/><Relationship Id="rId119" Type="http://schemas.openxmlformats.org/officeDocument/2006/relationships/image" Target="media/image106.jpeg"/><Relationship Id="rId120" Type="http://schemas.openxmlformats.org/officeDocument/2006/relationships/image" Target="media/image107.png"/><Relationship Id="rId121" Type="http://schemas.openxmlformats.org/officeDocument/2006/relationships/image" Target="media/image108.jpeg"/><Relationship Id="rId122" Type="http://schemas.openxmlformats.org/officeDocument/2006/relationships/image" Target="media/image109.jpeg"/><Relationship Id="rId96" Type="http://schemas.openxmlformats.org/officeDocument/2006/relationships/hyperlink" Target="http://www.sec.gov/Archives/edgar/data/0001501989/000119312515347080/d78795dex31.htm" TargetMode="External"/><Relationship Id="rId97" Type="http://schemas.openxmlformats.org/officeDocument/2006/relationships/hyperlink" Target="http://www.sec.gov/Archives/edgar/data/1501989/000119312520176532/d920733dex31.htm" TargetMode="External"/><Relationship Id="rId98" Type="http://schemas.openxmlformats.org/officeDocument/2006/relationships/hyperlink" Target="http://www.sec.gov/Archives/edgar/data/0001501989/000119312515347080/d78795dex32.htm" TargetMode="External"/><Relationship Id="rId99" Type="http://schemas.openxmlformats.org/officeDocument/2006/relationships/hyperlink" Target="http://www.sec.gov/Archives/edgar/data/0001501989/000119312515329662/d948537dex41.htm" TargetMode="External"/><Relationship Id="rId100" Type="http://schemas.openxmlformats.org/officeDocument/2006/relationships/hyperlink" Target="http://www.sec.gov/Archives/edgar/data/1501989/000156459020037722/ctmx-ex44_216.htm" TargetMode="External"/><Relationship Id="rId101" Type="http://schemas.openxmlformats.org/officeDocument/2006/relationships/hyperlink" Target="http://www.sec.gov/Archives/edgar/data/1501989/000119312521016452/d111809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2021-05-06T15:37:43Z</dcterms:created>
  <dcterms:modified xsi:type="dcterms:W3CDTF">2021-05-06T15:37:43Z</dcterms:modified>
</cp:coreProperties>
</file>