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807d8k.htm"/>
      <w:bookmarkStart w:id="1" w:name="ksd308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CytomX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001-37587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27-3521219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151 Oyster Point Blvd,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650-515-3185</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 N/A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385"/>
        <w:gridCol w:w="60"/>
        <w:gridCol w:w="740"/>
        <w:gridCol w:w="60"/>
        <w:gridCol w:w="2825"/>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$0.00001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CTMX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24, 2026, Charles Fuchs, M.D., M.P.H., was appointed to the Board of Directors (the “Board”) of CytomX Therapeutics, Inc. (the “Company”), effective immediately, as a Class II director, with an initial term expiring at the Company’s 2029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Dr. Fuchs will receive the Company’s standard non-employee director compensation. Upon appointment to the Board, Dr. Fuchs received an option under the Company’s 2015 Equity Incentive Plan to purchase 118,000 shares of the Company’s common stock with an exercise price equal to the closing price of the Company’s common stock on July 24, 2026, the effective date of Dr. Fuchs’s appointment. The option will vest and become exercisable as to 1/36th of the shares subject to the option on each monthly anniversary of the date of appointment to the Board, subject to Dr. Fuchs’s continued service to the Company through each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Dr. Fuchs’s appointment to the Board, the Company will enter into an indemnification agreement with Dr. Fuchs in accordance with the Company’s standard practice and pursuant to the form previously approved by the Board, which form was filed as Exhibit 10.16 to the Company’s Registration Statement on Form S-1 filed with the Securities and Exchange Commission on August 28, 2015. </w:t>
      </w:r>
    </w:p>
    <w:p>
      <w:pPr>
        <w:pStyle w:val="TextBody"/>
        <w:bidi w:val="0"/>
        <w:spacing w:before="240" w:after="0"/>
        <w:jc w:val="left"/>
        <w:rPr>
          <w:rFonts w:ascii="Times New Roman" w:hAnsi="Times New Roman"/>
          <w:sz w:val="20"/>
        </w:rPr>
      </w:pPr>
      <w:r>
        <w:rPr>
          <w:rFonts w:ascii="Times New Roman" w:hAnsi="Times New Roman"/>
          <w:sz w:val="20"/>
        </w:rPr>
        <w:t xml:space="preserve">There have not been any transactions since the beginning of the Company’s last fiscal year, nor are there any proposed transactions, in which the Company was or is to be a participant involving amounts exceeding $120,000 and in which Dr. Fuchs had or will have a direct or indirect material interest. There are no arrangements or understandings between Dr. Fuchs and the Company or any other persons pursuant to which Dr. Fuchs was appointed as a director of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807" w:type="dxa"/>
        <w:jc w:val="left"/>
        <w:tblInd w:w="0" w:type="dxa"/>
        <w:tblLayout w:type="fixed"/>
        <w:tblCellMar>
          <w:top w:w="0" w:type="dxa"/>
          <w:left w:w="0" w:type="dxa"/>
          <w:bottom w:w="0" w:type="dxa"/>
          <w:right w:w="0" w:type="dxa"/>
        </w:tblCellMar>
      </w:tblPr>
      <w:tblGrid>
        <w:gridCol w:w="1895"/>
        <w:gridCol w:w="60"/>
        <w:gridCol w:w="23"/>
        <w:gridCol w:w="60"/>
        <w:gridCol w:w="427"/>
        <w:gridCol w:w="70"/>
        <w:gridCol w:w="3272"/>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9" w:type="dxa"/>
            <w:gridSpan w:val="3"/>
            <w:tcBorders/>
            <w:vAlign w:val="center"/>
          </w:tcPr>
          <w:p>
            <w:pPr>
              <w:pStyle w:val="TableContents"/>
              <w:bidi w:val="0"/>
              <w:spacing w:before="0" w:after="283"/>
              <w:jc w:val="left"/>
              <w:rPr>
                <w:b/>
              </w:rPr>
            </w:pPr>
            <w:r>
              <w:rPr>
                <w:b/>
              </w:rPr>
              <w:t>CYTOMX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3342"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By:</w:t>
            </w:r>
          </w:p>
        </w:tc>
        <w:tc>
          <w:tcPr>
            <w:tcW w:w="70" w:type="dxa"/>
            <w:tcBorders/>
            <w:vAlign w:val="center"/>
          </w:tcPr>
          <w:p>
            <w:pPr>
              <w:pStyle w:val="TableContents"/>
              <w:bidi w:val="0"/>
              <w:spacing w:before="0" w:after="283"/>
              <w:jc w:val="left"/>
              <w:rPr/>
            </w:pPr>
            <w:r>
              <w:rPr/>
              <w:t> </w:t>
            </w:r>
          </w:p>
        </w:tc>
        <w:tc>
          <w:tcPr>
            <w:tcW w:w="327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W. Ogden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jc w:val="left"/>
              <w:rPr/>
            </w:pPr>
            <w:r>
              <w:rPr/>
              <w:t>Christopher W. Ogden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3272" w:type="dxa"/>
            <w:tcBorders/>
            <w:vAlign w:val="center"/>
          </w:tcPr>
          <w:p>
            <w:pPr>
              <w:pStyle w:val="TableContents"/>
              <w:bidi w:val="0"/>
              <w:spacing w:before="0" w:after="283"/>
              <w:jc w:val="left"/>
              <w:rPr/>
            </w:pPr>
            <w:r>
              <w:rPr/>
              <w:t>SVP,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673</Words>
  <Characters>3656</Characters>
  <CharactersWithSpaces>4321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