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Mohindru Mani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CYTOMX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OYSTER POINT BLVD., STE.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CytomX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CTMX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in full on the earlier of (i) the first anniversary of the grant date or (ii) the date of the 2027 Annual Meeting of the Issuer's stockholders, assuming continuous service as a director until such vesting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Christopher Ogden,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Mani</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Mohindru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26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608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4708" TargetMode="External"/><Relationship Id="rId14" Type="http://schemas.openxmlformats.org/officeDocument/2006/relationships/hyperlink" Target="http://www.sec.gov/cgi-bin/browse-edgar?action=getcompany&amp;CIK=0001501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2026-06-22T16:24:28Z</dcterms:created>
  <dcterms:modified xsi:type="dcterms:W3CDTF">2026-06-22T16:24:28Z</dcterms:modified>
</cp:coreProperties>
</file>