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574040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591185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95885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120015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0" w:lineRule="exact"/>
        <w:rPr>
          <w:sz w:val="24"/>
          <w:szCs w:val="24"/>
          <w:color w:val="auto"/>
        </w:rPr>
      </w:pPr>
    </w:p>
    <w:p>
      <w:pPr>
        <w:ind w:left="480" w:right="340" w:hanging="459"/>
        <w:spacing w:after="0" w:line="262" w:lineRule="auto"/>
        <w:tabs>
          <w:tab w:leader="none" w:pos="4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9" w:lineRule="exact"/>
        <w:rPr>
          <w:sz w:val="24"/>
          <w:szCs w:val="24"/>
          <w:color w:val="auto"/>
        </w:rPr>
      </w:pPr>
    </w:p>
    <w:p>
      <w:pPr>
        <w:ind w:left="480" w:right="320" w:hanging="459"/>
        <w:spacing w:after="0" w:line="281" w:lineRule="auto"/>
        <w:tabs>
          <w:tab w:leader="none" w:pos="4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4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the transition period from _ to _</w:t>
      </w:r>
    </w:p>
    <w:p>
      <w:pPr>
        <w:spacing w:after="0" w:line="11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104140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CytomX Therapeutics, Inc.</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97155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8" w:lineRule="exact"/>
        <w:rPr>
          <w:sz w:val="24"/>
          <w:szCs w:val="24"/>
          <w:color w:val="auto"/>
        </w:rPr>
      </w:pPr>
    </w:p>
    <w:tbl>
      <w:tblPr>
        <w:tblLayout w:type="fixed"/>
        <w:tblInd w:w="1560" w:type="dxa"/>
        <w:tblCellMar>
          <w:top w:w="0" w:type="dxa"/>
          <w:left w:w="0" w:type="dxa"/>
          <w:bottom w:w="0" w:type="dxa"/>
          <w:right w:w="0" w:type="dxa"/>
        </w:tblCellMar>
      </w:tblPr>
      <w:tr>
        <w:trPr>
          <w:trHeight w:val="237"/>
        </w:trPr>
        <w:tc>
          <w:tcPr>
            <w:tcW w:w="3000" w:type="dxa"/>
            <w:vAlign w:val="bottom"/>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0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27-3521219</w:t>
            </w:r>
          </w:p>
        </w:tc>
      </w:tr>
      <w:tr>
        <w:trPr>
          <w:trHeight w:val="149"/>
        </w:trPr>
        <w:tc>
          <w:tcPr>
            <w:tcW w:w="3000" w:type="dxa"/>
            <w:vAlign w:val="bottom"/>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500" w:type="dxa"/>
            <w:vAlign w:val="bottom"/>
          </w:tcPr>
          <w:p>
            <w:pPr>
              <w:jc w:val="center"/>
              <w:ind w:left="32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77"/>
        </w:trPr>
        <w:tc>
          <w:tcPr>
            <w:tcW w:w="3000" w:type="dxa"/>
            <w:vAlign w:val="bottom"/>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500" w:type="dxa"/>
            <w:vAlign w:val="bottom"/>
          </w:tcPr>
          <w:p>
            <w:pPr>
              <w:jc w:val="center"/>
              <w:ind w:left="33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4"/>
        </w:trPr>
        <w:tc>
          <w:tcPr>
            <w:tcW w:w="3000" w:type="dxa"/>
            <w:vAlign w:val="bottom"/>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151 Oyster Point Blvd., Suite 400</w:t>
            </w:r>
          </w:p>
        </w:tc>
        <w:tc>
          <w:tcPr>
            <w:tcW w:w="4500" w:type="dxa"/>
            <w:vAlign w:val="bottom"/>
          </w:tcPr>
          <w:p>
            <w:pPr>
              <w:spacing w:after="0"/>
              <w:rPr>
                <w:sz w:val="18"/>
                <w:szCs w:val="18"/>
                <w:color w:val="auto"/>
              </w:rPr>
            </w:pPr>
          </w:p>
        </w:tc>
      </w:tr>
      <w:tr>
        <w:trPr>
          <w:trHeight w:val="212"/>
        </w:trPr>
        <w:tc>
          <w:tcPr>
            <w:tcW w:w="3000" w:type="dxa"/>
            <w:vAlign w:val="bottom"/>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450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63"/>
        </w:trPr>
        <w:tc>
          <w:tcPr>
            <w:tcW w:w="3000" w:type="dxa"/>
            <w:vAlign w:val="bottom"/>
          </w:tcPr>
          <w:p>
            <w:pPr>
              <w:jc w:val="center"/>
              <w:ind w:right="4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500" w:type="dxa"/>
            <w:vAlign w:val="bottom"/>
          </w:tcPr>
          <w:p>
            <w:pPr>
              <w:jc w:val="center"/>
              <w:ind w:left="32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30"/>
        </w:trPr>
        <w:tc>
          <w:tcPr>
            <w:tcW w:w="3000" w:type="dxa"/>
            <w:vAlign w:val="bottom"/>
          </w:tcPr>
          <w:p>
            <w:pPr>
              <w:spacing w:after="0"/>
              <w:rPr>
                <w:sz w:val="20"/>
                <w:szCs w:val="20"/>
                <w:color w:val="auto"/>
              </w:rPr>
            </w:pPr>
          </w:p>
        </w:tc>
        <w:tc>
          <w:tcPr>
            <w:tcW w:w="4500" w:type="dxa"/>
            <w:vAlign w:val="bottom"/>
          </w:tcPr>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(650) 515-3185</w:t>
            </w:r>
          </w:p>
        </w:tc>
      </w:tr>
    </w:tbl>
    <w:p>
      <w:pPr>
        <w:jc w:val="center"/>
        <w:spacing w:after="0" w:line="219" w:lineRule="auto"/>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N/A</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2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20" w:type="dxa"/>
            <w:vAlign w:val="bottom"/>
          </w:tcPr>
          <w:p>
            <w:pPr>
              <w:spacing w:after="0"/>
              <w:rPr>
                <w:sz w:val="19"/>
                <w:szCs w:val="19"/>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$0.00001 par value per share</w:t>
            </w:r>
          </w:p>
        </w:tc>
        <w:tc>
          <w:tcPr>
            <w:tcW w:w="1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CTMX</w:t>
            </w:r>
          </w:p>
        </w:tc>
        <w:tc>
          <w:tcPr>
            <w:tcW w:w="12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07" w:lineRule="exact"/>
        <w:rPr>
          <w:sz w:val="24"/>
          <w:szCs w:val="24"/>
          <w:color w:val="auto"/>
        </w:rPr>
      </w:pPr>
    </w:p>
    <w:p>
      <w:pPr>
        <w:jc w:val="both"/>
        <w:ind w:right="8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20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400"/>
        <w:spacing w:after="0" w:line="26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30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4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4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9"/>
        </w:trPr>
        <w:tc>
          <w:tcPr>
            <w:tcW w:w="3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40"/>
        <w:spacing w:after="0" w:line="21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280" w:val="left"/>
          <w:tab w:leader="none" w:pos="89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7"/>
          <w:szCs w:val="17"/>
          <w:color w:val="auto"/>
        </w:rPr>
        <w:t>As of May 6, 2024, the registrant had 77,919,369 shares of common stock, $0.00001 par value per share, outstanding. This number does not include 6,923,077 shares of common stock issuable upon the exercise of pre-funded warrants outstanding as of May 6, 2024 (which are immediately exercisable at an exercise price of $0.00001 per share of common stock, subject to beneficial ownership limitations) sold in the registrant’s private placement in July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448945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78"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MARCH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80" w:type="dxa"/>
            <w:vAlign w:val="bottom"/>
            <w:gridSpan w:val="7"/>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2000" w:type="dxa"/>
            <w:vAlign w:val="bottom"/>
          </w:tcPr>
          <w:p>
            <w:pPr>
              <w:spacing w:after="0"/>
              <w:rPr>
                <w:sz w:val="20"/>
                <w:szCs w:val="20"/>
                <w:color w:val="auto"/>
              </w:rPr>
            </w:pPr>
          </w:p>
        </w:tc>
      </w:tr>
      <w:tr>
        <w:trPr>
          <w:trHeight w:val="348"/>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Financial Statements (Unaudited)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Balance Sheets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Statements of Stockholders’ Deficit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Statements of Cash Flows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Financial Statements (Unaudited)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880" w:type="dxa"/>
            <w:vAlign w:val="bottom"/>
            <w:tcBorders>
              <w:left w:val="single" w:sz="8" w:color="0000FF"/>
            </w:tcBorders>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0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80" w:type="dxa"/>
            <w:vAlign w:val="bottom"/>
            <w:gridSpan w:val="7"/>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7"/>
              </w:rPr>
              <w:t>PART II – OTHER INFORMATION</w:t>
            </w:r>
          </w:p>
        </w:tc>
        <w:tc>
          <w:tcPr>
            <w:tcW w:w="2000" w:type="dxa"/>
            <w:vAlign w:val="bottom"/>
          </w:tcPr>
          <w:p>
            <w:pPr>
              <w:spacing w:after="0"/>
              <w:rPr>
                <w:sz w:val="24"/>
                <w:szCs w:val="24"/>
                <w:color w:val="auto"/>
              </w:rPr>
            </w:pPr>
          </w:p>
        </w:tc>
      </w:tr>
      <w:tr>
        <w:trPr>
          <w:trHeight w:val="348"/>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677"/>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400" w:type="dxa"/>
            <w:vAlign w:val="bottom"/>
            <w:gridSpan w:val="13"/>
          </w:tcPr>
          <w:p>
            <w:pPr>
              <w:jc w:val="center"/>
              <w:ind w:left="2631"/>
              <w:spacing w:after="0"/>
              <w:rPr>
                <w:sz w:val="20"/>
                <w:szCs w:val="20"/>
                <w:color w:val="auto"/>
              </w:rPr>
            </w:pPr>
            <w:r>
              <w:rPr>
                <w:rFonts w:ascii="Times New Roman" w:cs="Times New Roman" w:eastAsia="Times New Roman" w:hAnsi="Times New Roman"/>
                <w:sz w:val="18"/>
                <w:szCs w:val="18"/>
                <w:color w:val="auto"/>
                <w:w w:val="88"/>
              </w:rPr>
              <w:t>2</w:t>
            </w:r>
          </w:p>
        </w:tc>
        <w:tc>
          <w:tcPr>
            <w:tcW w:w="17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757"/>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6" w:lineRule="exact"/>
        <w:rPr>
          <w:sz w:val="20"/>
          <w:szCs w:val="20"/>
          <w:color w:val="auto"/>
        </w:rPr>
      </w:pPr>
    </w:p>
    <w:p>
      <w:pPr>
        <w:ind w:right="100"/>
        <w:spacing w:after="0" w:line="309" w:lineRule="auto"/>
        <w:rPr>
          <w:sz w:val="20"/>
          <w:szCs w:val="20"/>
          <w:color w:val="auto"/>
        </w:rPr>
      </w:pPr>
      <w:r>
        <w:rPr>
          <w:rFonts w:ascii="Times New Roman" w:cs="Times New Roman" w:eastAsia="Times New Roman" w:hAnsi="Times New Roman"/>
          <w:sz w:val="17"/>
          <w:szCs w:val="17"/>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167" w:lineRule="exact"/>
        <w:rPr>
          <w:sz w:val="20"/>
          <w:szCs w:val="20"/>
          <w:color w:val="auto"/>
        </w:rPr>
      </w:pPr>
    </w:p>
    <w:p>
      <w:pPr>
        <w:ind w:left="1020" w:right="400" w:hanging="504"/>
        <w:spacing w:after="0" w:line="27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our product candidates and therapeutics developed utilizing our PROBODY® conditionally activated platform technology;</w:t>
      </w:r>
    </w:p>
    <w:p>
      <w:pPr>
        <w:spacing w:after="0" w:line="68" w:lineRule="exact"/>
        <w:rPr>
          <w:rFonts w:ascii="Times New Roman" w:cs="Times New Roman" w:eastAsia="Times New Roman" w:hAnsi="Times New Roman"/>
          <w:sz w:val="18"/>
          <w:szCs w:val="18"/>
          <w:color w:val="auto"/>
        </w:rPr>
      </w:pPr>
    </w:p>
    <w:p>
      <w:pPr>
        <w:ind w:left="1020" w:right="100" w:hanging="504"/>
        <w:spacing w:after="0" w:line="26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completion of our ongoing clinical trials and the timing and availability of clinical data from such clinical trials;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additional product candidates;</w:t>
      </w:r>
    </w:p>
    <w:p>
      <w:pPr>
        <w:spacing w:after="0" w:line="128" w:lineRule="exact"/>
        <w:rPr>
          <w:rFonts w:ascii="Times New Roman" w:cs="Times New Roman" w:eastAsia="Times New Roman" w:hAnsi="Times New Roman"/>
          <w:sz w:val="18"/>
          <w:szCs w:val="18"/>
          <w:color w:val="auto"/>
        </w:rPr>
      </w:pPr>
    </w:p>
    <w:p>
      <w:pPr>
        <w:ind w:left="1020" w:right="840" w:hanging="504"/>
        <w:spacing w:after="0" w:line="27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collaborators for developing, obtaining regulatory approval for and commercializing product candidates in the collaboration;</w:t>
      </w:r>
    </w:p>
    <w:p>
      <w:pPr>
        <w:spacing w:after="0" w:line="6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 collaborator’s ability to obtain and maintain regulatory approval of any of our product candidates;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and timing of any milestone payments or royalties under any research collaboration and license agreements or arrangements;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beliefs regarding the evolution of the market for cancer therapies and development of the immuno-oncology industry;</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approved product candidates;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any approved product candidates;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retain commercial rights for our product candidates in such collaborations;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technologies and product candidates;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and capital requirements;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funds for our operations;</w:t>
      </w:r>
    </w:p>
    <w:p>
      <w:pPr>
        <w:spacing w:after="0" w:line="128" w:lineRule="exact"/>
        <w:rPr>
          <w:rFonts w:ascii="Times New Roman" w:cs="Times New Roman" w:eastAsia="Times New Roman" w:hAnsi="Times New Roman"/>
          <w:sz w:val="18"/>
          <w:szCs w:val="18"/>
          <w:color w:val="auto"/>
        </w:rPr>
      </w:pPr>
    </w:p>
    <w:p>
      <w:pPr>
        <w:ind w:left="1020" w:right="180" w:hanging="504"/>
        <w:spacing w:after="0" w:line="27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6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preclinical studies or any future clinical trials;</w:t>
      </w:r>
    </w:p>
    <w:p>
      <w:pPr>
        <w:spacing w:after="0" w:line="128" w:lineRule="exact"/>
        <w:rPr>
          <w:rFonts w:ascii="Times New Roman" w:cs="Times New Roman" w:eastAsia="Times New Roman" w:hAnsi="Times New Roman"/>
          <w:sz w:val="18"/>
          <w:szCs w:val="18"/>
          <w:color w:val="auto"/>
        </w:rPr>
      </w:pPr>
    </w:p>
    <w:p>
      <w:pPr>
        <w:ind w:left="1020" w:right="20" w:hanging="504"/>
        <w:spacing w:after="0" w:line="27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6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key management and technical personnel;</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maintain licenses of intellectual property to protect our technologies and product candidates;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774" w:right="439" w:bottom="1440" w:gutter="0" w:footer="0" w:header="0"/>
        </w:sectPr>
      </w:pPr>
    </w:p>
    <w:bookmarkStart w:id="4" w:name="page5"/>
    <w:bookmarkEnd w:id="4"/>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our industry, international conflict or uncertainties; and</w:t>
      </w:r>
    </w:p>
    <w:p>
      <w:pPr>
        <w:spacing w:after="0" w:line="221" w:lineRule="exact"/>
        <w:rPr>
          <w:rFonts w:ascii="Times New Roman" w:cs="Times New Roman" w:eastAsia="Times New Roman" w:hAnsi="Times New Roman"/>
          <w:sz w:val="18"/>
          <w:szCs w:val="18"/>
          <w:color w:val="auto"/>
        </w:rPr>
      </w:pPr>
    </w:p>
    <w:p>
      <w:pPr>
        <w:ind w:left="1020" w:right="620" w:hanging="504"/>
        <w:spacing w:after="0" w:line="279"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any future pandemic and related governmental regulations and restrictions may impact our business, including our research, clinical trials, which include ongoing site initiation and patient enrollment, manufacturing and financial condition;</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87"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“we,” “us,” “our” and the “Company” refer to CytomX Therapeutics, Inc.</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19"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8"/>
          <w:szCs w:val="18"/>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78"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 (Unaudited)</w:t>
      </w:r>
    </w:p>
    <w:p>
      <w:pPr>
        <w:spacing w:after="0" w:line="22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7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167,247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184,687</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123,628</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144,536</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long term</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216,367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6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677,986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(709,657 )</w:t>
            </w:r>
          </w:p>
        </w:tc>
        <w:tc>
          <w:tcPr>
            <w:tcW w:w="2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(723,448 )</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(31,680 )</w:t>
            </w:r>
          </w:p>
        </w:tc>
        <w:tc>
          <w:tcPr>
            <w:tcW w:w="2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(47,447 )</w:t>
            </w:r>
          </w:p>
        </w:tc>
        <w:tc>
          <w:tcPr>
            <w:tcW w:w="0" w:type="dxa"/>
            <w:vAlign w:val="bottom"/>
          </w:tcPr>
          <w:p>
            <w:pPr>
              <w:spacing w:after="0"/>
              <w:rPr>
                <w:sz w:val="1"/>
                <w:szCs w:val="1"/>
                <w:color w:val="auto"/>
              </w:rPr>
            </w:pPr>
          </w:p>
        </w:tc>
      </w:tr>
      <w:tr>
        <w:trPr>
          <w:trHeight w:val="232"/>
        </w:trPr>
        <w:tc>
          <w:tcPr>
            <w:tcW w:w="7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184,687</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8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-3446780</wp:posOffset>
            </wp:positionV>
            <wp:extent cx="679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-3446780</wp:posOffset>
            </wp:positionV>
            <wp:extent cx="679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-323215</wp:posOffset>
            </wp:positionV>
            <wp:extent cx="679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-323215</wp:posOffset>
            </wp:positionV>
            <wp:extent cx="679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 w:lineRule="exact"/>
        <w:rPr>
          <w:sz w:val="20"/>
          <w:szCs w:val="20"/>
          <w:color w:val="auto"/>
        </w:rPr>
      </w:pPr>
    </w:p>
    <w:p>
      <w:pPr>
        <w:ind w:left="520" w:right="160" w:hanging="513"/>
        <w:spacing w:after="0" w:line="222" w:lineRule="auto"/>
        <w:tabs>
          <w:tab w:leader="none" w:pos="5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condensed balance sheet as of December 31, 2023 was derived from the audited financial statements included in the Company's Annual Report on Form 10-K for the year ended December 31, 2023.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7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7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5"/>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41,463</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23,499</w:t>
            </w:r>
          </w:p>
        </w:tc>
        <w:tc>
          <w:tcPr>
            <w:tcW w:w="100" w:type="dxa"/>
            <w:vAlign w:val="bottom"/>
            <w:shd w:val="clear" w:color="auto" w:fill="CFF0FC"/>
          </w:tcPr>
          <w:p>
            <w:pPr>
              <w:spacing w:after="0"/>
              <w:rPr>
                <w:sz w:val="20"/>
                <w:szCs w:val="20"/>
                <w:color w:val="auto"/>
              </w:rPr>
            </w:pPr>
          </w:p>
        </w:tc>
      </w:tr>
      <w:tr>
        <w:trPr>
          <w:trHeight w:val="237"/>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22,052</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100" w:type="dxa"/>
            <w:vAlign w:val="bottom"/>
            <w:shd w:val="clear" w:color="auto" w:fill="CFF0FC"/>
          </w:tcPr>
          <w:p>
            <w:pPr>
              <w:spacing w:after="0"/>
              <w:rPr>
                <w:sz w:val="21"/>
                <w:szCs w:val="2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00" w:type="dxa"/>
            <w:vAlign w:val="bottom"/>
          </w:tcPr>
          <w:p>
            <w:pPr>
              <w:spacing w:after="0"/>
              <w:rPr>
                <w:sz w:val="20"/>
                <w:szCs w:val="20"/>
                <w:color w:val="auto"/>
              </w:rPr>
            </w:pPr>
          </w:p>
        </w:tc>
      </w:tr>
      <w:tr>
        <w:trPr>
          <w:trHeight w:val="235"/>
        </w:trPr>
        <w:tc>
          <w:tcPr>
            <w:tcW w:w="76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29,806</w:t>
            </w:r>
          </w:p>
        </w:tc>
        <w:tc>
          <w:tcPr>
            <w:tcW w:w="2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5"/>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(5,653 )</w:t>
            </w:r>
          </w:p>
        </w:tc>
      </w:tr>
      <w:tr>
        <w:trPr>
          <w:trHeight w:val="245"/>
        </w:trPr>
        <w:tc>
          <w:tcPr>
            <w:tcW w:w="7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shd w:val="clear" w:color="auto" w:fill="CFF0FC"/>
          </w:tcPr>
          <w:p>
            <w:pPr>
              <w:spacing w:after="0"/>
              <w:rPr>
                <w:sz w:val="21"/>
                <w:szCs w:val="2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(11 )</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13,840</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(3,311 )</w:t>
            </w: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(3,311 )</w:t>
            </w:r>
          </w:p>
        </w:tc>
      </w:tr>
      <w:tr>
        <w:trPr>
          <w:trHeight w:val="237"/>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Unrealized (loss) gain on investments, net of tax</w:t>
            </w:r>
          </w:p>
        </w:tc>
        <w:tc>
          <w:tcPr>
            <w:tcW w:w="3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(105 )</w:t>
            </w:r>
          </w:p>
        </w:tc>
        <w:tc>
          <w:tcPr>
            <w:tcW w:w="5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0"/>
                <w:szCs w:val="20"/>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5"/>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280" w:type="dxa"/>
            <w:vAlign w:val="bottom"/>
          </w:tcPr>
          <w:p>
            <w:pPr>
              <w:spacing w:after="0"/>
              <w:rPr>
                <w:sz w:val="20"/>
                <w:szCs w:val="20"/>
                <w:color w:val="auto"/>
              </w:rPr>
            </w:pP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(3,295 )</w:t>
            </w:r>
          </w:p>
        </w:tc>
      </w:tr>
      <w:tr>
        <w:trPr>
          <w:trHeight w:val="20"/>
        </w:trPr>
        <w:tc>
          <w:tcPr>
            <w:tcW w:w="7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1"/>
        </w:trPr>
        <w:tc>
          <w:tcPr>
            <w:tcW w:w="7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8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r>
      <w:tr>
        <w:trPr>
          <w:trHeight w:val="20"/>
        </w:trPr>
        <w:tc>
          <w:tcPr>
            <w:tcW w:w="76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2"/>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80" w:type="dxa"/>
            <w:vAlign w:val="bottom"/>
          </w:tcPr>
          <w:p>
            <w:pPr>
              <w:spacing w:after="0"/>
              <w:rPr>
                <w:sz w:val="19"/>
                <w:szCs w:val="19"/>
                <w:color w:val="auto"/>
              </w:rPr>
            </w:pP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r>
      <w:tr>
        <w:trPr>
          <w:trHeight w:val="20"/>
        </w:trPr>
        <w:tc>
          <w:tcPr>
            <w:tcW w:w="7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to compute net income (loss) per share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82,029,466</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66,248,992</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2"/>
        </w:trPr>
        <w:tc>
          <w:tcPr>
            <w:tcW w:w="76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82,630,020</w:t>
            </w:r>
          </w:p>
        </w:tc>
        <w:tc>
          <w:tcPr>
            <w:tcW w:w="28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66,248,992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-2612390</wp:posOffset>
            </wp:positionV>
            <wp:extent cx="679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-2612390</wp:posOffset>
            </wp:positionV>
            <wp:extent cx="679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-1361440</wp:posOffset>
            </wp:positionV>
            <wp:extent cx="679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-1361440</wp:posOffset>
            </wp:positionV>
            <wp:extent cx="679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-714375</wp:posOffset>
            </wp:positionV>
            <wp:extent cx="67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-697230</wp:posOffset>
            </wp:positionV>
            <wp:extent cx="679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-714375</wp:posOffset>
            </wp:positionV>
            <wp:extent cx="679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-697230</wp:posOffset>
            </wp:positionV>
            <wp:extent cx="6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-24765</wp:posOffset>
            </wp:positionV>
            <wp:extent cx="679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-7620</wp:posOffset>
            </wp:positionV>
            <wp:extent cx="679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-24765</wp:posOffset>
            </wp:positionV>
            <wp:extent cx="679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-7620</wp:posOffset>
            </wp:positionV>
            <wp:extent cx="679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480695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400" w:top="774"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DEFICIT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20" w:type="dxa"/>
            <w:vAlign w:val="bottom"/>
          </w:tcPr>
          <w:p>
            <w:pPr>
              <w:spacing w:after="0"/>
              <w:rPr>
                <w:sz w:val="16"/>
                <w:szCs w:val="16"/>
                <w:color w:val="auto"/>
              </w:rPr>
            </w:pPr>
          </w:p>
        </w:tc>
        <w:tc>
          <w:tcPr>
            <w:tcW w:w="22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220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4"/>
                <w:szCs w:val="1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8"/>
        </w:trPr>
        <w:tc>
          <w:tcPr>
            <w:tcW w:w="3620" w:type="dxa"/>
            <w:vAlign w:val="bottom"/>
          </w:tcPr>
          <w:p>
            <w:pPr>
              <w:spacing w:after="0"/>
              <w:rPr>
                <w:sz w:val="14"/>
                <w:szCs w:val="14"/>
                <w:color w:val="auto"/>
              </w:rPr>
            </w:pPr>
          </w:p>
        </w:tc>
        <w:tc>
          <w:tcPr>
            <w:tcW w:w="11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67,310,838</w:t>
            </w:r>
          </w:p>
        </w:tc>
        <w:tc>
          <w:tcPr>
            <w:tcW w:w="106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675,905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(723,448 )</w:t>
            </w:r>
          </w:p>
        </w:tc>
        <w:tc>
          <w:tcPr>
            <w:tcW w:w="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(47,447 )</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and release of RSUs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826,797</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45"/>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68,137,635</w:t>
            </w:r>
          </w:p>
        </w:tc>
        <w:tc>
          <w:tcPr>
            <w:tcW w:w="240" w:type="dxa"/>
            <w:vAlign w:val="bottom"/>
          </w:tcPr>
          <w:p>
            <w:pPr>
              <w:spacing w:after="0"/>
              <w:rPr>
                <w:sz w:val="20"/>
                <w:szCs w:val="20"/>
                <w:color w:val="auto"/>
              </w:rPr>
            </w:pPr>
          </w:p>
        </w:tc>
        <w:tc>
          <w:tcPr>
            <w:tcW w:w="820" w:type="dxa"/>
            <w:vAlign w:val="bottom"/>
          </w:tcPr>
          <w:p>
            <w:pPr>
              <w:jc w:val="right"/>
              <w:ind w:right="6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677,986</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(709,657 )</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(31,680 )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620" w:type="dxa"/>
            <w:vAlign w:val="bottom"/>
          </w:tcPr>
          <w:p>
            <w:pPr>
              <w:spacing w:after="0"/>
              <w:rPr>
                <w:sz w:val="16"/>
                <w:szCs w:val="16"/>
                <w:color w:val="auto"/>
              </w:rPr>
            </w:pPr>
          </w:p>
        </w:tc>
        <w:tc>
          <w:tcPr>
            <w:tcW w:w="22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220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4"/>
                <w:szCs w:val="1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8"/>
        </w:trPr>
        <w:tc>
          <w:tcPr>
            <w:tcW w:w="3620" w:type="dxa"/>
            <w:vAlign w:val="bottom"/>
          </w:tcPr>
          <w:p>
            <w:pPr>
              <w:spacing w:after="0"/>
              <w:rPr>
                <w:sz w:val="14"/>
                <w:szCs w:val="14"/>
                <w:color w:val="auto"/>
              </w:rPr>
            </w:pPr>
          </w:p>
        </w:tc>
        <w:tc>
          <w:tcPr>
            <w:tcW w:w="11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66,228,046</w:t>
            </w:r>
          </w:p>
        </w:tc>
        <w:tc>
          <w:tcPr>
            <w:tcW w:w="106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637,117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(722,879 )</w:t>
            </w:r>
          </w:p>
        </w:tc>
        <w:tc>
          <w:tcPr>
            <w:tcW w:w="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(85,751 )</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RSUs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110,892</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(3,311 )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(3,311 )</w:t>
            </w:r>
          </w:p>
        </w:tc>
        <w:tc>
          <w:tcPr>
            <w:tcW w:w="0" w:type="dxa"/>
            <w:vAlign w:val="bottom"/>
          </w:tcPr>
          <w:p>
            <w:pPr>
              <w:spacing w:after="0"/>
              <w:rPr>
                <w:sz w:val="1"/>
                <w:szCs w:val="1"/>
                <w:color w:val="auto"/>
              </w:rPr>
            </w:pPr>
          </w:p>
        </w:tc>
      </w:tr>
      <w:tr>
        <w:trPr>
          <w:trHeight w:val="20"/>
        </w:trPr>
        <w:tc>
          <w:tcPr>
            <w:tcW w:w="36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66,338,938</w:t>
            </w:r>
          </w:p>
        </w:tc>
        <w:tc>
          <w:tcPr>
            <w:tcW w:w="240" w:type="dxa"/>
            <w:vAlign w:val="bottom"/>
          </w:tcPr>
          <w:p>
            <w:pPr>
              <w:spacing w:after="0"/>
              <w:rPr>
                <w:sz w:val="20"/>
                <w:szCs w:val="20"/>
                <w:color w:val="auto"/>
              </w:rPr>
            </w:pPr>
          </w:p>
        </w:tc>
        <w:tc>
          <w:tcPr>
            <w:tcW w:w="820" w:type="dxa"/>
            <w:vAlign w:val="bottom"/>
          </w:tcPr>
          <w:p>
            <w:pPr>
              <w:jc w:val="right"/>
              <w:ind w:right="6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639,526</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(726,190 )</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(86,637 )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-1769745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-1769745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-1769745</wp:posOffset>
            </wp:positionV>
            <wp:extent cx="679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5520690</wp:posOffset>
            </wp:positionH>
            <wp:positionV relativeFrom="paragraph">
              <wp:posOffset>-1769745</wp:posOffset>
            </wp:positionV>
            <wp:extent cx="679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6303645</wp:posOffset>
            </wp:positionH>
            <wp:positionV relativeFrom="paragraph">
              <wp:posOffset>-1769745</wp:posOffset>
            </wp:positionV>
            <wp:extent cx="679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-1769745</wp:posOffset>
            </wp:positionV>
            <wp:extent cx="679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-186690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-186690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-186690</wp:posOffset>
            </wp:positionV>
            <wp:extent cx="6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5520690</wp:posOffset>
            </wp:positionH>
            <wp:positionV relativeFrom="paragraph">
              <wp:posOffset>-186690</wp:posOffset>
            </wp:positionV>
            <wp:extent cx="679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6303645</wp:posOffset>
            </wp:positionH>
            <wp:positionV relativeFrom="paragraph">
              <wp:posOffset>-186690</wp:posOffset>
            </wp:positionV>
            <wp:extent cx="679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-186690</wp:posOffset>
            </wp:positionV>
            <wp:extent cx="679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79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79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1"/>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9"/>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900" w:type="dxa"/>
            <w:vAlign w:val="bottom"/>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13,791</w:t>
            </w:r>
          </w:p>
        </w:tc>
        <w:tc>
          <w:tcPr>
            <w:tcW w:w="240" w:type="dxa"/>
            <w:vAlign w:val="bottom"/>
          </w:tcPr>
          <w:p>
            <w:pPr>
              <w:spacing w:after="0"/>
              <w:rPr>
                <w:sz w:val="19"/>
                <w:szCs w:val="19"/>
                <w:color w:val="auto"/>
              </w:rPr>
            </w:pPr>
          </w:p>
        </w:tc>
        <w:tc>
          <w:tcPr>
            <w:tcW w:w="56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(3,311 )</w:t>
            </w:r>
          </w:p>
        </w:tc>
      </w:tr>
      <w:tr>
        <w:trPr>
          <w:trHeight w:val="237"/>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provided by operating activities:</w:t>
            </w:r>
          </w:p>
        </w:tc>
        <w:tc>
          <w:tcPr>
            <w:tcW w:w="9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9"/>
        </w:trPr>
        <w:tc>
          <w:tcPr>
            <w:tcW w:w="7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r>
      <w:tr>
        <w:trPr>
          <w:trHeight w:val="237"/>
        </w:trPr>
        <w:tc>
          <w:tcPr>
            <w:tcW w:w="7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2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shd w:val="clear" w:color="auto" w:fill="CFF0FC"/>
          </w:tcPr>
          <w:p>
            <w:pPr>
              <w:spacing w:after="0"/>
              <w:rPr>
                <w:sz w:val="20"/>
                <w:szCs w:val="20"/>
                <w:color w:val="auto"/>
              </w:rPr>
            </w:pPr>
          </w:p>
        </w:tc>
      </w:tr>
      <w:tr>
        <w:trPr>
          <w:trHeight w:val="219"/>
        </w:trPr>
        <w:tc>
          <w:tcPr>
            <w:tcW w:w="7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Accretion of discounts on short-term investments</w:t>
            </w:r>
          </w:p>
        </w:tc>
        <w:tc>
          <w:tcPr>
            <w:tcW w:w="9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(1,866 )</w:t>
            </w:r>
          </w:p>
        </w:tc>
        <w:tc>
          <w:tcPr>
            <w:tcW w:w="5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(1,535 )</w:t>
            </w:r>
          </w:p>
        </w:tc>
      </w:tr>
      <w:tr>
        <w:trPr>
          <w:trHeight w:val="237"/>
        </w:trPr>
        <w:tc>
          <w:tcPr>
            <w:tcW w:w="7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2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00" w:type="dxa"/>
            <w:vAlign w:val="bottom"/>
            <w:shd w:val="clear" w:color="auto" w:fill="CFF0FC"/>
          </w:tcPr>
          <w:p>
            <w:pPr>
              <w:spacing w:after="0"/>
              <w:rPr>
                <w:sz w:val="20"/>
                <w:szCs w:val="20"/>
                <w:color w:val="auto"/>
              </w:rPr>
            </w:pPr>
          </w:p>
        </w:tc>
      </w:tr>
      <w:tr>
        <w:trPr>
          <w:trHeight w:val="219"/>
        </w:trPr>
        <w:tc>
          <w:tcPr>
            <w:tcW w:w="7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Non-cash lease expense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tcPr>
          <w:p>
            <w:pPr>
              <w:spacing w:after="0"/>
              <w:rPr>
                <w:sz w:val="19"/>
                <w:szCs w:val="19"/>
                <w:color w:val="auto"/>
              </w:rPr>
            </w:pPr>
          </w:p>
        </w:tc>
      </w:tr>
      <w:tr>
        <w:trPr>
          <w:trHeight w:val="237"/>
        </w:trPr>
        <w:tc>
          <w:tcPr>
            <w:tcW w:w="7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9"/>
        </w:trPr>
        <w:tc>
          <w:tcPr>
            <w:tcW w:w="79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receivable</w:t>
            </w:r>
          </w:p>
        </w:tc>
        <w:tc>
          <w:tcPr>
            <w:tcW w:w="9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(9,745 )</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34,896</w:t>
            </w:r>
          </w:p>
        </w:tc>
        <w:tc>
          <w:tcPr>
            <w:tcW w:w="100" w:type="dxa"/>
            <w:vAlign w:val="bottom"/>
          </w:tcPr>
          <w:p>
            <w:pPr>
              <w:spacing w:after="0"/>
              <w:rPr>
                <w:sz w:val="19"/>
                <w:szCs w:val="19"/>
                <w:color w:val="auto"/>
              </w:rPr>
            </w:pPr>
          </w:p>
        </w:tc>
      </w:tr>
      <w:tr>
        <w:trPr>
          <w:trHeight w:val="237"/>
        </w:trPr>
        <w:tc>
          <w:tcPr>
            <w:tcW w:w="79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2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shd w:val="clear" w:color="auto" w:fill="CFF0FC"/>
          </w:tcPr>
          <w:p>
            <w:pPr>
              <w:spacing w:after="0"/>
              <w:rPr>
                <w:sz w:val="20"/>
                <w:szCs w:val="20"/>
                <w:color w:val="auto"/>
              </w:rPr>
            </w:pPr>
          </w:p>
        </w:tc>
      </w:tr>
      <w:tr>
        <w:trPr>
          <w:trHeight w:val="219"/>
        </w:trPr>
        <w:tc>
          <w:tcPr>
            <w:tcW w:w="79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(618 )</w:t>
            </w:r>
          </w:p>
        </w:tc>
      </w:tr>
      <w:tr>
        <w:trPr>
          <w:trHeight w:val="237"/>
        </w:trPr>
        <w:tc>
          <w:tcPr>
            <w:tcW w:w="79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9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(4,434 )</w:t>
            </w:r>
          </w:p>
        </w:tc>
        <w:tc>
          <w:tcPr>
            <w:tcW w:w="5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(7,360 )</w:t>
            </w:r>
          </w:p>
        </w:tc>
      </w:tr>
      <w:tr>
        <w:trPr>
          <w:trHeight w:val="219"/>
        </w:trPr>
        <w:tc>
          <w:tcPr>
            <w:tcW w:w="79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Deferred revenue</w:t>
            </w:r>
          </w:p>
        </w:tc>
        <w:tc>
          <w:tcPr>
            <w:tcW w:w="9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(28,944 )</w:t>
            </w:r>
          </w:p>
        </w:tc>
        <w:tc>
          <w:tcPr>
            <w:tcW w:w="5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(17,409 )</w:t>
            </w:r>
          </w:p>
        </w:tc>
      </w:tr>
      <w:tr>
        <w:trPr>
          <w:trHeight w:val="23"/>
        </w:trPr>
        <w:tc>
          <w:tcPr>
            <w:tcW w:w="7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79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9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(26,045 )</w:t>
            </w:r>
          </w:p>
        </w:tc>
        <w:tc>
          <w:tcPr>
            <w:tcW w:w="5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9,349</w:t>
            </w:r>
          </w:p>
        </w:tc>
        <w:tc>
          <w:tcPr>
            <w:tcW w:w="100" w:type="dxa"/>
            <w:vAlign w:val="bottom"/>
            <w:shd w:val="clear" w:color="auto" w:fill="CFF0FC"/>
          </w:tcPr>
          <w:p>
            <w:pPr>
              <w:spacing w:after="0"/>
              <w:rPr>
                <w:sz w:val="19"/>
                <w:szCs w:val="19"/>
                <w:color w:val="auto"/>
              </w:rPr>
            </w:pPr>
          </w:p>
        </w:tc>
      </w:tr>
      <w:tr>
        <w:trPr>
          <w:trHeight w:val="220"/>
        </w:trPr>
        <w:tc>
          <w:tcPr>
            <w:tcW w:w="7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6"/>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(115 )</w:t>
            </w:r>
          </w:p>
        </w:tc>
        <w:tc>
          <w:tcPr>
            <w:tcW w:w="5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(48 )</w:t>
            </w:r>
          </w:p>
        </w:tc>
      </w:tr>
      <w:tr>
        <w:trPr>
          <w:trHeight w:val="219"/>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9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(146,594 )</w:t>
            </w:r>
          </w:p>
        </w:tc>
      </w:tr>
      <w:tr>
        <w:trPr>
          <w:trHeight w:val="231"/>
        </w:trPr>
        <w:tc>
          <w:tcPr>
            <w:tcW w:w="7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9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1"/>
        </w:trPr>
        <w:tc>
          <w:tcPr>
            <w:tcW w:w="79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44,885</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(146,642 )</w:t>
            </w:r>
          </w:p>
        </w:tc>
      </w:tr>
      <w:tr>
        <w:trPr>
          <w:trHeight w:val="228"/>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21"/>
        </w:trPr>
        <w:tc>
          <w:tcPr>
            <w:tcW w:w="79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19,014</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(137,293 )</w:t>
            </w:r>
          </w:p>
        </w:tc>
      </w:tr>
      <w:tr>
        <w:trPr>
          <w:trHeight w:val="231"/>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9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18,088</w:t>
            </w:r>
          </w:p>
        </w:tc>
        <w:tc>
          <w:tcPr>
            <w:tcW w:w="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194,567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90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37,102</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57,274</w:t>
            </w:r>
          </w:p>
        </w:tc>
        <w:tc>
          <w:tcPr>
            <w:tcW w:w="10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-1667510</wp:posOffset>
            </wp:positionV>
            <wp:extent cx="679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-1667510</wp:posOffset>
            </wp:positionV>
            <wp:extent cx="679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-1080135</wp:posOffset>
            </wp:positionV>
            <wp:extent cx="679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-1080135</wp:posOffset>
            </wp:positionV>
            <wp:extent cx="679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-476250</wp:posOffset>
            </wp:positionV>
            <wp:extent cx="679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-476250</wp:posOffset>
            </wp:positionV>
            <wp:extent cx="679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-178435</wp:posOffset>
            </wp:positionV>
            <wp:extent cx="679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-178435</wp:posOffset>
            </wp:positionV>
            <wp:extent cx="679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1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CytomX Therapeutics, Inc. (the “Company”) is a clinical-stage, oncology-focused biopharmaceutical company developing potent biologics designed to remain masked and inactive in healthy tissue and to be unmasked and preferentially activated in the tumor microenvironment. The Company aims to build a commercial enterprise to maximize its impact on the treatment of cancer. The Company is advancing potential first-in-class and best-in-class therapeutics created using its PROBODY® therapeutic technology platform that could meaningfully improve outcomes for cancer patients. Its proprietary and unique PROBODY technology platform is designed to enable “conditional activation” of antibody-based drugs in the tumor microenvironment across multiple therapeutic modalities. The Company is located in South San Francisco, California and was incorporated in the state of Delaware in September 2010.</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9"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19" w:lineRule="exact"/>
        <w:rPr>
          <w:sz w:val="20"/>
          <w:szCs w:val="20"/>
          <w:color w:val="auto"/>
        </w:rPr>
      </w:pPr>
    </w:p>
    <w:p>
      <w:pPr>
        <w:jc w:val="both"/>
        <w:ind w:right="540"/>
        <w:spacing w:after="0" w:line="263" w:lineRule="auto"/>
        <w:rPr>
          <w:sz w:val="20"/>
          <w:szCs w:val="20"/>
          <w:color w:val="auto"/>
        </w:rPr>
      </w:pPr>
      <w:r>
        <w:rPr>
          <w:rFonts w:ascii="Times New Roman" w:cs="Times New Roman" w:eastAsia="Times New Roman" w:hAnsi="Times New Roman"/>
          <w:sz w:val="18"/>
          <w:szCs w:val="18"/>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1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The condensed results of operations for the three months ended March 31, 2024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2023 filed with the SEC.</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disclosure of contingent liabilities at the date of the financial statements and reported amounts of revenues and expenses during the reporting periods. Actual results could differ from those estimates.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19" w:lineRule="exact"/>
        <w:rPr>
          <w:sz w:val="20"/>
          <w:szCs w:val="20"/>
          <w:color w:val="auto"/>
        </w:rPr>
      </w:pPr>
    </w:p>
    <w:p>
      <w:pPr>
        <w:ind w:right="840"/>
        <w:spacing w:after="0" w:line="279"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at the date of purchase to be cash equivalents. Restricted cash represents a standby letter of credit issued pursuant to an office lease.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214" w:lineRule="exact"/>
        <w:rPr>
          <w:sz w:val="20"/>
          <w:szCs w:val="20"/>
          <w:color w:val="auto"/>
        </w:rPr>
      </w:pPr>
    </w:p>
    <w:p>
      <w:pPr>
        <w:ind w:right="480"/>
        <w:spacing w:after="0" w:line="263" w:lineRule="auto"/>
        <w:rPr>
          <w:sz w:val="20"/>
          <w:szCs w:val="20"/>
          <w:color w:val="auto"/>
        </w:rPr>
      </w:pPr>
      <w:r>
        <w:rPr>
          <w:rFonts w:ascii="Times New Roman" w:cs="Times New Roman" w:eastAsia="Times New Roman" w:hAnsi="Times New Roman"/>
          <w:sz w:val="18"/>
          <w:szCs w:val="18"/>
          <w:color w:val="auto"/>
        </w:rPr>
        <w:t>The Company assesses whether the promises in its arrangements with customers are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204"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21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instead, they are included when the sales or usage occur.</w:t>
      </w:r>
    </w:p>
    <w:p>
      <w:pPr>
        <w:spacing w:after="0" w:line="19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Due to the early stage of the Company’s licensed technology, the license of such technology is typically combined with research and development services and steering committee participation as one performance obligation. Under the collaboration and license agreements, each collaboration target or program is generally considered to be a separate combined performance obligation. 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Variable consideration is allocated to certain performance obligations if it is triggered by the Company’s efforts to satisfy or a specific outcome from satisfying these performance obligations.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 The Company recognizes revenue from upfront payments over the estimated period of performance under the agreement using an input method for the performance obligation. In applying the input method of revenue recognition, the Company uses actual full-time equivalent (FTE) hours incurred relative to estimated total FTE hours expected to be incurred for each combined performance obligation over the estimated research service period of each collaboration target.</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1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8"/>
          <w:szCs w:val="18"/>
          <w:color w:val="auto"/>
        </w:rPr>
        <w:t>Any consideration payable to the Company’s customers is treated as a reduction to the transaction price and revenue, unless the payment to the customer is in exchange for distinct good and services.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9" w:lineRule="exact"/>
        <w:rPr>
          <w:sz w:val="20"/>
          <w:szCs w:val="20"/>
          <w:color w:val="auto"/>
        </w:rPr>
      </w:pPr>
    </w:p>
    <w:p>
      <w:pPr>
        <w:jc w:val="both"/>
        <w:ind w:right="180"/>
        <w:spacing w:after="0" w:line="263" w:lineRule="auto"/>
        <w:rPr>
          <w:sz w:val="20"/>
          <w:szCs w:val="20"/>
          <w:color w:val="auto"/>
        </w:rPr>
      </w:pPr>
      <w:r>
        <w:rPr>
          <w:rFonts w:ascii="Times New Roman" w:cs="Times New Roman" w:eastAsia="Times New Roman" w:hAnsi="Times New Roman"/>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enhances transparency in income tax disclosures. ASU 2023-09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310"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8"/>
          <w:szCs w:val="18"/>
          <w:color w:val="auto"/>
        </w:rPr>
        <w:t>amendments are set to be effective for fiscal years beginning after December 15, 2024, and are required to be applied on a prospective basis. The Company is evaluating the impact on our financial statements.</w:t>
      </w:r>
    </w:p>
    <w:p>
      <w:pPr>
        <w:spacing w:after="0" w:line="55"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(Loss) Per Share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by the weighted-average number of shares of common stock outstanding for the period. Diluted net income (loss) per share is calculated using the weighted-average number of common shares outstanding, plus potential dilutive common stock during the period. Diluted net loss per share is the same as basic net loss per share since the effect of the potentially dilutive securities is anti-dilutive. The pre-funded warrants are included in both the basic and diluted EPS calculation.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8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62"/>
        </w:trPr>
        <w:tc>
          <w:tcPr>
            <w:tcW w:w="8100" w:type="dxa"/>
            <w:vAlign w:val="bottom"/>
          </w:tcPr>
          <w:p>
            <w:pPr>
              <w:spacing w:after="0"/>
              <w:rPr>
                <w:sz w:val="22"/>
                <w:szCs w:val="22"/>
                <w:color w:val="auto"/>
              </w:rPr>
            </w:pPr>
          </w:p>
        </w:tc>
        <w:tc>
          <w:tcPr>
            <w:tcW w:w="31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r>
      <w:tr>
        <w:trPr>
          <w:trHeight w:val="241"/>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(3,311 )</w:t>
            </w:r>
          </w:p>
        </w:tc>
      </w:tr>
      <w:tr>
        <w:trPr>
          <w:trHeight w:val="20"/>
        </w:trPr>
        <w:tc>
          <w:tcPr>
            <w:tcW w:w="8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8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8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67,606,389</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66,248,992</w:t>
            </w:r>
          </w:p>
        </w:tc>
        <w:tc>
          <w:tcPr>
            <w:tcW w:w="100" w:type="dxa"/>
            <w:vAlign w:val="bottom"/>
          </w:tcPr>
          <w:p>
            <w:pPr>
              <w:spacing w:after="0"/>
              <w:rPr>
                <w:sz w:val="20"/>
                <w:szCs w:val="20"/>
                <w:color w:val="auto"/>
              </w:rPr>
            </w:pPr>
          </w:p>
        </w:tc>
      </w:tr>
      <w:tr>
        <w:trPr>
          <w:trHeight w:val="241"/>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pre-funded warrants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14,423,077</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5"/>
        </w:trPr>
        <w:tc>
          <w:tcPr>
            <w:tcW w:w="810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 used to calculate basic net income (loss) per share</w:t>
            </w: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82,029,466</w:t>
            </w:r>
          </w:p>
        </w:tc>
        <w:tc>
          <w:tcPr>
            <w:tcW w:w="28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66,248,992</w:t>
            </w:r>
          </w:p>
        </w:tc>
        <w:tc>
          <w:tcPr>
            <w:tcW w:w="100" w:type="dxa"/>
            <w:vAlign w:val="bottom"/>
            <w:tcBorders>
              <w:top w:val="single" w:sz="8" w:color="CFF0FC"/>
            </w:tcBorders>
          </w:tcPr>
          <w:p>
            <w:pPr>
              <w:spacing w:after="0"/>
              <w:rPr>
                <w:sz w:val="20"/>
                <w:szCs w:val="20"/>
                <w:color w:val="auto"/>
              </w:rPr>
            </w:pPr>
          </w:p>
        </w:tc>
      </w:tr>
      <w:tr>
        <w:trPr>
          <w:trHeight w:val="20"/>
        </w:trPr>
        <w:tc>
          <w:tcPr>
            <w:tcW w:w="8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8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2"/>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used to calculate basic net income (loss) per share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82,029,466</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66,248,992</w:t>
            </w:r>
          </w:p>
        </w:tc>
        <w:tc>
          <w:tcPr>
            <w:tcW w:w="100" w:type="dxa"/>
            <w:vAlign w:val="bottom"/>
          </w:tcPr>
          <w:p>
            <w:pPr>
              <w:spacing w:after="0"/>
              <w:rPr>
                <w:sz w:val="22"/>
                <w:szCs w:val="22"/>
                <w:color w:val="auto"/>
              </w:rPr>
            </w:pPr>
          </w:p>
        </w:tc>
      </w:tr>
      <w:tr>
        <w:trPr>
          <w:trHeight w:val="248"/>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8"/>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options, ESPP &amp; RSUs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600,554</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1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 used to calculate diluted net income (loss) per share</w:t>
            </w: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82,630,020</w:t>
            </w:r>
          </w:p>
        </w:tc>
        <w:tc>
          <w:tcPr>
            <w:tcW w:w="28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66,248,992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52"/>
        </w:trPr>
        <w:tc>
          <w:tcPr>
            <w:tcW w:w="8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2"/>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r>
      <w:tr>
        <w:trPr>
          <w:trHeight w:val="248"/>
        </w:trPr>
        <w:tc>
          <w:tcPr>
            <w:tcW w:w="8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-1659255</wp:posOffset>
            </wp:positionV>
            <wp:extent cx="679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-1659255</wp:posOffset>
            </wp:positionV>
            <wp:extent cx="679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-671830</wp:posOffset>
            </wp:positionV>
            <wp:extent cx="679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-654685</wp:posOffset>
            </wp:positionV>
            <wp:extent cx="679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-671830</wp:posOffset>
            </wp:positionV>
            <wp:extent cx="679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-654685</wp:posOffset>
            </wp:positionV>
            <wp:extent cx="679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are excluded from the computation of diluted net income (loss) per share for the periods presented, because including them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4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220" w:type="dxa"/>
            <w:vAlign w:val="bottom"/>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44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44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49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and ESPP to purchase common stock</w:t>
            </w:r>
          </w:p>
        </w:tc>
        <w:tc>
          <w:tcPr>
            <w:tcW w:w="5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13,710,289</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13,986,524</w:t>
            </w:r>
          </w:p>
        </w:tc>
        <w:tc>
          <w:tcPr>
            <w:tcW w:w="100" w:type="dxa"/>
            <w:vAlign w:val="bottom"/>
          </w:tcPr>
          <w:p>
            <w:pPr>
              <w:spacing w:after="0"/>
              <w:rPr>
                <w:sz w:val="24"/>
                <w:szCs w:val="24"/>
                <w:color w:val="auto"/>
              </w:rPr>
            </w:pPr>
          </w:p>
        </w:tc>
      </w:tr>
      <w:tr>
        <w:trPr>
          <w:trHeight w:val="248"/>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5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11,538,462</w:t>
            </w: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362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227,525</w:t>
            </w:r>
          </w:p>
        </w:tc>
        <w:tc>
          <w:tcPr>
            <w:tcW w:w="2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1,539,053</w:t>
            </w:r>
          </w:p>
        </w:tc>
        <w:tc>
          <w:tcPr>
            <w:tcW w:w="100" w:type="dxa"/>
            <w:vAlign w:val="bottom"/>
          </w:tcPr>
          <w:p>
            <w:pPr>
              <w:spacing w:after="0"/>
              <w:rPr>
                <w:sz w:val="20"/>
                <w:szCs w:val="20"/>
                <w:color w:val="auto"/>
              </w:rPr>
            </w:pPr>
          </w:p>
        </w:tc>
      </w:tr>
      <w:tr>
        <w:trPr>
          <w:trHeight w:val="271"/>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25,476,276</w:t>
            </w:r>
          </w:p>
        </w:tc>
        <w:tc>
          <w:tcPr>
            <w:tcW w:w="220" w:type="dxa"/>
            <w:vAlign w:val="bottom"/>
            <w:shd w:val="clear" w:color="auto" w:fill="CFF0FC"/>
          </w:tcPr>
          <w:p>
            <w:pPr>
              <w:spacing w:after="0"/>
              <w:rPr>
                <w:sz w:val="23"/>
                <w:szCs w:val="23"/>
                <w:color w:val="auto"/>
              </w:rPr>
            </w:pPr>
          </w:p>
        </w:tc>
        <w:tc>
          <w:tcPr>
            <w:tcW w:w="5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15,525,577</w:t>
            </w:r>
          </w:p>
        </w:tc>
        <w:tc>
          <w:tcPr>
            <w:tcW w:w="100" w:type="dxa"/>
            <w:vAlign w:val="bottom"/>
            <w:shd w:val="clear" w:color="auto" w:fill="CFF0FC"/>
          </w:tcPr>
          <w:p>
            <w:pPr>
              <w:spacing w:after="0"/>
              <w:rPr>
                <w:sz w:val="23"/>
                <w:szCs w:val="23"/>
                <w:color w:val="auto"/>
              </w:rPr>
            </w:pPr>
          </w:p>
        </w:tc>
      </w:tr>
      <w:tr>
        <w:trPr>
          <w:trHeight w:val="628"/>
        </w:trPr>
        <w:tc>
          <w:tcPr>
            <w:tcW w:w="4420" w:type="dxa"/>
            <w:vAlign w:val="bottom"/>
            <w:tcBorders>
              <w:top w:val="single" w:sz="8" w:color="CFF0FC"/>
            </w:tcBorders>
          </w:tcPr>
          <w:p>
            <w:pPr>
              <w:spacing w:after="0"/>
              <w:rPr>
                <w:sz w:val="24"/>
                <w:szCs w:val="24"/>
                <w:color w:val="auto"/>
              </w:rPr>
            </w:pPr>
          </w:p>
        </w:tc>
        <w:tc>
          <w:tcPr>
            <w:tcW w:w="3620" w:type="dxa"/>
            <w:vAlign w:val="bottom"/>
            <w:tcBorders>
              <w:top w:val="single" w:sz="8" w:color="CFF0FC"/>
            </w:tcBorders>
          </w:tcPr>
          <w:p>
            <w:pPr>
              <w:jc w:val="right"/>
              <w:ind w:right="2231"/>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4"/>
        </w:trPr>
        <w:tc>
          <w:tcPr>
            <w:tcW w:w="44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-918845</wp:posOffset>
            </wp:positionV>
            <wp:extent cx="679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-901700</wp:posOffset>
            </wp:positionV>
            <wp:extent cx="679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-918845</wp:posOffset>
            </wp:positionV>
            <wp:extent cx="679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-901700</wp:posOffset>
            </wp:positionV>
            <wp:extent cx="679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 and Investments</w:t>
      </w:r>
    </w:p>
    <w:p>
      <w:pPr>
        <w:spacing w:after="0" w:line="11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70"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114" w:lineRule="exact"/>
        <w:rPr>
          <w:rFonts w:ascii="Times New Roman" w:cs="Times New Roman" w:eastAsia="Times New Roman" w:hAnsi="Times New Roman"/>
          <w:sz w:val="18"/>
          <w:szCs w:val="18"/>
          <w:color w:val="auto"/>
        </w:rPr>
      </w:pPr>
    </w:p>
    <w:p>
      <w:pPr>
        <w:jc w:val="both"/>
        <w:ind w:left="1020" w:right="40" w:hanging="504"/>
        <w:spacing w:after="0" w:line="263"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0" w:lineRule="exact"/>
        <w:rPr>
          <w:rFonts w:ascii="Times New Roman" w:cs="Times New Roman" w:eastAsia="Times New Roman" w:hAnsi="Times New Roman"/>
          <w:sz w:val="18"/>
          <w:szCs w:val="18"/>
          <w:color w:val="auto"/>
        </w:rPr>
      </w:pPr>
    </w:p>
    <w:p>
      <w:pPr>
        <w:ind w:left="1020" w:right="600" w:hanging="504"/>
        <w:spacing w:after="0" w:line="27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Unobservable inputs that are supported by little or no market activity and that are significant to the fair value of the assets or liabilities.</w:t>
      </w:r>
    </w:p>
    <w:p>
      <w:pPr>
        <w:spacing w:after="0" w:line="2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Treasury securities that are included in cash equivalents or short-term investments.</w:t>
      </w:r>
    </w:p>
    <w:p>
      <w:pPr>
        <w:spacing w:after="0" w:line="209"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investments subject to fair value measurements on a recurring basis and the level of inputs used in such measurements: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1"/>
                <w:szCs w:val="11"/>
                <w:color w:val="auto"/>
              </w:rPr>
            </w:pPr>
          </w:p>
        </w:tc>
        <w:tc>
          <w:tcPr>
            <w:tcW w:w="1480" w:type="dxa"/>
            <w:vAlign w:val="bottom"/>
            <w:gridSpan w:val="3"/>
          </w:tcPr>
          <w:p>
            <w:pPr>
              <w:jc w:val="center"/>
              <w:ind w:right="460"/>
              <w:spacing w:after="0" w:line="130"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8"/>
        </w:trPr>
        <w:tc>
          <w:tcPr>
            <w:tcW w:w="49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left w:val="single" w:sz="8" w:color="CFF0FC"/>
            </w:tcBorders>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20"/>
                <w:szCs w:val="20"/>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Level I</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cash (money market funds)</w:t>
            </w:r>
          </w:p>
        </w:tc>
        <w:tc>
          <w:tcPr>
            <w:tcW w:w="140" w:type="dxa"/>
            <w:vAlign w:val="bottom"/>
            <w:shd w:val="clear" w:color="auto" w:fill="CFF0FC"/>
          </w:tcPr>
          <w:p>
            <w:pPr>
              <w:spacing w:after="0"/>
              <w:rPr>
                <w:sz w:val="21"/>
                <w:szCs w:val="21"/>
                <w:color w:val="auto"/>
              </w:rPr>
            </w:pPr>
          </w:p>
        </w:tc>
        <w:tc>
          <w:tcPr>
            <w:tcW w:w="1380" w:type="dxa"/>
            <w:vAlign w:val="bottom"/>
            <w:gridSpan w:val="3"/>
            <w:shd w:val="clear" w:color="auto" w:fill="CFF0FC"/>
          </w:tcPr>
          <w:p>
            <w:pPr>
              <w:jc w:val="center"/>
              <w:ind w:right="300"/>
              <w:spacing w:after="0"/>
              <w:rPr>
                <w:sz w:val="20"/>
                <w:szCs w:val="20"/>
                <w:color w:val="auto"/>
              </w:rPr>
            </w:pPr>
            <w:r>
              <w:rPr>
                <w:rFonts w:ascii="Times New Roman" w:cs="Times New Roman" w:eastAsia="Times New Roman" w:hAnsi="Times New Roman"/>
                <w:sz w:val="18"/>
                <w:szCs w:val="18"/>
                <w:color w:val="auto"/>
              </w:rPr>
              <w:t>Level I</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tcBorders>
              <w:left w:val="single" w:sz="8" w:color="CFF0FC"/>
            </w:tcBorders>
            <w:shd w:val="clear" w:color="auto" w:fill="CFF0FC"/>
          </w:tcPr>
          <w:p>
            <w:pPr>
              <w:spacing w:after="0"/>
              <w:rPr>
                <w:sz w:val="21"/>
                <w:szCs w:val="21"/>
                <w:color w:val="auto"/>
              </w:rPr>
            </w:pPr>
          </w:p>
        </w:tc>
        <w:tc>
          <w:tcPr>
            <w:tcW w:w="1480" w:type="dxa"/>
            <w:vAlign w:val="bottom"/>
            <w:tcBorders>
              <w:right w:val="single" w:sz="8" w:color="CFF0FC"/>
            </w:tcBorders>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spacing w:after="0"/>
              <w:rPr>
                <w:sz w:val="20"/>
                <w:szCs w:val="20"/>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Level II</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154,095</w:t>
            </w:r>
          </w:p>
        </w:tc>
        <w:tc>
          <w:tcPr>
            <w:tcW w:w="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154,085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49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FF0FC"/>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Borders>
              <w:top w:val="single" w:sz="8" w:color="CFF0FC"/>
              <w:bottom w:val="single" w:sz="8" w:color="auto"/>
            </w:tcBorders>
            <w:gridSpan w:val="2"/>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1"/>
                <w:szCs w:val="11"/>
                <w:color w:val="auto"/>
              </w:rPr>
            </w:pPr>
          </w:p>
        </w:tc>
        <w:tc>
          <w:tcPr>
            <w:tcW w:w="1480" w:type="dxa"/>
            <w:vAlign w:val="bottom"/>
            <w:gridSpan w:val="3"/>
          </w:tcPr>
          <w:p>
            <w:pPr>
              <w:jc w:val="center"/>
              <w:ind w:right="380"/>
              <w:spacing w:after="0" w:line="130"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8"/>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left w:val="single" w:sz="8" w:color="CFF0FC"/>
            </w:tcBorders>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20"/>
                <w:szCs w:val="20"/>
                <w:color w:val="auto"/>
              </w:rPr>
            </w:pP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Level I</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17,109</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cash (money market funds)</w:t>
            </w:r>
          </w:p>
        </w:tc>
        <w:tc>
          <w:tcPr>
            <w:tcW w:w="140" w:type="dxa"/>
            <w:vAlign w:val="bottom"/>
            <w:shd w:val="clear" w:color="auto" w:fill="CFF0FC"/>
          </w:tcPr>
          <w:p>
            <w:pPr>
              <w:spacing w:after="0"/>
              <w:rPr>
                <w:sz w:val="21"/>
                <w:szCs w:val="21"/>
                <w:color w:val="auto"/>
              </w:rPr>
            </w:pPr>
          </w:p>
        </w:tc>
        <w:tc>
          <w:tcPr>
            <w:tcW w:w="1380" w:type="dxa"/>
            <w:vAlign w:val="bottom"/>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rPr>
              <w:t>Level I</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917</w:t>
            </w:r>
          </w:p>
        </w:tc>
        <w:tc>
          <w:tcPr>
            <w:tcW w:w="200" w:type="dxa"/>
            <w:vAlign w:val="bottom"/>
            <w:shd w:val="clear" w:color="auto" w:fill="CFF0FC"/>
          </w:tcPr>
          <w:p>
            <w:pPr>
              <w:spacing w:after="0"/>
              <w:rPr>
                <w:sz w:val="21"/>
                <w:szCs w:val="21"/>
                <w:color w:val="auto"/>
              </w:rPr>
            </w:pPr>
          </w:p>
        </w:tc>
        <w:tc>
          <w:tcPr>
            <w:tcW w:w="180" w:type="dxa"/>
            <w:vAlign w:val="bottom"/>
            <w:tcBorders>
              <w:left w:val="single" w:sz="8" w:color="CFF0FC"/>
            </w:tcBorders>
            <w:shd w:val="clear" w:color="auto" w:fill="CFF0FC"/>
          </w:tcPr>
          <w:p>
            <w:pPr>
              <w:spacing w:after="0"/>
              <w:rPr>
                <w:sz w:val="21"/>
                <w:szCs w:val="21"/>
                <w:color w:val="auto"/>
              </w:rPr>
            </w:pPr>
          </w:p>
        </w:tc>
        <w:tc>
          <w:tcPr>
            <w:tcW w:w="14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spacing w:after="0"/>
              <w:rPr>
                <w:sz w:val="20"/>
                <w:szCs w:val="20"/>
                <w:color w:val="auto"/>
              </w:rPr>
            </w:pP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7"/>
              </w:rPr>
              <w:t>Level II</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157,243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175,269</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left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Borders>
              <w:bottom w:val="single" w:sz="8" w:color="CFF0FC"/>
              <w:right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175,364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4984115</wp:posOffset>
            </wp:positionH>
            <wp:positionV relativeFrom="paragraph">
              <wp:posOffset>-1548765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-1531620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-1548765</wp:posOffset>
            </wp:positionV>
            <wp:extent cx="679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-1531620</wp:posOffset>
            </wp:positionV>
            <wp:extent cx="679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-1548765</wp:posOffset>
            </wp:positionV>
            <wp:extent cx="679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-1531620</wp:posOffset>
            </wp:positionV>
            <wp:extent cx="679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5026660</wp:posOffset>
            </wp:positionH>
            <wp:positionV relativeFrom="paragraph">
              <wp:posOffset>-24765</wp:posOffset>
            </wp:positionV>
            <wp:extent cx="679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5026660</wp:posOffset>
            </wp:positionH>
            <wp:positionV relativeFrom="paragraph">
              <wp:posOffset>-7620</wp:posOffset>
            </wp:positionV>
            <wp:extent cx="679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79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79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remaining contractual terms of those investments are less than a year.</w:t>
      </w:r>
    </w:p>
    <w:p>
      <w:pPr>
        <w:spacing w:after="0" w:line="2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8"/>
        </w:trPr>
        <w:tc>
          <w:tcPr>
            <w:tcW w:w="7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8"/>
        </w:trPr>
        <w:tc>
          <w:tcPr>
            <w:tcW w:w="7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clinical expenses</w:t>
            </w:r>
          </w:p>
        </w:tc>
        <w:tc>
          <w:tcPr>
            <w:tcW w:w="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7,701</w:t>
            </w:r>
          </w:p>
        </w:tc>
        <w:tc>
          <w:tcPr>
            <w:tcW w:w="600" w:type="dxa"/>
            <w:vAlign w:val="bottom"/>
            <w:gridSpan w:val="2"/>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r>
      <w:tr>
        <w:trPr>
          <w:trHeight w:val="2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600" w:type="dxa"/>
            <w:vAlign w:val="bottom"/>
            <w:gridSpan w:val="2"/>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100" w:type="dxa"/>
            <w:vAlign w:val="bottom"/>
            <w:shd w:val="clear" w:color="auto" w:fill="CFF0FC"/>
          </w:tcPr>
          <w:p>
            <w:pPr>
              <w:spacing w:after="0"/>
              <w:rPr>
                <w:sz w:val="23"/>
                <w:szCs w:val="23"/>
                <w:color w:val="auto"/>
              </w:rPr>
            </w:pPr>
          </w:p>
        </w:tc>
      </w:tr>
      <w:tr>
        <w:trPr>
          <w:trHeight w:val="735"/>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6. Collaboration and License Agreements</w:t>
            </w:r>
          </w:p>
        </w:tc>
        <w:tc>
          <w:tcPr>
            <w:tcW w:w="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2"/>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revenue by collaboration partner:</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0"/>
        </w:trPr>
        <w:tc>
          <w:tcPr>
            <w:tcW w:w="7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6"/>
        </w:trPr>
        <w:tc>
          <w:tcPr>
            <w:tcW w:w="77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77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8"/>
        </w:trPr>
        <w:tc>
          <w:tcPr>
            <w:tcW w:w="7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AbbVie</w:t>
            </w:r>
          </w:p>
        </w:tc>
        <w:tc>
          <w:tcPr>
            <w:tcW w:w="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Amgen</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Astellas</w:t>
            </w: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Bristol Myers Squibb</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Regeneron</w:t>
            </w: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Moderna</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0"/>
                <w:szCs w:val="20"/>
                <w:color w:val="auto"/>
              </w:rPr>
            </w:pPr>
          </w:p>
        </w:tc>
      </w:tr>
      <w:tr>
        <w:trPr>
          <w:trHeight w:val="27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41,463</w:t>
            </w:r>
          </w:p>
        </w:tc>
        <w:tc>
          <w:tcPr>
            <w:tcW w:w="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-2391410</wp:posOffset>
            </wp:positionV>
            <wp:extent cx="679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-2374265</wp:posOffset>
            </wp:positionV>
            <wp:extent cx="679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-2391410</wp:posOffset>
            </wp:positionV>
            <wp:extent cx="679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-2374265</wp:posOffset>
            </wp:positionV>
            <wp:extent cx="679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-24765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AbbVie Ireland Unlimited Company</w:t>
      </w:r>
    </w:p>
    <w:p>
      <w:pPr>
        <w:spacing w:after="0" w:line="15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were co-developing a conditionally activated antibody-drug conjugate (“ADC”), CX-2029, against CD71, with the Company being responsible for preclinical and early clinical development. AbbVie was to be responsible for later development and commercialization, with global late-stage development costs shared between the two companies. Under the CD71 Agreement, the Company has received in aggregate $100.0 million in upfront and milestone payments. AbbVie had entered into a license agreement with Seattle Genetics, Inc. (“SGEN”) to license certain intellectual property rights pursuant to which the Company was required to pay SGEN sublicense fees for certain milestone achievements and an annual maintenance fee. These sublicense fees were treated as reductions to the transaction price and combined with the performance obligation to which they relate.</w:t>
      </w:r>
    </w:p>
    <w:p>
      <w:pPr>
        <w:spacing w:after="0" w:line="8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 March 2023, the Company announced that it would evaluate the potential next steps for CX-2029 following the decision from AbbVie, to not advance CX-2029 into additional clinical studies. As a result of AbbVie’s decision, the 2016 CD71 License and Collaboration Agreement was terminated in May 2023 and the Company re-acquired full rights to CX-2029. The Company has completed the performance obligation under the CD71 Agreement as of March 31, 2023, and recognized the related remaining deferred revenue of $4.0 million in the first quarter of 2023.</w:t>
      </w:r>
    </w:p>
    <w:p>
      <w:pPr>
        <w:spacing w:after="0" w:line="18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color w:val="auto"/>
        </w:rPr>
        <w:t>In December 2022, the research on the two discovery targets under the Discovery Agreement concluded with no plans to advance the discovery targets into clinical studies or to pursue new programs. The Discovery Agreement was also terminated and all target rights have reverted back to CytomX.</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August 2023, the Company entered into a Transition Agreement (the “Transition Agreement”) with AbbVie Global Enterprises Ltd. ("AbbVie Global", an affiliate entity of AbbVie), pursuant to which the Company regained exclusive worldwide rights to develop CX-2029, a CD71-targeting conditionally activated antibody drug conjugate. The Transition Agreement supersedes the CD71 Agreement that was terminated in May 2023, and grants certain intellectual property rights from AbbVie Global to enable the continued development of CX-2029 by the Company for all human and nonhuman diagnostic, prophylactic, and therapeutic uses. Pursuant to the Transition Agreement, AbbVie</w:t>
      </w:r>
    </w:p>
    <w:p>
      <w:pPr>
        <w:sectPr>
          <w:pgSz w:w="11900" w:h="16838" w:orient="portrait"/>
          <w:cols w:equalWidth="0" w:num="1">
            <w:col w:w="11240"/>
          </w:cols>
          <w:pgMar w:left="320" w:top="76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4" w:name="page15"/>
    <w:bookmarkEnd w:id="1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3"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color w:val="auto"/>
        </w:rPr>
        <w:t>Global is eligible to receive tiered sales royalties for CX-2029 ranging from the low-to-mid single digit percentages. In the fourth quarter of 2023, the Company decided to not to make any further substantial investments in the CX-2029 program in the near-term but continues to view CD71 as a target of strategic interest, including novel next-generation strategies.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Amgen, Inc.</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September 29, 2017, the Company and Amgen, Inc. (“Amgen”) entered into a Collaboration and License Agreement (the “Amgen Agreement”). Pursuant to the Amgen Agreement, the Company received an upfront payment of $40.0 million in October 2017. Concurrent with the Amgen Agreement, the Company and Amgen entered into a Share Purchase Agreement pursuant to which Amgen purchased 1,156,069 shares of the Company’s common stock at a price of $17.30 per share for total proceeds of $20.0 million.</w:t>
      </w:r>
    </w:p>
    <w:p>
      <w:pPr>
        <w:spacing w:after="0" w:line="18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 In each of May 2023 and March 2024, CytomX and Amgen executed an amendment to the Amgen Agreement to extend the target selection period for Amgen to select its additional targets for research and development as further discussed below.</w:t>
      </w:r>
    </w:p>
    <w:p>
      <w:pPr>
        <w:spacing w:after="0" w:line="20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Under the terms of the Amgen Agreement, as amended, the Company and Amgen will co-develop a conditionally activated T-cell engagers (“TCEs”) targeting epidermal growth factor receptor (the “EGFR Products”). The Company is responsible for early-stage development of EGFR Products and Amgen will be responsible for late-stage development and commercialization of EGFR Products. Following early-stage development, the Company will have the right to elect to participate financially in the global co-development of EGFR Products with Amgen, during which the Company would bear a certain percentage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also eligible to receive up to $460.0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 In January 2022, the IND for the EGFR product (CX-904) was allowed to proceed by the U.S. Food and Drug Administration (“FDA”).</w:t>
      </w:r>
    </w:p>
    <w:p>
      <w:pPr>
        <w:spacing w:after="0" w:line="21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Amgen also has the right to select a total of up to three targets, including the two additional targets discussed below. The Company and Amgen collaborate in the research and development of conditionally activated T-cell engaging bispecifics therapies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and subsequent amendments, Amgen’s option to select the two additional targets is not a material right and does not represent a performance obligation of the agreement.</w:t>
      </w:r>
    </w:p>
    <w:p>
      <w:pPr>
        <w:spacing w:after="0" w:line="21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At the initiation of the collaboration, CytomX had the option to select from programs specified in the Amgen Agreement, an existing preclinical stage TCE product from the Amgen preclinical pipeline. In March 2018, CytomX selected the program and this program is currently in preclinical development. CytomX is responsible, at its expense, for converting this program to a conditionally activated TCE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198"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17"/>
          <w:szCs w:val="17"/>
          <w:color w:val="auto"/>
        </w:rPr>
        <w:t>As of March 31, 2024 and December 31, 2023, deferred revenue related to the EGFR Products performance obligation was $11.5 million and $12.8 million, respectively. Deferred revenue related to the Amgen Other Products performance obligation was immaterial as of March 31, 2024 and December 31, 2023.</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 Pharma Inc.</w:t>
      </w:r>
    </w:p>
    <w:p>
      <w:pPr>
        <w:spacing w:after="0" w:line="119"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17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Under the terms of the Astellas Agreement, the Company granted Astellas an exclusive, worldwide right to develop and commercialize PROBODY therapeutics for up to four collaboration targets including one initial target and three additional targets (“Additional Targets”). In addition, Astellas had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participation is at the Company’s discretion.</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Astellas Agreement, the consideration from Astellas is comprised of an upfront fee of $80.0 million and contingent payments for development, regulatory and sales milestones of up to an aggregate of approximately $1.6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full-time employee ("FTE") rate.</w:t>
      </w:r>
    </w:p>
    <w:p>
      <w:pPr>
        <w:spacing w:after="0" w:line="21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January 2023, the Company announced that it achieved a clinical candidate milestone under the Astellas Agreement which triggered a $5.0 million milestone payment to the Company. The $5.0 million milestone payment was fully recognized in the first quarter of 2023 as the Company had completed its related performance obligation of the collaboration target which resulted in the clinical candidate nomination for further development. In March 2024, the Company announced that it achieved the good laboratory practices ("GLPs") toxicology milestone for this candidate which triggered a $5.0 million milestone payment to the Company. The $5.0 million milestone payment was fully recognized in the first quarter of 2024 as the Company had completed its related performance obligation of the collaboration target. Also, in March 2024, the Company announced that it achieved a clinical candidate milestone for a second collaboration target under the Astellas Agreement which triggered an additional $5.0 million milestone payment to the Company. The $5.0 million milestone payment was fully recognized in the first quarter of 2024 as the Company had completed its related performance obligation of the collaboration target which resulted in the clinical candidate nomination for further development.</w:t>
      </w:r>
    </w:p>
    <w:p>
      <w:pPr>
        <w:spacing w:after="0" w:line="18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As of March 31, 2024 and December 31, 2023, deferred revenue relating to the Astellas Agreement was $27.6 million and $31.0 million, respectively. The amount due from Astellas under the Astellas Agreement was $12.1 million as of March 31, 2024 which included the $10.0 million of milestone payments earned in March 2024, and $2.2 million as of December 31, 2023.</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Bristol Myers Squibb Company</w:t>
      </w:r>
    </w:p>
    <w:p>
      <w:pPr>
        <w:spacing w:after="0" w:line="119"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8"/>
          <w:szCs w:val="18"/>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2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the BMS Agreement, the financial consideration from Bristol Myers Squibb was comprised of an upfront payment of $50.0 million and estimated research and development service fees, and the Company was initially entitled to receive contingent payments of up to $25.0 million for additional targets and contingent payments for development, regulatory and sales milestones. In addition, the Company was entitled to royalty payments in the mid-single digits to low double-digit percentages from potential future sales.</w:t>
      </w:r>
    </w:p>
    <w:p>
      <w:pPr>
        <w:spacing w:after="0" w:line="20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8"/>
          <w:szCs w:val="18"/>
          <w:color w:val="auto"/>
        </w:rPr>
        <w:t>On March 17, 2017, the Company and Bristol Myers Squibb amended the BMS agreement and entered into Amendment Number 1 to Extend Collaboration and License Agreement (“Amendment 1”). Amendment 1 granted Bristol Myers Squibb exclusive worldwide rights to develop</w:t>
      </w:r>
    </w:p>
    <w:p>
      <w:pPr>
        <w:sectPr>
          <w:pgSz w:w="11900" w:h="16838" w:orient="portrait"/>
          <w:cols w:equalWidth="0" w:num="1">
            <w:col w:w="11240"/>
          </w:cols>
          <w:pgMar w:left="320" w:top="76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20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Amendment 1, the financial consideration from Bristol Myers Squibb was comprised of an upfront payment of $200.0 million, estimated research and development service fees, and contingent payments for development, regulatory and sales milestones for the eight targets. The Company was also entitled to tiered mid-single to low double-digit percentage royalties from potential future sales. Amendment 1 did not change the term of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21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initial transaction price for the BMS Agreement and Amendment 1, collectively, was $304.7 million consisting of the upfront fees of $250.0 million, target selection fees for the third and fourth targets of $25.0 million, estimated research and development service fees of $17.7 million and milestone payments received up to January 1, 2018,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initial transaction price for the combined obligation for each collaboration target is recognized using an input measure.</w:t>
      </w:r>
    </w:p>
    <w:p>
      <w:pPr>
        <w:spacing w:after="0" w:line="2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February 2021, the Company and Bristol Myers Squibb amended the BMS agreement and entered into Amendment Number 2 to amend the Collaboration and License Agreement (“Amendment 2”), as previously amended by Amendment 1. Subsequent to Amendment 2, in addition to Bristol Myers Squibb’s ongoing development of the CTLA-4 program, Bristol Myers Squibb also had the exclusive worldwide rights to develop and commercialize PROBODY therapeutics for up to five oncology targets. Under the terms of Amendment 2, the period for target selection was extended and in 2022, all remaining targets were selected. The Company will continue to collaborate with Bristol Myers Squibb to discover and conduct preclinical development of PROBODY therapeutics against targets selected by Bristol Myers Squibb over the estimated research period, which is projected to end in April 2025. Pursuant to Amendment 2, the Company was eligible to receive contingent payments for development, regulatory and sales milestones. It is also entitled to tiered mid-single to low double-digit percentage of royalties from potential future sales. The Company accounted for Amendment 2 as a modification and reallocated the remaining unrecognized transaction price to the remaining performance obligations.</w:t>
      </w:r>
    </w:p>
    <w:p>
      <w:pPr>
        <w:spacing w:after="0" w:line="216" w:lineRule="exact"/>
        <w:rPr>
          <w:sz w:val="20"/>
          <w:szCs w:val="20"/>
          <w:color w:val="auto"/>
        </w:rPr>
      </w:pPr>
    </w:p>
    <w:p>
      <w:pPr>
        <w:ind w:right="440"/>
        <w:spacing w:after="0" w:line="263" w:lineRule="auto"/>
        <w:rPr>
          <w:sz w:val="20"/>
          <w:szCs w:val="20"/>
          <w:color w:val="auto"/>
        </w:rPr>
      </w:pPr>
      <w:r>
        <w:rPr>
          <w:rFonts w:ascii="Times New Roman" w:cs="Times New Roman" w:eastAsia="Times New Roman" w:hAnsi="Times New Roman"/>
          <w:sz w:val="18"/>
          <w:szCs w:val="18"/>
          <w:color w:val="auto"/>
        </w:rPr>
        <w:t>In October 2022, the Company and Bristol Myers Squibb amended the BMS Agreement and entered into Amendment Number 3 (“Amendment 3”), as previously amended by Amendment 1 and Amendment 2, to clarify the rights and restrictions of certain new proprietary antibodies that the parties exchanged. There were no substantive changes to each party's performance obligations.</w:t>
      </w:r>
    </w:p>
    <w:p>
      <w:pPr>
        <w:spacing w:after="0" w:line="2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March 2024, following a Bristol Myers Squibb corporate portfolio prioritization process, Bristol Myers Squibb notified CytomX that it does not intend to continue the development of BMS-986288 beyond the current Phase 2 study and terminated its collaboration license on the CTLA-4 target under the collaboration. As of March 31, 2024, the Company is eligible to receive approximately $1.8 billion in contingent payments for development, regulatory and sales milestones for the ongoing collaboration programs.</w:t>
      </w:r>
    </w:p>
    <w:p>
      <w:pPr>
        <w:spacing w:after="0" w:line="182"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8"/>
          <w:szCs w:val="18"/>
          <w:color w:val="auto"/>
        </w:rPr>
        <w:t>The Company reevaluated the remaining potential milestone payments and determined that significant revenue reversal was probable as the achievement of such milestones was highly dependent on factors outside the Company’s control. As a result, these payments continued to be fully constrained and were not included in the transaction price as of March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deferred revenue relating to the BMS Agreement was $100.3 million and $119.9 million, respectively.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ModernaTX, Inc.</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and ModernaTX, Inc. (“Moderna”) entered into a Collaboration and License Agreement (the “Moderna Agreement”) on December 30, 2022, the effective date, to collaborate on discovery and preclinical research and development activities to create investigational messenger RNA (mRNA) based conditionally activated therapies using the Company’s PROBODY therapeutic technology. Moderna is solely responsible for the development (preclinical and clinical), manufacturing, and commercialization of any products under the Moderna Agreement.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Under the terms of the Moderna Agreement, the Company granted Moderna an exclusive, worldwide right to develop and commercialize PROBODY therapeutics for the collaboration programs. In exchange, the Company received an upfront payment of $35.0 million in January 2023, including $5.0 million of prepaid research and development service fees. The Company will continue to receive research and development service fees according to the preclinical research work plans based on a prescribed FTE rate and is eligible to receive up to approximately $1.2 billion in future development, regulatory, and commercial milestone payments. The Company is also eligible to receive tiered royalties from high-single digit to low-teen percentage rates of annual global net sales of any products that are commercialized under the Moderna Agreement. The Moderna Agreement also provided Moderna with an option to participate in an equity financing by CytomX at market price, subject to certain terms, conditions and regulatory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deferred revenue relating to the Moderna Agreement was $21.5 million and $24.2 million, respectively.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Regeneron Pharmaceuticals, Inc.</w:t>
      </w:r>
    </w:p>
    <w:p>
      <w:pPr>
        <w:spacing w:after="0" w:line="11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and Regeneron Pharmaceuticals Inc. (“Regeneron”) entered into a Collaboration and License Agreement (the “Regeneron Agreement”) on November 16, 2022, to collaborate on creation of conditionally-activated investigational bispecific cancer therapies utilizing the Company’s PROBODY® therapeutic platform and Regeneron’s Veloci-Bi® bispecific antibody development platform. The Company and Regeneron will collaborate on preclinical research and discovery activities for initially agreed upon collaboration programs (“Collaboration Program”) with an option to expand additional Collaboration Programs (“Additional Collaboration Program Option”).</w:t>
      </w:r>
    </w:p>
    <w:p>
      <w:pPr>
        <w:spacing w:after="0" w:line="210"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7"/>
          <w:szCs w:val="17"/>
          <w:color w:val="auto"/>
        </w:rPr>
        <w:t>Under the Collaboration and License Agreement, the Company granted Regeneron an exclusive, worldwide, royalty-bearing license under certain Company intellectual property to develop, manufacture, commercialize and otherwise exploit licensed products (“Licensed Products”) for all human and non-human diagnostic, prophylactic and therapeutic uses in oncology. Regeneron is responsible for funding the cost of preclinical research and discovery activities of both parties for all Licensed Products and for funding the cost of development, manufacturing and commercialization of all Licensed Products worldwide.</w:t>
      </w:r>
    </w:p>
    <w:p>
      <w:pPr>
        <w:spacing w:after="0" w:line="19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Pursuant to the Regeneron Agreement, the consideration from Regeneron is comprised of an upfront fee of $30.0 million, contingent payments for development and regulatory milestones and commercial milestone payments of up to an aggregate of approximately $0.8 billion. If Regeneron exercises its Additional Collaboration Program Option, the Company would be eligible to receive additional upfront and milestone payments aggregating up to approximately $1.2 billion. The Company is also entitled to tiered royalties from high-single digit to low-teen percentage royalties from potential future sales. In addition, the Company will receive research and development service fees based on a prescribed FTE rate.</w:t>
      </w:r>
    </w:p>
    <w:p>
      <w:pPr>
        <w:spacing w:after="0" w:line="210"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8"/>
          <w:szCs w:val="18"/>
          <w:color w:val="auto"/>
        </w:rPr>
        <w:t>As of March 31, 2024 and December 31, 2023, deferred revenue relating to the Regeneron Agreement was $22.5 million and $24.4 million, respectively. The amount due from Regeneron under the Regeneron Agreement was $1.0 million and $1.1 million as of March 31, 2024 and December 31, 2023, respectively.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Company’s total contract liabilities during the three months ended March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Deferred Revenue</w:t>
            </w:r>
          </w:p>
        </w:tc>
      </w:tr>
      <w:tr>
        <w:trPr>
          <w:trHeight w:val="187"/>
        </w:trPr>
        <w:tc>
          <w:tcPr>
            <w:tcW w:w="9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5"/>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212,315</w:t>
            </w:r>
          </w:p>
        </w:tc>
        <w:tc>
          <w:tcPr>
            <w:tcW w:w="100" w:type="dxa"/>
            <w:vAlign w:val="bottom"/>
            <w:shd w:val="clear" w:color="auto" w:fill="CFF0FC"/>
          </w:tcPr>
          <w:p>
            <w:pPr>
              <w:spacing w:after="0"/>
              <w:rPr>
                <w:sz w:val="20"/>
                <w:szCs w:val="20"/>
                <w:color w:val="auto"/>
              </w:rPr>
            </w:pPr>
          </w:p>
        </w:tc>
      </w:tr>
      <w:tr>
        <w:trPr>
          <w:trHeight w:val="237"/>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20"/>
                <w:szCs w:val="20"/>
                <w:color w:val="auto"/>
              </w:rPr>
            </w:pPr>
          </w:p>
        </w:tc>
      </w:tr>
      <w:tr>
        <w:trPr>
          <w:trHeight w:val="241"/>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 recognized</w:t>
            </w:r>
          </w:p>
        </w:tc>
        <w:tc>
          <w:tcPr>
            <w:tcW w:w="20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(31,210 )</w:t>
            </w:r>
          </w:p>
        </w:tc>
      </w:tr>
      <w:tr>
        <w:trPr>
          <w:trHeight w:val="239"/>
        </w:trPr>
        <w:tc>
          <w:tcPr>
            <w:tcW w:w="9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183,371</w:t>
            </w:r>
          </w:p>
        </w:tc>
        <w:tc>
          <w:tcPr>
            <w:tcW w:w="100" w:type="dxa"/>
            <w:vAlign w:val="bottom"/>
            <w:tcBorders>
              <w:top w:val="single" w:sz="8" w:color="CFF0FC"/>
            </w:tcBorders>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301,326</w:t>
            </w:r>
          </w:p>
        </w:tc>
        <w:tc>
          <w:tcPr>
            <w:tcW w:w="100" w:type="dxa"/>
            <w:vAlign w:val="bottom"/>
          </w:tcPr>
          <w:p>
            <w:pPr>
              <w:spacing w:after="0"/>
              <w:rPr>
                <w:sz w:val="20"/>
                <w:szCs w:val="20"/>
                <w:color w:val="auto"/>
              </w:rPr>
            </w:pPr>
          </w:p>
        </w:tc>
      </w:tr>
      <w:tr>
        <w:trPr>
          <w:trHeight w:val="245"/>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FF0FC"/>
          </w:tcPr>
          <w:p>
            <w:pPr>
              <w:spacing w:after="0"/>
              <w:rPr>
                <w:sz w:val="21"/>
                <w:szCs w:val="21"/>
                <w:color w:val="auto"/>
              </w:rPr>
            </w:pPr>
          </w:p>
        </w:tc>
      </w:tr>
      <w:tr>
        <w:trPr>
          <w:trHeight w:val="237"/>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recognized</w:t>
            </w:r>
          </w:p>
        </w:tc>
        <w:tc>
          <w:tcPr>
            <w:tcW w:w="20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(18,278 )</w:t>
            </w:r>
          </w:p>
        </w:tc>
      </w:tr>
      <w:tr>
        <w:trPr>
          <w:trHeight w:val="27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283,917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7070090</wp:posOffset>
            </wp:positionH>
            <wp:positionV relativeFrom="paragraph">
              <wp:posOffset>-986790</wp:posOffset>
            </wp:positionV>
            <wp:extent cx="679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The Company expects that the $183.4 million of deferred revenue related to the following contracts as of March 31, 2024 will be recognized as revenue based on actual FTE effort and estimated program progress as set forth below. However, the timing of revenue recognition could differ from the estimates depending on facts and circumstances impacting the various contracts, including progress of research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resources assigned to the contracts by the Company or its collaboration partners or other factors outside of the Company’s control.</w:t>
      </w:r>
    </w:p>
    <w:p>
      <w:pPr>
        <w:spacing w:after="0" w:line="115" w:lineRule="exact"/>
        <w:rPr>
          <w:sz w:val="20"/>
          <w:szCs w:val="20"/>
          <w:color w:val="auto"/>
        </w:rPr>
      </w:pPr>
    </w:p>
    <w:p>
      <w:pPr>
        <w:ind w:left="1020" w:hanging="504"/>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$11.5 million of deferred revenue related to the Amgen EGFR Products is expected to be recognized until 2026.</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$27.6 million of deferred revenue related to the Astellas Agreement is expected to be recognized until 2026.</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$100.3 million of deferred revenue related to the BMS Agreement is expected to be recognized through the second quarter of 2025.</w:t>
      </w:r>
    </w:p>
    <w:p>
      <w:pPr>
        <w:spacing w:after="0" w:line="114" w:lineRule="exact"/>
        <w:rPr>
          <w:rFonts w:ascii="Times New Roman" w:cs="Times New Roman" w:eastAsia="Times New Roman" w:hAnsi="Times New Roman"/>
          <w:sz w:val="18"/>
          <w:szCs w:val="18"/>
          <w:color w:val="auto"/>
        </w:rPr>
      </w:pPr>
    </w:p>
    <w:p>
      <w:pPr>
        <w:ind w:left="1020" w:right="60" w:hanging="504"/>
        <w:spacing w:after="0" w:line="279"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$21.5 million of deferred revenue related to the Moderna Agreement, together with research and development service fees, is expected to be recognized until 2027.</w:t>
      </w:r>
    </w:p>
    <w:p>
      <w:pPr>
        <w:spacing w:after="0" w:line="54" w:lineRule="exact"/>
        <w:rPr>
          <w:rFonts w:ascii="Times New Roman" w:cs="Times New Roman" w:eastAsia="Times New Roman" w:hAnsi="Times New Roman"/>
          <w:sz w:val="18"/>
          <w:szCs w:val="18"/>
          <w:color w:val="auto"/>
        </w:rPr>
      </w:pPr>
    </w:p>
    <w:p>
      <w:pPr>
        <w:ind w:left="1020" w:right="120" w:hanging="504"/>
        <w:spacing w:after="0" w:line="279"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$22.5 million of deferred revenue related to the Regeneron Agreement, together with research and development service fees, is expected to be recognized until 2026.</w:t>
      </w:r>
    </w:p>
    <w:p>
      <w:pPr>
        <w:spacing w:after="0" w:line="265"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UCSB Agreement</w:t>
      </w:r>
    </w:p>
    <w:p>
      <w:pPr>
        <w:spacing w:after="0" w:line="224"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In August 2010, the Company entered into an exclusive, worldwide license agreement with University of California, Santa Barbara (“UCSB”), relating to the use of certain patents and technology relating to its core technology, including its therapeutic antibodies, and to certain patent rights the Company co-owns with UCSB covering PROBODY antibodies and other pro-proteins (the “UCSB Agreement”). 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As part of the UCSB Agreement, the Company has annual minimum royalty obligations of $0.2 million under the terms of certain exclusive licensed patent rights. In April 2019, the Company entered into Amendment No.3 to the UCSB Agreement to adjust and clarify certain sublicense terms (“Amendment No.3”). Under the terms of Amendment No.3, the Company and UCSB agreed to modify the determination of sublicense revenues payable by the Company to UCSB on certain existing collaboration agreements and on collaboration agreements executed subsequent to Amendment No.3. In exchange, the Company agreed to make an upfront payment of $1.0 million as well as additional annual license maintenance fees of $0.8 million through 2031.</w:t>
      </w:r>
    </w:p>
    <w:p>
      <w:pPr>
        <w:spacing w:after="0" w:line="193"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In March 2024, the Company incurred $0.6 million of sublicense fees triggered by achieving the GLP toxicology studies milestone for the first clinical candidate which was nominated by Astellas in 2023, as well as by achieving the clinical candidate nomination milestone for a second collaboration target under the Astellas Agreement.</w:t>
      </w:r>
    </w:p>
    <w:p>
      <w:pPr>
        <w:spacing w:after="0" w:line="177"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incurred sublicense expenses of $1.6 million and $1.1 million, respectively, under the provisions of the UCSB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ImmunoGen (acquired by AbbVie in 2024)</w:t>
      </w:r>
    </w:p>
    <w:p>
      <w:pPr>
        <w:spacing w:after="0" w:line="2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2019, the Company entered into a License Agreement (the “ImmunoGen 2019 License”) with ImmunoGen, Inc. to obtain an exclusive license with respect to epithelial cell adhesion molecule (“EPCAM”). Under the ImmunoGen 2019 License, ImmunoGen agreed to transfer its know-how, patents, intellectual property rights, and technology transfer materials and information related to its EpCAM program. The license gives the Company the sole ability to develop, manufacture, use and commercialize any licensed product that incorporates, is comprised of, or otherwise derived from PROBODY technology that targets EpCAM in any human therapeutic field on a worldwide basis.</w:t>
      </w:r>
    </w:p>
    <w:p>
      <w:pPr>
        <w:spacing w:after="0" w:line="183"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8"/>
          <w:szCs w:val="18"/>
          <w:color w:val="auto"/>
        </w:rPr>
        <w:t>In April 2024, the Company incurred a $5.0 million milestone payable to ImmunoGen with respect to achieving the milestone of dosing the first patient for CX-2051 under the ImmunoGen 2019 License Agreement.</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for the Company’s stock option plans for the three months ended March 31, 2024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352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0" w:type="dxa"/>
            <w:vAlign w:val="bottom"/>
          </w:tcPr>
          <w:p>
            <w:pPr>
              <w:spacing w:after="0"/>
              <w:rPr>
                <w:sz w:val="1"/>
                <w:szCs w:val="1"/>
                <w:color w:val="auto"/>
              </w:rPr>
            </w:pPr>
          </w:p>
        </w:tc>
      </w:tr>
      <w:tr>
        <w:trPr>
          <w:trHeight w:val="130"/>
        </w:trPr>
        <w:tc>
          <w:tcPr>
            <w:tcW w:w="772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39"/>
              <w:spacing w:after="0" w:line="130"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7720" w:type="dxa"/>
            <w:vAlign w:val="bottom"/>
          </w:tcPr>
          <w:p>
            <w:pPr>
              <w:spacing w:after="0"/>
              <w:rPr>
                <w:sz w:val="12"/>
                <w:szCs w:val="12"/>
                <w:color w:val="auto"/>
              </w:rPr>
            </w:pPr>
          </w:p>
        </w:tc>
        <w:tc>
          <w:tcPr>
            <w:tcW w:w="18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44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7"/>
        </w:trPr>
        <w:tc>
          <w:tcPr>
            <w:tcW w:w="77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18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12,949,612</w:t>
            </w: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1,780,000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exercised</w:t>
            </w: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(119,874 )</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 forfeited/expired</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(303,341 )</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14,306,397</w:t>
            </w:r>
          </w:p>
        </w:tc>
        <w:tc>
          <w:tcPr>
            <w:tcW w:w="3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5903595</wp:posOffset>
            </wp:positionH>
            <wp:positionV relativeFrom="paragraph">
              <wp:posOffset>-24765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8"/>
          <w:szCs w:val="18"/>
          <w:color w:val="auto"/>
        </w:rPr>
        <w:t>The Company recorded $1.4 million and $1.9 million of stock-based compensation expense related to the stock option plans for the three months ended March 31, 2024 and 2023, respectively.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Time-based RSUs ("TRSU")</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for the Company’s TRSUs for the three months ended March 31,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20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86"/>
        </w:trPr>
        <w:tc>
          <w:tcPr>
            <w:tcW w:w="7360" w:type="dxa"/>
            <w:vAlign w:val="bottom"/>
          </w:tcPr>
          <w:p>
            <w:pPr>
              <w:spacing w:after="0"/>
              <w:rPr>
                <w:sz w:val="16"/>
                <w:szCs w:val="16"/>
                <w:color w:val="auto"/>
              </w:rPr>
            </w:pPr>
          </w:p>
        </w:tc>
        <w:tc>
          <w:tcPr>
            <w:tcW w:w="208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168"/>
        </w:trPr>
        <w:tc>
          <w:tcPr>
            <w:tcW w:w="736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1,400,529</w:t>
            </w: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FF0FC"/>
          </w:tcPr>
          <w:p>
            <w:pPr>
              <w:spacing w:after="0"/>
              <w:rPr>
                <w:sz w:val="20"/>
                <w:szCs w:val="20"/>
                <w:color w:val="auto"/>
              </w:rPr>
            </w:pPr>
          </w:p>
        </w:tc>
      </w:tr>
      <w:tr>
        <w:trPr>
          <w:trHeight w:val="237"/>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RSU's awarded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1,117,333</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r>
      <w:tr>
        <w:trPr>
          <w:trHeight w:val="245"/>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RSU's vested</w:t>
            </w:r>
          </w:p>
        </w:tc>
        <w:tc>
          <w:tcPr>
            <w:tcW w:w="2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(706,923 )</w:t>
            </w:r>
          </w:p>
        </w:tc>
        <w:tc>
          <w:tcPr>
            <w:tcW w:w="7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21"/>
                <w:szCs w:val="21"/>
                <w:color w:val="auto"/>
              </w:rPr>
            </w:pPr>
          </w:p>
        </w:tc>
      </w:tr>
      <w:tr>
        <w:trPr>
          <w:trHeight w:val="241"/>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RSU's cancelled</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(28,139 )</w:t>
            </w:r>
          </w:p>
        </w:tc>
        <w:tc>
          <w:tcPr>
            <w:tcW w:w="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0"/>
                <w:szCs w:val="20"/>
                <w:color w:val="auto"/>
              </w:rPr>
            </w:pPr>
          </w:p>
        </w:tc>
      </w:tr>
      <w:tr>
        <w:trPr>
          <w:trHeight w:val="275"/>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1,782,800</w:t>
            </w:r>
          </w:p>
        </w:tc>
        <w:tc>
          <w:tcPr>
            <w:tcW w:w="32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CFF0FC"/>
            </w:tcBorders>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-24765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6" w:lineRule="exact"/>
        <w:rPr>
          <w:sz w:val="20"/>
          <w:szCs w:val="20"/>
          <w:color w:val="auto"/>
        </w:rPr>
      </w:pPr>
    </w:p>
    <w:p>
      <w:pPr>
        <w:jc w:val="both"/>
        <w:ind w:right="140"/>
        <w:spacing w:after="0" w:line="279" w:lineRule="auto"/>
        <w:rPr>
          <w:sz w:val="20"/>
          <w:szCs w:val="20"/>
          <w:color w:val="auto"/>
        </w:rPr>
      </w:pPr>
      <w:r>
        <w:rPr>
          <w:rFonts w:ascii="Times New Roman" w:cs="Times New Roman" w:eastAsia="Times New Roman" w:hAnsi="Times New Roman"/>
          <w:sz w:val="18"/>
          <w:szCs w:val="18"/>
          <w:color w:val="auto"/>
        </w:rPr>
        <w:t>The Company recorded $0.4 million and $0.4 million of stock-based compensation expense related to the TRSUs for the three months end March 31, 2024 and 2023, respectively.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 ("PSUs")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PSU</w:t>
      </w:r>
    </w:p>
    <w:p>
      <w:pPr>
        <w:spacing w:after="0" w:line="1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August 2022, the Company granted 250,000 PSUs to executive employees with an aggregated grant date fair value of approximately $0.4 million. Vesting for 50% of the PSUs granted was set to occur upon attaining certain specific milestones by December 2023 (“2022-Tranche 1”), and the remaining 50% are set to vest upon attaining certain specific milestones by December 2024 (“2022-Tranche 2”). In December 2023, the Company determined that the performance conditions for 2022-Tranche 1 was satisfied and the award was vested in December 2023. As a result, the Company recorded $55,000 and the remaining $128,000 compensation cost for the 2022-Tranche 1 award for the year ended December 31, 2022 and 2023, respectively. As of March 31, 2024 and December 31, 2023, the Company determined that it is probable that the performance conditions for the 2022-Tranche 2 will be satisfied and recorded $19,000 and $106,000 compensation cost for the award for the three months ended March 31, 2024 and for the fiscal year 2023,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 PSU</w:t>
      </w:r>
    </w:p>
    <w:p>
      <w:pPr>
        <w:spacing w:after="0" w:line="115"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7"/>
          <w:szCs w:val="17"/>
          <w:color w:val="auto"/>
        </w:rPr>
        <w:t>In February 2023, the Company granted 760,000 PSUs to executive employees with an aggregated grant date fair value of approximately $1.9 million. Vesting for 50% of the PSUs granted will occur upon attaining certain specific milestones by December 2024 (“2023-Tranche 1”), and the remaining 50% will vest upon attaining certain specific milestones by December 2025 (“2023-Tranche 2”). The Company determined that it is not probable that the performance conditions will be satisfied for each of these tranches and hence no compensation cost was recorded for these awards through March 31, 2024.</w:t>
      </w:r>
    </w:p>
    <w:p>
      <w:pPr>
        <w:sectPr>
          <w:pgSz w:w="11900" w:h="16838" w:orient="portrait"/>
          <w:cols w:equalWidth="0" w:num="1">
            <w:col w:w="11240"/>
          </w:cols>
          <w:pgMar w:left="320" w:top="761" w:right="3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PSU</w:t>
      </w:r>
    </w:p>
    <w:p>
      <w:pPr>
        <w:spacing w:after="0" w:line="115"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7"/>
          <w:szCs w:val="17"/>
          <w:color w:val="auto"/>
        </w:rPr>
        <w:t>In January 2024, the Company granted 810,000 PSUs to executive employees with an aggregated grant date fair value of approximately $1.3 million. Vesting for 50% of the PSUs granted will occur upon attaining certain specific milestones by December 2025 (“2024-Tranche 1”), and the remaining 50% will vest upon attaining certain specific milestones by December 2026 (“2024-Tranche 2”). The Company determined that it is not probable that the performance conditions will be satisfied for each of these tranches and hence no compensation cost was recorded for these awards through March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for the Company’s PSUs for the three months ended March 31,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7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3"/>
                <w:szCs w:val="13"/>
                <w:color w:val="auto"/>
              </w:rPr>
            </w:pPr>
          </w:p>
        </w:tc>
        <w:tc>
          <w:tcPr>
            <w:tcW w:w="1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86"/>
        </w:trPr>
        <w:tc>
          <w:tcPr>
            <w:tcW w:w="7400" w:type="dxa"/>
            <w:vAlign w:val="bottom"/>
          </w:tcPr>
          <w:p>
            <w:pPr>
              <w:spacing w:after="0"/>
              <w:rPr>
                <w:sz w:val="16"/>
                <w:szCs w:val="16"/>
                <w:color w:val="auto"/>
              </w:rPr>
            </w:pPr>
          </w:p>
        </w:tc>
        <w:tc>
          <w:tcPr>
            <w:tcW w:w="176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168"/>
        </w:trPr>
        <w:tc>
          <w:tcPr>
            <w:tcW w:w="740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1020" w:type="dxa"/>
            <w:vAlign w:val="bottom"/>
            <w:gridSpan w:val="2"/>
            <w:shd w:val="clear" w:color="auto" w:fill="CFF0FC"/>
          </w:tcPr>
          <w:p>
            <w:pPr>
              <w:jc w:val="right"/>
              <w:ind w:right="56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FF0FC"/>
          </w:tcPr>
          <w:p>
            <w:pPr>
              <w:spacing w:after="0"/>
              <w:rPr>
                <w:sz w:val="20"/>
                <w:szCs w:val="20"/>
                <w:color w:val="auto"/>
              </w:rPr>
            </w:pPr>
          </w:p>
        </w:tc>
      </w:tr>
      <w:tr>
        <w:trPr>
          <w:trHeight w:val="237"/>
        </w:trPr>
        <w:tc>
          <w:tcPr>
            <w:tcW w:w="74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PSU's awarded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810,000</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FF0FC"/>
            </w:tcBorders>
          </w:tcPr>
          <w:p>
            <w:pPr>
              <w:spacing w:after="0"/>
              <w:rPr>
                <w:sz w:val="20"/>
                <w:szCs w:val="20"/>
                <w:color w:val="auto"/>
              </w:rPr>
            </w:pPr>
          </w:p>
        </w:tc>
      </w:tr>
      <w:tr>
        <w:trPr>
          <w:trHeight w:val="279"/>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1,685,000</w:t>
            </w:r>
          </w:p>
        </w:tc>
        <w:tc>
          <w:tcPr>
            <w:tcW w:w="1020" w:type="dxa"/>
            <w:vAlign w:val="bottom"/>
            <w:tcBorders>
              <w:bottom w:val="single" w:sz="8" w:color="CFF0FC"/>
            </w:tcBorders>
            <w:gridSpan w:val="2"/>
            <w:shd w:val="clear" w:color="auto" w:fill="CFF0FC"/>
          </w:tcPr>
          <w:p>
            <w:pPr>
              <w:jc w:val="right"/>
              <w:ind w:right="56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5818505</wp:posOffset>
            </wp:positionH>
            <wp:positionV relativeFrom="paragraph">
              <wp:posOffset>-24765</wp:posOffset>
            </wp:positionV>
            <wp:extent cx="679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5818505</wp:posOffset>
            </wp:positionH>
            <wp:positionV relativeFrom="paragraph">
              <wp:posOffset>-7620</wp:posOffset>
            </wp:positionV>
            <wp:extent cx="679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5818505</wp:posOffset>
            </wp:positionH>
            <wp:positionV relativeFrom="paragraph">
              <wp:posOffset>-186690</wp:posOffset>
            </wp:positionV>
            <wp:extent cx="679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recorded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77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77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8"/>
        </w:trPr>
        <w:tc>
          <w:tcPr>
            <w:tcW w:w="7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40" w:type="dxa"/>
            <w:vAlign w:val="bottom"/>
            <w:gridSpan w:val="2"/>
            <w:shd w:val="clear" w:color="auto" w:fill="CFF0FC"/>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FF0FC"/>
          </w:tcPr>
          <w:p>
            <w:pPr>
              <w:spacing w:after="0"/>
              <w:rPr>
                <w:sz w:val="20"/>
                <w:szCs w:val="20"/>
                <w:color w:val="auto"/>
              </w:rPr>
            </w:pPr>
          </w:p>
        </w:tc>
      </w:tr>
      <w:tr>
        <w:trPr>
          <w:trHeight w:val="237"/>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20"/>
                <w:szCs w:val="20"/>
                <w:color w:val="auto"/>
              </w:rPr>
            </w:pPr>
          </w:p>
        </w:tc>
      </w:tr>
      <w:tr>
        <w:trPr>
          <w:trHeight w:val="275"/>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8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-24765</wp:posOffset>
            </wp:positionV>
            <wp:extent cx="679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-7620</wp:posOffset>
            </wp:positionV>
            <wp:extent cx="679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3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March 4,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In September 2022, the Company filed a motion to dismiss the case and the Court granted the parties’ stipulation to stay all pending case deadlines until that motion is finally resolved. On October 30, 2023, Magistrate Judge Burke issued a Report &amp; Recommendation that recommended granting Company’s motion to dismiss all counts of the complaint. In January 2024, the case was transferred to a new Judge and the case will remain stayed pending a ruling by the trial judge on the Magistrate’s Report &amp; Recommendation. The Company believes that the lawsuit is without merit and intends to vigorously defend itself. The Company does not believe a loss is probable and has not recorded any amount as a contingent liability for claims associated with this lawsuit as of March 31, 2024.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a full valuation allowance against its net deferred tax assets due to the Company’s history of losses through December 31, 2023</w:t>
      </w:r>
      <w:r>
        <w:rPr>
          <w:rFonts w:ascii="Times New Roman" w:cs="Times New Roman" w:eastAsia="Times New Roman" w:hAnsi="Times New Roman"/>
          <w:sz w:val="18"/>
          <w:szCs w:val="18"/>
          <w:i w:val="1"/>
          <w:iCs w:val="1"/>
          <w:color w:val="auto"/>
        </w:rPr>
        <w:t>.</w:t>
      </w: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files income taxes in the U.S. federal jurisdiction, the state of California and various other U.S. states. The state of California contested the Company’s tax position on revenue apportionment for upfront and milestone payments resulting from the Company’s collaboration and licensing agreements for the years 2017 and 2018. In September 2023, the Company received Notice of Proposed Assessment (“NOPA”) from the Franchise Tax Board. The Company recorded an uncertain tax position of $3.9 million in long term liabilities for the proposed tax assessment, penalties and interest through March 31, 2024. Of the unrecognized tax benefits as of March 31, 2024, approximately $3.9 million would affect the Company’s effective tax rate if recognized. In addition, utilization of carryforward attributes and indirect federal tax effects of the assessment would result in a reduction in deferred tax assets of $5.1 million.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43" w:lineRule="exact"/>
        <w:rPr>
          <w:sz w:val="20"/>
          <w:szCs w:val="20"/>
          <w:color w:val="auto"/>
        </w:rPr>
      </w:pPr>
    </w:p>
    <w:p>
      <w:pPr>
        <w:ind w:right="620"/>
        <w:spacing w:after="0" w:line="279" w:lineRule="auto"/>
        <w:rPr>
          <w:sz w:val="20"/>
          <w:szCs w:val="20"/>
          <w:color w:val="auto"/>
        </w:rPr>
      </w:pPr>
      <w:r>
        <w:rPr>
          <w:rFonts w:ascii="Times New Roman" w:cs="Times New Roman" w:eastAsia="Times New Roman" w:hAnsi="Times New Roman"/>
          <w:sz w:val="18"/>
          <w:szCs w:val="18"/>
          <w:color w:val="auto"/>
        </w:rPr>
        <w:t>filed a protest to contest the proposed assessment in November 2023. Due to the ongoing nature of the examination and discussions with the state of California, the Company is unable to estimate a date by which this matter will be resolved.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w:t>
      </w:r>
    </w:p>
    <w:p>
      <w:pPr>
        <w:spacing w:after="0" w:line="2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February 2020, the Company entered into the Open Market Sale Agreement (the “Sales Agreement”) with Jefferies LLC (“Jefferies”), to sell its common stock, at par value $0.00001 per share, with aggregate gross sales proceeds of up to $75,000,000, from time to time upon the Company’s request, through an at the market offering under which Jefferies will act as sales agent. Pursuant to the Sales Agreement, Jefferies as the sales agent will receive a commission of 3.0% of the gross sales price for shares of common stock sold under the Sales Agreement. In April 2024, under the Sales Agreement, the Company sold 2,270,608 shares at an average price of $2.20 per share and received net proceeds of approximately $4.8 million after deducting the 3.0% sales commission and related issuance cost.</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2023, the Company entered into an agreement with BVF Partners L.P. (“BVF”) for a private placement and received an aggregate net proceeds of approximately $29.7 million in July 2023, after deducting issuance costs of approximately $0.3 million. In the private placement, CytomX issued pre-funded warrants to BVF to purchase up to 14,423,077 shares of common stock, accompanying Tranche 1 warrants to purchase up to 5,769,231 shares of common stock and accompanying Tranche 2 warrants to purchase up to 5,769,231 shares of common stock, at a combined price of $2.08 per share. On May 1, 2024, BVF exercised its right to purchase 7.5 million shares of common stock at an exercise price of $0.00001 per share.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2023, included in our Annual Report on Form 10-K as filed with the U.S. Securities and Exchange Commission (“SEC”) on March 11, 2024.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 clinical-stage, oncology-focused biopharmaceutical company focused on developing novel, conditionally activated, masked biologics designed to be preferentially unmasked and activated in the tumor microenvironment. We aim to build a commercial enterprise to maximize our impact on the treatment of cancer. By pioneering a novel class of localized biologic drug candidates, powered by our PROBODY® therapeutic technology platform, we lead the field of masked, conditionally activated oncology therapeutics and have established biologics localization as a strategic area of research and development. Our vision is to transform lives with safer, more effective therapies with the goal to address major unmet needs in oncology.</w:t>
      </w:r>
    </w:p>
    <w:p>
      <w:pPr>
        <w:spacing w:after="0" w:line="2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proprietary, versatile, multi-modality PROBODY technology platform is designed to enable conditional activation of potent biologic therapeutic candidates within the tumor microenvironment, while minimizing drug activity in healthy tissues and circulation. Our platform is built on a strong foundation of tumor biology expertise, including deep knowledge of tumor-associated enzymes known as proteases. Proteases are tightly controlled in normal tissues but often dysregulated and active in tumor microenvironments where they play important roles in cancer cell migration, invasion and metastasis. Leveraging our deep scientific knowledge, we conceived of and constructed our PROBODY therapeutic platform which allows us to genetically engineer biologic therapeutic candidates to contain protease-cleavable masks. Our masking strategy is designed to reduce binding of biologic therapeutics to their targets until the mask is removed by proteases in the tumor microenvironment, providing more selective targeting of the tumor.</w:t>
      </w:r>
    </w:p>
    <w:p>
      <w:pPr>
        <w:spacing w:after="0" w:line="21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employing our leading, masking platform technology to address some of the biggest challenges in oncology biologics research and development. These include the validation of potential new targets for antibody-drug conjugates (“ADCs”), opening therapeutic window for novel T-cell engagers (“TCEs”) targeting solid tumors, and increasing the therapeutic index for immune modulators such as cytokines. We are also exploring the potential for our PROBODY platform in preclinical research in areas outside of oncology, including in our collaboration with Moderna.</w:t>
      </w:r>
    </w:p>
    <w:p>
      <w:pPr>
        <w:spacing w:after="0" w:line="2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utilized our PROBODY therapeutic platform and masking technology to build a promising, broad pipeline of potential first-in-class and best-in-class clinical-stage molecules. These are CX-904, a conditionally activated, PROBODY® TCE, targeting the epidermal growth factor receptor (“EGFR”) on tumor cells and the CD3 receptor on T cells; CX-2051, an investigational, conditionally activated ADC targeting epithelial cell adhesion molecule (“EpCAM”); and CX-801, an investigational, masked version of interferon alpha-2b (“IFNα2b”). Our current clinical-stage molecules address targets or mechanisms that have been previously validated as having anti-cancer activity but have been limited in their utilization due to systemic toxicities. We have incorporated our significant, multi-modality masking expertise and clinical learnings to optimize predicted therapeutic index and the clinical potential of these promising agents through tumor localized conditional activation.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Reinforcing our leadership in the field of conditional activation, in 2022 we advanced our first TCE into the clinic. CX-904, partnered with Amgen, is a conditionally activated TCE against EGFR and CD3. In preclinical studies, CytomX’s PROBODY EGFRxCD3 TCE demonstrated anti-tumor activity and better tolerability when compared to TCEs without PROBODY masking. In May 2022, the first patient was dosed in a Phase 1 study evaluating CX-904 as a treatment for patients with advanced solid tumors. Patient enrollment in the Phase 1 dose escalation portion of the study continues to progress. We reported in January 2023 that the initial single patient cohort phase of the study was complete and that the “3+3” patient cohort phase had been initiated.</w:t>
      </w:r>
    </w:p>
    <w:p>
      <w:pPr>
        <w:spacing w:after="0" w:line="2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May 8, 2024, we reported a Phase 1a data update based on an April 16, 2024 data cutoff. As of the data cutoff, the CX-904-101 study had enrolled 35 patients with advanced metastatic solid tumor types that are generally known to express EGFR, including pancreatic, colorectal (CRC), non-small cell lung cancer (NSCLC), head and neck squamous cell carcinoma (HNSCC), gastric, and esophageal cancers. Patients enrolled in the study were heavily pre-treated and had a median of 4 prior lines of therapy. 19 patients were enrolled into initial non-step dosing cohorts with target doses ranging from 0.007 mg to 6 mg, and 16 patients were subsequently enrolled into step-dosing cohorts with target doses ranging from 5 mg to 10 mg and with tocilizumab prophylaxis. Enrollment into a cohort with a target dose of 15 mg is ongoing.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307"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8"/>
          <w:szCs w:val="18"/>
          <w:color w:val="auto"/>
        </w:rPr>
        <w:t>As of the cutoff date, CX-904 demonstrated a favorable safety profile that supports administration and monitoring of enrolled patients in an outpatient setting.</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There were no observed cases of cytokine release syndrome (CRS) of any grade in step-dosing cohorts as of the cutoff date. In non-step dosing cohorts, only Grade 1 CRS was observed in patients treated at the highest dose of 6 mg. Overall, the most common treatment-related adverse events (TRAEs) were rash, arthralgia, arthritis, pruritis, and vomiting, the majority of which were low grade, being observed in 14 (40%), 13 (37%), 5 (14%), 5 (14%) and 5 (14%) of patients, respectively. Grade 3 adverse events were tenosynovitis (n=1), arthralgia (n=2), arthritis (n=1), rash (n=1).</w:t>
      </w:r>
    </w:p>
    <w:p>
      <w:pPr>
        <w:spacing w:after="0" w:line="2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the April 16, 2024 data cutoff, 8 patients had measurable tumor reduction per RECIST 1.1, including 2 of 6 efficacy-evaluable patients (33%) with pancreatic cancer with confirmed partial responses. All 6 efficacy-evaluable patients with pancreatic cancer achieved disease control (objective response or stable disease). For the two patients with a confirmed partial response, one patient (6 mg target dose) achieved an 83% tumor reduction. A second patient (5 mg target dose) with a confirmed response achieved a 51% tumor reduction and remained on study treatment as of the data cutoff. In addition, a third pancreatic cancer patient maintained stable disease with no evidence of tumor growth through 3.5 months of study treatment, remaining on treatment as of the data cutoff.</w:t>
      </w:r>
    </w:p>
    <w:p>
      <w:pPr>
        <w:spacing w:after="0" w:line="25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8"/>
          <w:szCs w:val="18"/>
          <w:color w:val="auto"/>
        </w:rPr>
        <w:t>Preliminary pharmacokinetic and pharmacodynamic data were consistent with the PROBODY TCE mechanism of action, including maintained masking in circulation, and CD8+ T-cell margination and tumor infiltration.</w:t>
      </w:r>
    </w:p>
    <w:p>
      <w:pPr>
        <w:spacing w:after="0" w:line="229" w:lineRule="exact"/>
        <w:rPr>
          <w:sz w:val="20"/>
          <w:szCs w:val="20"/>
          <w:color w:val="auto"/>
        </w:rPr>
      </w:pPr>
    </w:p>
    <w:p>
      <w:pPr>
        <w:jc w:val="both"/>
        <w:ind w:right="280"/>
        <w:spacing w:after="0" w:line="263" w:lineRule="auto"/>
        <w:rPr>
          <w:sz w:val="20"/>
          <w:szCs w:val="20"/>
          <w:color w:val="auto"/>
        </w:rPr>
      </w:pPr>
      <w:r>
        <w:rPr>
          <w:rFonts w:ascii="Times New Roman" w:cs="Times New Roman" w:eastAsia="Times New Roman" w:hAnsi="Times New Roman"/>
          <w:sz w:val="18"/>
          <w:szCs w:val="18"/>
          <w:color w:val="auto"/>
        </w:rPr>
        <w:t>CX-904 Phase 1a dose escalation and optimization continues, with future enrollment focused on determining a recommended Phase 2 dose, or doses. We expect to provide an additional Phase 1a dose escalation update by the end of 2024. These additional data will inform discussions with CytomX partner, Amgen, towards initiation of Phase 1b expansion cohorts in specific EGFR positive tumor types.</w:t>
      </w:r>
    </w:p>
    <w:p>
      <w:pPr>
        <w:spacing w:after="0" w:line="21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pipeline also includes CX-2051, a wholly-owned conditionally activated, PROBODY ADC paired with a next-generation camptothecin payload and directed toward the epithelial cellular adhesion molecule (EpCAM). CX-2051 is licensed from ImmunoGen. CX-2051 has been tailored to optimize the therapeutic index for the systemic treatment of EpCAM-expressing epithelial cancers where previous industry efforts targeting EpCAM have not been successful due to dose-limiting toxicities. CX-2051 has demonstrated a wide predicted therapeutic index and strong preclinical activity and tolerability in multiple preclinical models, including colorectal cancer.</w:t>
      </w:r>
    </w:p>
    <w:p>
      <w:pPr>
        <w:spacing w:after="0" w:line="22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The IND for CX-2051 was cleared by the FDA in January 2024 and Phase 1 clinical initiation in EpCAM expressing solid tumors, including CRC commenced in April 2024. The Phase 1 dose escalation will follow a Bayesian Optimal Interval (BOIN) design and is intended to demonstrate clinical proof of concept to potentially move into dose expansion studies in 2025.</w:t>
      </w:r>
    </w:p>
    <w:p>
      <w:pPr>
        <w:spacing w:after="0" w:line="2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Another wholly-owned product candidate is CX-801, an interferon ("IFN") alpha-2b PROBODY. IFNα2b provides a potentially superior approach to activating anti-tumor immune responses than other cytokines. CX-801 is a dually masked, conditionally activated version of IFNα2b that has the potential to become a cornerstone of combination therapy for a wide range of tumor types. The IND for CX-801 was cleared by the FDA in January 2024 and initiation of Phase 1 dose escalation in solid tumors including melanoma, renal, and head and neck squamous cell carcinoma is expected in the first half of 2024. In Phase 1 dose escalation, we will use a BOIN design to evaluate safety and signs of clinical activity for CX-801 and progress into combinations, where CX-801 has the potential to be cornerstone of therapy, including in combination with checkpoint inhibitors. On May 7, 2024 CytomX announced a clinical collaboration with Merck to evaluate CX-801 in combination with KEYTRUDA® in the Phase 1 study.</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CX-2029 was previously developed in a global co-development collaboration with AbbVie. This program is intended to open a therapeutic window for successful targeting of CD71, also known as the transferrin receptor 1 (“TfR1”). CD71 is a cell surface protein essential for iron uptake in dividing cells and is highly expressed in a number of solid and hematologic cancers. However, given its central role in iron metabolism, CD71 is present on most healthy cells and is thought to be an undruggable target with conventional ADCs. CX-2029 is conjugated with the tubulin inhibitor, monomethyl auristatin E (“MMAE”), as the payload. In March 2023, following the completion of the Phase 2 Study in squamous non-small cell lung cancer (“sqNSCLC”), head and neck squamous cell carcinoma (“HNSCC”), esophageal and gastro-esophageal junction (“E/GEJ”) cancers, AbbVie notified CytomX that it would not advance CX-2029 into additional clinical studies and terminated the 2016 CD71 License and Collaboration Agreement. CytomX re-acquired full rights to CX-2029 but does not currently have plans to make further significant investments in the solid tumor program in the near-term but continues to view CD71 as a target of strategic interest, including novel next-generation strategies.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6" w:lineRule="exact"/>
        <w:rPr>
          <w:sz w:val="20"/>
          <w:szCs w:val="20"/>
          <w:color w:val="auto"/>
        </w:rPr>
      </w:pPr>
    </w:p>
    <w:p>
      <w:pPr>
        <w:jc w:val="right"/>
        <w:ind w:left="5540" w:right="5480" w:hanging="5533"/>
        <w:spacing w:after="0" w:line="298" w:lineRule="auto"/>
        <w:tabs>
          <w:tab w:leader="none" w:pos="102"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In-patient monitoring is not required following treatment at cleared dose levels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672465</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6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We are also continuously engaged in drug discovery efforts towards the generation of new clinical candidates across multiple modalities for the treatment of cancer, including additional ADCs, Cytokines, TCEs, and mRNAs reflecting the versatility of our PROBODY platform. We currently have more than 15 active drug discovery and/or development programs.</w:t>
      </w:r>
    </w:p>
    <w:p>
      <w:pPr>
        <w:spacing w:after="0" w:line="244" w:lineRule="exact"/>
        <w:rPr>
          <w:sz w:val="20"/>
          <w:szCs w:val="20"/>
          <w:color w:val="auto"/>
        </w:rPr>
      </w:pPr>
    </w:p>
    <w:p>
      <w:pPr>
        <w:ind w:right="140"/>
        <w:spacing w:after="0" w:line="309" w:lineRule="auto"/>
        <w:rPr>
          <w:sz w:val="20"/>
          <w:szCs w:val="20"/>
          <w:color w:val="auto"/>
        </w:rPr>
      </w:pPr>
      <w:r>
        <w:rPr>
          <w:rFonts w:ascii="Times New Roman" w:cs="Times New Roman" w:eastAsia="Times New Roman" w:hAnsi="Times New Roman"/>
          <w:sz w:val="17"/>
          <w:szCs w:val="17"/>
          <w:color w:val="auto"/>
        </w:rPr>
        <w:t>We do not have any products approved for sale, and we continue to incur significant research and development and general administrative expenses related to our operations. As of March 31, 2024 and December 31, 2023, we had an accumulated deficit of $709.7 million and $723.4 million, respectively.</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21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There are no material changes to our critical accounting policies and estimates as presented in Part II, Item 7 of our Annual Report on Form 10-K for the year ended December 31, 2023.</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an input method for the entire performance obligation. In applying the input method of revenue recognition, we use actual full-time equivalent (FTE) hours incurred relative to estimated total FTE hours expected to be incurred for each combined performance obligation over the estimated research service period of each collaboration target. In addition to receiving upfront payments, we are entitled to variable payments related to research and development services provided and may be entitled to milestone and other contingent payments upon achieving predefined objectives. Revenue from variable payments related to research and development or milestones and other contingent payments, when it is probable that there will not be a significant revenue reversal, are also recognized over the performance period based on a similar method.</w:t>
      </w:r>
    </w:p>
    <w:p>
      <w:pPr>
        <w:spacing w:after="0" w:line="225" w:lineRule="exact"/>
        <w:rPr>
          <w:sz w:val="20"/>
          <w:szCs w:val="20"/>
          <w:color w:val="auto"/>
        </w:rPr>
      </w:pPr>
    </w:p>
    <w:p>
      <w:pPr>
        <w:jc w:val="both"/>
        <w:ind w:right="240"/>
        <w:spacing w:after="0" w:line="256" w:lineRule="auto"/>
        <w:rPr>
          <w:sz w:val="20"/>
          <w:szCs w:val="20"/>
          <w:color w:val="auto"/>
        </w:rPr>
      </w:pPr>
      <w:r>
        <w:rPr>
          <w:rFonts w:ascii="Times New Roman" w:cs="Times New Roman" w:eastAsia="Times New Roman" w:hAnsi="Times New Roman"/>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Amgen, Astellas, Bristol Myers Squibb, Regeneron, Moderna and any other collaboration partners, and as a result of the fluctuations in the research and development expenses we incur in the performance of assigned activities under these agreements.</w:t>
      </w:r>
    </w:p>
    <w:p>
      <w:pPr>
        <w:spacing w:after="0" w:line="2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AbbVie, one of our previous collaboration partners, entered into a license agreement with Seagen Inc. (“SGEN”) to license certain intellectual property rights. As part of the collaboration agreement with AbbVie, we received a sublicense to these intellectual property rights and therefore paid SGEN sublicense fees. These sublicense fees were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9"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expect our research and development expenses could vary substantially in the future as we prioritize our pipeline opportunities, advance our product candidates through clinical trials, initiate additional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9"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71"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8"/>
          <w:szCs w:val="18"/>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8"/>
          <w:szCs w:val="18"/>
          <w:color w:val="auto"/>
        </w:rPr>
        <w:t>Interest income primarily consists of interest income from our cash equivalents and investments, and accretion of discounts or amortization of premiums on our investments.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primarily of gains and losses resulting from changes to currency exchange rates.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collaboration partner during the respective periods: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gridSpan w:val="3"/>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6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66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168"/>
        </w:trPr>
        <w:tc>
          <w:tcPr>
            <w:tcW w:w="6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AbbVie</w:t>
            </w:r>
          </w:p>
        </w:tc>
        <w:tc>
          <w:tcPr>
            <w:tcW w:w="840" w:type="dxa"/>
            <w:vAlign w:val="bottom"/>
            <w:shd w:val="clear" w:color="auto" w:fill="CFF0FC"/>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520" w:type="dxa"/>
            <w:vAlign w:val="bottom"/>
            <w:gridSpan w:val="2"/>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(3,988 )</w:t>
            </w:r>
          </w:p>
        </w:tc>
      </w:tr>
      <w:tr>
        <w:trPr>
          <w:trHeight w:val="237"/>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Amgen</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(497 )</w:t>
            </w:r>
          </w:p>
        </w:tc>
      </w:tr>
      <w:tr>
        <w:trPr>
          <w:trHeight w:val="24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Astellas</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15,452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Bristol Myers Squibb</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19,634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11,909</w:t>
            </w:r>
          </w:p>
        </w:tc>
        <w:tc>
          <w:tcPr>
            <w:tcW w:w="100" w:type="dxa"/>
            <w:vAlign w:val="bottom"/>
          </w:tcPr>
          <w:p>
            <w:pPr>
              <w:spacing w:after="0"/>
              <w:rPr>
                <w:sz w:val="20"/>
                <w:szCs w:val="20"/>
                <w:color w:val="auto"/>
              </w:rPr>
            </w:pPr>
          </w:p>
        </w:tc>
      </w:tr>
      <w:tr>
        <w:trPr>
          <w:trHeight w:val="24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Regeneron</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Moderna</w:t>
            </w:r>
          </w:p>
        </w:tc>
        <w:tc>
          <w:tcPr>
            <w:tcW w:w="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20"/>
                <w:szCs w:val="20"/>
                <w:color w:val="auto"/>
              </w:rPr>
            </w:pPr>
          </w:p>
        </w:tc>
      </w:tr>
      <w:tr>
        <w:trPr>
          <w:trHeight w:val="275"/>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40" w:type="dxa"/>
            <w:vAlign w:val="bottom"/>
            <w:tcBorders>
              <w:bottom w:val="single" w:sz="8" w:color="auto"/>
            </w:tcBorders>
            <w:shd w:val="clear" w:color="auto" w:fill="CFF0FC"/>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41,463</w:t>
            </w:r>
          </w:p>
        </w:tc>
        <w:tc>
          <w:tcPr>
            <w:tcW w:w="3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23,499</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5060950</wp:posOffset>
            </wp:positionH>
            <wp:positionV relativeFrom="paragraph">
              <wp:posOffset>-24765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-7620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-24765</wp:posOffset>
            </wp:positionV>
            <wp:extent cx="679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-7620</wp:posOffset>
            </wp:positionV>
            <wp:extent cx="679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revenue of $18.0 million for the three months ended March 31, 2024 compared to the corresponding period of 2023 was primarily due to:</w:t>
      </w:r>
    </w:p>
    <w:p>
      <w:pPr>
        <w:spacing w:after="0" w:line="128"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 under the BMS Agreement driven by higher percentage of completion of the existing targets;</w:t>
      </w:r>
    </w:p>
    <w:p>
      <w:pPr>
        <w:spacing w:after="0" w:line="114" w:lineRule="exact"/>
        <w:rPr>
          <w:rFonts w:ascii="Times New Roman" w:cs="Times New Roman" w:eastAsia="Times New Roman" w:hAnsi="Times New Roman"/>
          <w:sz w:val="18"/>
          <w:szCs w:val="18"/>
          <w:color w:val="auto"/>
        </w:rPr>
      </w:pPr>
    </w:p>
    <w:p>
      <w:pPr>
        <w:ind w:left="1020" w:right="280" w:hanging="504"/>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 under the Astellas Agreement primarily driven by two milestone payments of $5.0 million each, triggered in March 2024. One was related to the nomination of a second clinical candidate while the other was related to the milestone achievement of GLP toxicology study of the first clinical candidate. Astellas revenue in the first quarter of 2023 included the $5.0 million milestone for the 1st clinical candidate nomination achieved in the collaboration;</w:t>
      </w:r>
    </w:p>
    <w:p>
      <w:pPr>
        <w:spacing w:after="0" w:line="75" w:lineRule="exact"/>
        <w:rPr>
          <w:rFonts w:ascii="Times New Roman" w:cs="Times New Roman" w:eastAsia="Times New Roman" w:hAnsi="Times New Roman"/>
          <w:sz w:val="18"/>
          <w:szCs w:val="18"/>
          <w:color w:val="auto"/>
        </w:rPr>
      </w:pPr>
    </w:p>
    <w:p>
      <w:pPr>
        <w:ind w:left="1020" w:right="460" w:hanging="504"/>
        <w:spacing w:after="0" w:line="279"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 under the Regeneron Agreement and Moderna Agreement driven by higher percentage of completion of research collaboration programs that commenced in 2023.</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revenue under the AbbVie Agreement due to termination of the agreement in March 2023.</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program incurred during the respective periods presented:</w:t>
      </w:r>
    </w:p>
    <w:p>
      <w:pPr>
        <w:spacing w:after="0" w:line="22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External costs incurred by product candidate (target):</w:t>
            </w: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CX-904 (EGFRxCD3)</w:t>
            </w:r>
          </w:p>
        </w:tc>
        <w:tc>
          <w:tcPr>
            <w:tcW w:w="820" w:type="dxa"/>
            <w:vAlign w:val="bottom"/>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540" w:type="dxa"/>
            <w:vAlign w:val="bottom"/>
            <w:gridSpan w:val="2"/>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CX-2051 (EpCAM)</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CX-801 (IFNα2b)</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(2,965 )</w:t>
            </w:r>
          </w:p>
        </w:tc>
        <w:tc>
          <w:tcPr>
            <w:tcW w:w="0" w:type="dxa"/>
            <w:vAlign w:val="bottom"/>
          </w:tcPr>
          <w:p>
            <w:pPr>
              <w:spacing w:after="0"/>
              <w:rPr>
                <w:sz w:val="1"/>
                <w:szCs w:val="1"/>
                <w:color w:val="auto"/>
              </w:rPr>
            </w:pPr>
          </w:p>
        </w:tc>
      </w:tr>
      <w:tr>
        <w:trPr>
          <w:trHeight w:val="23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CX-2029 (CD71)</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(659 )</w:t>
            </w:r>
          </w:p>
        </w:tc>
        <w:tc>
          <w:tcPr>
            <w:tcW w:w="0" w:type="dxa"/>
            <w:vAlign w:val="bottom"/>
          </w:tcPr>
          <w:p>
            <w:pPr>
              <w:spacing w:after="0"/>
              <w:rPr>
                <w:sz w:val="1"/>
                <w:szCs w:val="1"/>
                <w:color w:val="auto"/>
              </w:rPr>
            </w:pPr>
          </w:p>
        </w:tc>
      </w:tr>
      <w:tr>
        <w:trPr>
          <w:trHeight w:val="24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programs</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research and development expenses</w:t>
            </w: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external costs</w:t>
            </w:r>
          </w:p>
        </w:tc>
        <w:tc>
          <w:tcPr>
            <w:tcW w:w="8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12,490</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costs</w:t>
            </w: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20" w:type="dxa"/>
            <w:vAlign w:val="bottom"/>
            <w:tcBorders>
              <w:bottom w:val="single" w:sz="8" w:color="auto"/>
            </w:tcBorders>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22,052</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2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-24765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-7620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79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79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3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8"/>
          <w:szCs w:val="18"/>
          <w:color w:val="auto"/>
        </w:rPr>
        <w:t>Research and development expenses increased by $0.9 million for the three months ended March 31, 2024, compared to the corresponding period of 2023. This was primarily due to increased laboratory contract services and manufacturing activities related to CX-904, CX-2051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400"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8"/>
          <w:szCs w:val="18"/>
          <w:color w:val="auto"/>
        </w:rPr>
        <w:t>and other wholly owned and partnered programs, as well as consulting, personnel and license related expenses, offset by decreased manufacturing activities for CX-801 program and winding down of clinical study activities related to the CX-2009 and CX-2029 programs.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0" w:type="dxa"/>
            <w:vAlign w:val="bottom"/>
            <w:gridSpan w:val="3"/>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66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66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168"/>
        </w:trPr>
        <w:tc>
          <w:tcPr>
            <w:tcW w:w="6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(223 )</w:t>
            </w:r>
          </w:p>
        </w:tc>
      </w:tr>
    </w:tbl>
    <w:p>
      <w:pPr>
        <w:spacing w:after="0" w:line="169"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color w:val="auto"/>
        </w:rPr>
        <w:t>General and administrative expenses decreased by $0.2 million for the three months ended March 31, 2024, compared to the corresponding period of 2023, primarily due to lower rent as a result of partial sublease of the Company’s headquarters.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66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66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168"/>
        </w:trPr>
        <w:tc>
          <w:tcPr>
            <w:tcW w:w="6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520" w:type="dxa"/>
            <w:vAlign w:val="bottom"/>
            <w:gridSpan w:val="2"/>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r>
      <w:tr>
        <w:trPr>
          <w:trHeight w:val="237"/>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6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interest income and other expense</w:t>
            </w:r>
          </w:p>
        </w:tc>
        <w:tc>
          <w:tcPr>
            <w:tcW w:w="880" w:type="dxa"/>
            <w:vAlign w:val="bottom"/>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(159 )</w:t>
            </w: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5060950</wp:posOffset>
            </wp:positionH>
            <wp:positionV relativeFrom="paragraph">
              <wp:posOffset>-24765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-7620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-24765</wp:posOffset>
            </wp:positionV>
            <wp:extent cx="679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-7620</wp:posOffset>
            </wp:positionV>
            <wp:extent cx="679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income was $2.2 million for the three months ended March 31, 2024, compared to $2.3 million in the corresponding period of 2023.</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gridSpan w:val="3"/>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66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6660" w:type="dxa"/>
            <w:vAlign w:val="bottom"/>
          </w:tcPr>
          <w:p>
            <w:pPr>
              <w:spacing w:after="0"/>
              <w:rPr>
                <w:sz w:val="14"/>
                <w:szCs w:val="14"/>
                <w:color w:val="auto"/>
              </w:rPr>
            </w:pPr>
          </w:p>
        </w:tc>
        <w:tc>
          <w:tcPr>
            <w:tcW w:w="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168"/>
        </w:trPr>
        <w:tc>
          <w:tcPr>
            <w:tcW w:w="6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0"/>
                <w:szCs w:val="20"/>
                <w:color w:val="auto"/>
              </w:rPr>
            </w:pPr>
          </w:p>
        </w:tc>
      </w:tr>
    </w:tbl>
    <w:p>
      <w:pPr>
        <w:spacing w:after="0" w:line="303"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8"/>
          <w:szCs w:val="18"/>
          <w:color w:val="auto"/>
        </w:rPr>
        <w:t>The $0.1 million tax provision represented the interest accrued for the three months ended March 31,2024 related to the proposed assessment received from the state of California for the years 2017 and 2018.</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As of March 31, 2024, we had cash, cash equivalents and short-term investments of $150.3 million and an accumulated deficit of $709.7 million, compared to cash, cash equivalents and short-term investments of $174.5 million and an accumulated deficit of $723.4 million as of December 31, 2023. To date, we have financed our operations primarily through sales of our common stock in conjunction with the IPO, subsequent stock offerings and through our at-the-market offering, sales of our convertible preferred securities prior to our IPO, payments received under our collaboration agreements and proceeds from private placements of our common stock, warrants and pre-funded warrants. In July 2023, we completed a private placement and issued pre-funded warrants to purchase an aggregate of 14,423,077 shares of common stock, accompanying Tranche 1 warrants to purchase up to 5,769,231 shares of common stock and accompanying Tranche 2 warrants to purchase up to 5,769,231 shares of common stock, at a combined price of $2.08 per share. We received gross proceeds of approximately $30.0 million. In March 2024, we achieved a clinical candidate milestone for a second collaboration target as well as the GLP toxicology studies milestone for the first collaboration target nominated in January 2023 under the Astellas Agreement. We collected the two milestones payment totaled $10.0 million in April 2024. In April 2024, we sold 2,270,608 shares at an average price of $2.20 per share under our at-the-market offering and received net proceeds of approximately $4.8 million after deducting the 3.0% sales commission and related issuance cost.</w:t>
      </w:r>
    </w:p>
    <w:p>
      <w:pPr>
        <w:spacing w:after="0" w:line="2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Based upon our current operating plan, we expect our existing capital resources will be sufficient to fund operations to the end of 2025.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w:t>
      </w:r>
    </w:p>
    <w:p>
      <w:pPr>
        <w:sectPr>
          <w:pgSz w:w="11900" w:h="16838" w:orient="portrait"/>
          <w:cols w:equalWidth="0" w:num="1">
            <w:col w:w="11240"/>
          </w:cols>
          <w:pgMar w:left="320" w:top="76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Factors” in this Quarterly Report on Form 10-Q.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if they are successful, that the terms and conditions of such financing will be favorable to us.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Statement of Cash Flows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74"/>
        </w:trPr>
        <w:tc>
          <w:tcPr>
            <w:tcW w:w="5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6"/>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8"/>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69"/>
              <w:spacing w:after="0"/>
              <w:rPr>
                <w:sz w:val="20"/>
                <w:szCs w:val="20"/>
                <w:color w:val="auto"/>
              </w:rPr>
            </w:pPr>
            <w:r>
              <w:rPr>
                <w:rFonts w:ascii="Times New Roman" w:cs="Times New Roman" w:eastAsia="Times New Roman" w:hAnsi="Times New Roman"/>
                <w:sz w:val="18"/>
                <w:szCs w:val="18"/>
                <w:color w:val="auto"/>
              </w:rPr>
              <w:t>(26,045 )</w:t>
            </w:r>
          </w:p>
        </w:tc>
        <w:tc>
          <w:tcPr>
            <w:tcW w:w="340" w:type="dxa"/>
            <w:vAlign w:val="bottom"/>
            <w:shd w:val="clear" w:color="auto" w:fill="CFF0FC"/>
          </w:tcPr>
          <w:p>
            <w:pPr>
              <w:jc w:val="center"/>
              <w:ind w:right="1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(146,642 )</w:t>
            </w:r>
          </w:p>
        </w:tc>
        <w:tc>
          <w:tcPr>
            <w:tcW w:w="20" w:type="dxa"/>
            <w:vAlign w:val="bottom"/>
          </w:tcPr>
          <w:p>
            <w:pPr>
              <w:spacing w:after="0"/>
              <w:rPr>
                <w:sz w:val="20"/>
                <w:szCs w:val="20"/>
                <w:color w:val="auto"/>
              </w:rPr>
            </w:pPr>
          </w:p>
        </w:tc>
      </w:tr>
      <w:tr>
        <w:trPr>
          <w:trHeight w:val="241"/>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220" w:type="dxa"/>
            <w:vAlign w:val="bottom"/>
          </w:tcPr>
          <w:p>
            <w:pPr>
              <w:spacing w:after="0"/>
              <w:rPr>
                <w:sz w:val="20"/>
                <w:szCs w:val="20"/>
                <w:color w:val="auto"/>
              </w:rPr>
            </w:pPr>
          </w:p>
        </w:tc>
        <w:tc>
          <w:tcPr>
            <w:tcW w:w="3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(137,293 )</w:t>
            </w:r>
          </w:p>
        </w:tc>
        <w:tc>
          <w:tcPr>
            <w:tcW w:w="2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-186690</wp:posOffset>
            </wp:positionV>
            <wp:extent cx="508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-186690</wp:posOffset>
            </wp:positionV>
            <wp:extent cx="425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cash used in operating activities was $26.0 million, which consisted of a net income of $13.8 million and non-cash charges of $1.5 million, adjusted by a net decrease of $41.3 million relating to the change of our net operating assets and liabilities. The non-cash charges primarily consisted of $1.9 million in stock-based compensation, $1.0 million in non-cash lease expense, $0.5 million in depreciation and amortization, partially offset by $1.9 million in accretion of discounts on investments.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our net operating assets and liabilities was primarily due to:</w:t>
      </w:r>
    </w:p>
    <w:p>
      <w:pPr>
        <w:spacing w:after="0" w:line="115"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of $28.9 million in deferred revenue resulting from the continued recognition of deferred revenue from existing customers;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$3.9 million in accounts payable, accrued and other long-term liabilities primarily due to timing of payments;</w:t>
      </w:r>
    </w:p>
    <w:p>
      <w:pPr>
        <w:spacing w:after="0" w:line="114" w:lineRule="exact"/>
        <w:rPr>
          <w:rFonts w:ascii="Times New Roman" w:cs="Times New Roman" w:eastAsia="Times New Roman" w:hAnsi="Times New Roman"/>
          <w:sz w:val="18"/>
          <w:szCs w:val="18"/>
          <w:color w:val="auto"/>
        </w:rPr>
      </w:pPr>
    </w:p>
    <w:p>
      <w:pPr>
        <w:ind w:left="1020" w:hanging="503"/>
        <w:spacing w:after="0" w:line="263"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$9.7 million in cashflows from accounts receivable primarily related to the $10.0 million milestones receivable in the current quarter for the second clinical candidate nomination and the initiation of GLP toxicology study for the first nominated clinical candidate under the Astellas Agreement; offset by</w:t>
      </w:r>
    </w:p>
    <w:p>
      <w:pPr>
        <w:spacing w:after="0" w:line="70" w:lineRule="exact"/>
        <w:rPr>
          <w:rFonts w:ascii="Times New Roman" w:cs="Times New Roman" w:eastAsia="Times New Roman" w:hAnsi="Times New Roman"/>
          <w:sz w:val="18"/>
          <w:szCs w:val="18"/>
          <w:color w:val="auto"/>
        </w:rPr>
      </w:pPr>
    </w:p>
    <w:p>
      <w:pPr>
        <w:ind w:left="1020" w:right="240" w:hanging="503"/>
        <w:spacing w:after="0" w:line="279"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$1.2 million in cashflows from prepaid and other current assets primarily due to decrease in advance payments due to timing of payment.</w:t>
      </w:r>
    </w:p>
    <w:p>
      <w:pPr>
        <w:spacing w:after="0" w:line="26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2023, cash provided by operating activities was $9.4 million, which consisted of a net loss of $3.3 million, adjusted by non-cash charges of $2.4 million and a net increase of $10.3 million relating to the change of our net operating assets and liabilities. The non-cash charges primarily consisted of $2.4 million in stock-based compensation, $0.9 million in non-cash lease expense, $0.6 million in depreciation and amortization, partially offset by $1.5 million in accretion of discounts on investments.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our net operating assets and liabilities was primarily due to:</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29" w:name="page30"/>
    <w:bookmarkEnd w:id="2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right="480" w:hanging="503"/>
        <w:spacing w:after="0" w:line="27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of $17.4 million in deferred revenue resulting from the continued recognition of deferred revenue from existing and new customers;</w:t>
      </w:r>
    </w:p>
    <w:p>
      <w:pPr>
        <w:spacing w:after="0" w:line="54" w:lineRule="exact"/>
        <w:rPr>
          <w:rFonts w:ascii="Times New Roman" w:cs="Times New Roman" w:eastAsia="Times New Roman" w:hAnsi="Times New Roman"/>
          <w:sz w:val="18"/>
          <w:szCs w:val="18"/>
          <w:color w:val="auto"/>
        </w:rPr>
      </w:pPr>
    </w:p>
    <w:p>
      <w:pPr>
        <w:ind w:left="1020" w:right="180" w:hanging="503"/>
        <w:spacing w:after="0" w:line="27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$8.0 million in accounts payable, accrued and other long-term liabilities primarily due to decrease of payroll-related expenses and restructuring related expenses as well as timing of other payments; offset by</w:t>
      </w:r>
    </w:p>
    <w:p>
      <w:pPr>
        <w:spacing w:after="0" w:line="54" w:lineRule="exact"/>
        <w:rPr>
          <w:rFonts w:ascii="Times New Roman" w:cs="Times New Roman" w:eastAsia="Times New Roman" w:hAnsi="Times New Roman"/>
          <w:sz w:val="18"/>
          <w:szCs w:val="18"/>
          <w:color w:val="auto"/>
        </w:rPr>
      </w:pPr>
    </w:p>
    <w:p>
      <w:pPr>
        <w:ind w:left="1020" w:right="100" w:hanging="503"/>
        <w:spacing w:after="0" w:line="27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$34.9 million in cash flows from accounts receivable primarily related to the receipt of the $35.0 million upfront payment and prepaid research under the Moderna agreement entered into in December 2022.</w:t>
      </w:r>
    </w:p>
    <w:p>
      <w:pPr>
        <w:spacing w:after="0" w:line="54" w:lineRule="exact"/>
        <w:rPr>
          <w:rFonts w:ascii="Times New Roman" w:cs="Times New Roman" w:eastAsia="Times New Roman" w:hAnsi="Times New Roman"/>
          <w:sz w:val="18"/>
          <w:szCs w:val="18"/>
          <w:color w:val="auto"/>
        </w:rPr>
      </w:pPr>
    </w:p>
    <w:p>
      <w:pPr>
        <w:ind w:left="1020" w:right="200" w:hanging="503"/>
        <w:spacing w:after="0" w:line="27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increase $0.8 million in cashflows from prepaid and other current assets primarily due to decrease in advance payments to our third party manufacturing vendors and timing of payments.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7"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8"/>
          <w:szCs w:val="18"/>
          <w:color w:val="auto"/>
        </w:rPr>
        <w:t>During the three months ended March 31, 2024, cash provided by investing activities was $44.9 million consisted of $45.0 million of proceeds from the maturities of short-term investments partially offset by $0.1 million of capital expenditures used to purchase property and equipment.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2023, cash used in investing activities was $146.6 million used to purchase short-term investments.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7"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8"/>
          <w:szCs w:val="18"/>
          <w:color w:val="auto"/>
        </w:rPr>
        <w:t>During the three months ended March 31, 2024, cash provided by financing activities was $0.2 million consisted of proceeds from the exercise of stock options.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2023, there were no financing activities.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3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During the three months ended March 31, 2024, there were no material changes in contractual obligations from the amounts disclosed in our Annual Report on Form 10-K for the year ended December 31, 2023.</w:t>
      </w:r>
    </w:p>
    <w:p>
      <w:pPr>
        <w:spacing w:after="0" w:line="3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761" w:right="41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Principal Financial Officers, has evaluated the effectiveness of our disclosure controls and procedures as of March 31, 2024, the end of the period covered by this Quarterly Report on Form 10-Q. Based on their evaluation and subject to the foregoing, the Principal Executive and Principal Financial Officers concluded that our disclosure controls and procedures were effective at the reasonable assurance level as of March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19" w:lineRule="exact"/>
        <w:rPr>
          <w:sz w:val="20"/>
          <w:szCs w:val="20"/>
          <w:color w:val="auto"/>
        </w:rPr>
      </w:pPr>
    </w:p>
    <w:p>
      <w:pPr>
        <w:jc w:val="both"/>
        <w:ind w:right="280"/>
        <w:spacing w:after="0" w:line="263"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our fiscal quarter ended March 31, 2024 that has materially affected, or is reasonably likely to materially affect, our internal control over financial reporting.</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8"/>
          <w:szCs w:val="18"/>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20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March 4, 2020, Vytacera Bio, LLC filed a patent infringement lawsuit against us in the U.S. District Court for the District of Delaware. The lawsuit alleges that our use, offers to sell, and/or sales of the PROBODY® technology platform for basic research applications constitutes infringement. The complaint seeks unspecified monetary damages. In September 2022, we filed a motion to dismiss the case and the Court granted the parties’ stipulation to stay all pending case deadlines until that motion is finally resolved. On October 30, 2023, Magistrate Judge Burke issued a Report &amp; Recommendation that recommended granting CytomX’s motion to dismiss all counts of the complaint. In January 2024, the case was transferred to a new Judge and the case will remain stayed pending a ruling by the trial judge on the Magistrate’s Report &amp; Recommendation.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providing the following summary of risk factors contained in this Quarterly Report on Form 10-Q to enhance the readability and accessibility of our risk factor disclosures in accordance with SEC rules. Please carefully review the full risk factors pertaining to this summary and to additional general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spacing w:after="0" w:line="75"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and have not generated any revenue from product sales.</w:t>
      </w:r>
    </w:p>
    <w:p>
      <w:pPr>
        <w:spacing w:after="0" w:line="114" w:lineRule="exact"/>
        <w:rPr>
          <w:rFonts w:ascii="Times New Roman" w:cs="Times New Roman" w:eastAsia="Times New Roman" w:hAnsi="Times New Roman"/>
          <w:sz w:val="18"/>
          <w:szCs w:val="18"/>
          <w:color w:val="auto"/>
        </w:rPr>
      </w:pPr>
    </w:p>
    <w:p>
      <w:pPr>
        <w:ind w:left="1020" w:right="140" w:hanging="504"/>
        <w:spacing w:after="0" w:line="27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will need to raise substantial additional funds to advance development of our product candidates and we cannot guarantee that this additional funding will be available on acceptable terms or at all.</w:t>
      </w:r>
    </w:p>
    <w:p>
      <w:pPr>
        <w:spacing w:after="0" w:line="54" w:lineRule="exact"/>
        <w:rPr>
          <w:rFonts w:ascii="Times New Roman" w:cs="Times New Roman" w:eastAsia="Times New Roman" w:hAnsi="Times New Roman"/>
          <w:sz w:val="18"/>
          <w:szCs w:val="18"/>
          <w:color w:val="auto"/>
        </w:rPr>
      </w:pPr>
    </w:p>
    <w:p>
      <w:pPr>
        <w:ind w:left="1020" w:right="80" w:hanging="504"/>
        <w:spacing w:after="0" w:line="27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involves a lengthy and expensive process with an uncertain outcome, and results of earlier studies and trials may not be predictive of future trial results.</w:t>
      </w:r>
    </w:p>
    <w:p>
      <w:pPr>
        <w:spacing w:after="0" w:line="54" w:lineRule="exact"/>
        <w:rPr>
          <w:rFonts w:ascii="Times New Roman" w:cs="Times New Roman" w:eastAsia="Times New Roman" w:hAnsi="Times New Roman"/>
          <w:sz w:val="18"/>
          <w:szCs w:val="18"/>
          <w:color w:val="auto"/>
        </w:rPr>
      </w:pPr>
    </w:p>
    <w:p>
      <w:pPr>
        <w:ind w:left="1020" w:right="120" w:hanging="504"/>
        <w:spacing w:after="0" w:line="27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early stages of development and may fail or suffer delays that materially and adversely affect their commercial viability.</w:t>
      </w:r>
    </w:p>
    <w:p>
      <w:pPr>
        <w:spacing w:after="0" w:line="54" w:lineRule="exact"/>
        <w:rPr>
          <w:rFonts w:ascii="Times New Roman" w:cs="Times New Roman" w:eastAsia="Times New Roman" w:hAnsi="Times New Roman"/>
          <w:sz w:val="18"/>
          <w:szCs w:val="18"/>
          <w:color w:val="auto"/>
        </w:rPr>
      </w:pPr>
    </w:p>
    <w:p>
      <w:pPr>
        <w:ind w:left="1020" w:right="80" w:hanging="504"/>
        <w:spacing w:after="0" w:line="263"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initial and preliminary data from our clinical trials, including the ongoing Phase 1 clinical trial of CX-904, that we announce or publish from time to time may change as more patient data become available and are subject to audit and verification procedures that could result in material changes in the final data.</w:t>
      </w:r>
    </w:p>
    <w:p>
      <w:pPr>
        <w:spacing w:after="0" w:line="70" w:lineRule="exact"/>
        <w:rPr>
          <w:rFonts w:ascii="Times New Roman" w:cs="Times New Roman" w:eastAsia="Times New Roman" w:hAnsi="Times New Roman"/>
          <w:sz w:val="18"/>
          <w:szCs w:val="18"/>
          <w:color w:val="auto"/>
        </w:rPr>
      </w:pPr>
    </w:p>
    <w:p>
      <w:pPr>
        <w:ind w:left="1020" w:right="20" w:hanging="504"/>
        <w:spacing w:after="0" w:line="263"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0" w:lineRule="exact"/>
        <w:rPr>
          <w:rFonts w:ascii="Times New Roman" w:cs="Times New Roman" w:eastAsia="Times New Roman" w:hAnsi="Times New Roman"/>
          <w:sz w:val="18"/>
          <w:szCs w:val="18"/>
          <w:color w:val="auto"/>
        </w:rPr>
      </w:pPr>
    </w:p>
    <w:p>
      <w:pPr>
        <w:ind w:left="1020" w:right="320" w:hanging="504"/>
        <w:spacing w:after="0" w:line="27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4" w:lineRule="exact"/>
        <w:rPr>
          <w:rFonts w:ascii="Times New Roman" w:cs="Times New Roman" w:eastAsia="Times New Roman" w:hAnsi="Times New Roman"/>
          <w:sz w:val="18"/>
          <w:szCs w:val="18"/>
          <w:color w:val="auto"/>
        </w:rPr>
      </w:pPr>
    </w:p>
    <w:p>
      <w:pPr>
        <w:ind w:left="1020" w:right="140" w:hanging="504"/>
        <w:spacing w:after="0" w:line="27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conducting and will continue to conduct clinical trials and will contract with third-party manufacturers in foreign countries, including China, which could expose us to risks that could have a material adverse effect on the success of our business.</w:t>
      </w:r>
    </w:p>
    <w:p>
      <w:pPr>
        <w:spacing w:after="0" w:line="54" w:lineRule="exact"/>
        <w:rPr>
          <w:rFonts w:ascii="Times New Roman" w:cs="Times New Roman" w:eastAsia="Times New Roman" w:hAnsi="Times New Roman"/>
          <w:sz w:val="18"/>
          <w:szCs w:val="18"/>
          <w:color w:val="auto"/>
        </w:rPr>
      </w:pPr>
    </w:p>
    <w:p>
      <w:pPr>
        <w:ind w:left="1020" w:right="140" w:hanging="504"/>
        <w:spacing w:after="0" w:line="263"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0" w:lineRule="exact"/>
        <w:rPr>
          <w:rFonts w:ascii="Times New Roman" w:cs="Times New Roman" w:eastAsia="Times New Roman" w:hAnsi="Times New Roman"/>
          <w:sz w:val="18"/>
          <w:szCs w:val="18"/>
          <w:color w:val="auto"/>
        </w:rPr>
      </w:pPr>
    </w:p>
    <w:p>
      <w:pPr>
        <w:ind w:left="1020" w:right="280" w:hanging="504"/>
        <w:spacing w:after="0" w:line="27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54" w:lineRule="exact"/>
        <w:rPr>
          <w:rFonts w:ascii="Times New Roman" w:cs="Times New Roman" w:eastAsia="Times New Roman" w:hAnsi="Times New Roman"/>
          <w:sz w:val="18"/>
          <w:szCs w:val="18"/>
          <w:color w:val="auto"/>
        </w:rPr>
      </w:pPr>
    </w:p>
    <w:p>
      <w:pPr>
        <w:ind w:left="1020" w:right="280" w:hanging="504"/>
        <w:spacing w:after="0" w:line="27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32" w:name="page33"/>
    <w:bookmarkEnd w:id="3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right="480"/>
        <w:spacing w:after="0" w:line="279" w:lineRule="auto"/>
        <w:rPr>
          <w:sz w:val="20"/>
          <w:szCs w:val="20"/>
          <w:color w:val="auto"/>
        </w:rPr>
      </w:pPr>
      <w:r>
        <w:rPr>
          <w:rFonts w:ascii="Times New Roman" w:cs="Times New Roman" w:eastAsia="Times New Roman" w:hAnsi="Times New Roman"/>
          <w:sz w:val="18"/>
          <w:szCs w:val="18"/>
          <w:color w:val="auto"/>
        </w:rPr>
        <w:t>deadlines, our development programs could be delayed with material and adverse effects on our business, financial condition, results of operations and prospects.</w:t>
      </w:r>
    </w:p>
    <w:p>
      <w:pPr>
        <w:spacing w:after="0" w:line="55" w:lineRule="exact"/>
        <w:rPr>
          <w:sz w:val="20"/>
          <w:szCs w:val="20"/>
          <w:color w:val="auto"/>
        </w:rPr>
      </w:pPr>
    </w:p>
    <w:p>
      <w:pPr>
        <w:ind w:left="1020" w:right="180" w:hanging="504"/>
        <w:spacing w:after="0" w:line="27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our therapeutic treatments is based on novel technologies that are unproven and may not result in marketable products.</w:t>
      </w:r>
    </w:p>
    <w:p>
      <w:pPr>
        <w:spacing w:after="0" w:line="54" w:lineRule="exact"/>
        <w:rPr>
          <w:rFonts w:ascii="Times New Roman" w:cs="Times New Roman" w:eastAsia="Times New Roman" w:hAnsi="Times New Roman"/>
          <w:sz w:val="18"/>
          <w:szCs w:val="18"/>
          <w:color w:val="auto"/>
        </w:rPr>
      </w:pPr>
    </w:p>
    <w:p>
      <w:pPr>
        <w:ind w:left="1020" w:right="560" w:hanging="504"/>
        <w:spacing w:after="0" w:line="27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may not be receptive to our product candidates based on a novel therapeutic modality, and we may not generate any future revenue from the sale or licensing of product candidates.</w:t>
      </w:r>
    </w:p>
    <w:p>
      <w:pPr>
        <w:spacing w:after="0" w:line="54" w:lineRule="exact"/>
        <w:rPr>
          <w:rFonts w:ascii="Times New Roman" w:cs="Times New Roman" w:eastAsia="Times New Roman" w:hAnsi="Times New Roman"/>
          <w:sz w:val="18"/>
          <w:szCs w:val="18"/>
          <w:color w:val="auto"/>
        </w:rPr>
      </w:pPr>
    </w:p>
    <w:p>
      <w:pPr>
        <w:ind w:left="1020" w:right="100" w:hanging="504"/>
        <w:spacing w:after="0" w:line="263"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70" w:lineRule="exact"/>
        <w:rPr>
          <w:rFonts w:ascii="Times New Roman" w:cs="Times New Roman" w:eastAsia="Times New Roman" w:hAnsi="Times New Roman"/>
          <w:sz w:val="18"/>
          <w:szCs w:val="18"/>
          <w:color w:val="auto"/>
        </w:rPr>
      </w:pPr>
    </w:p>
    <w:p>
      <w:pPr>
        <w:ind w:left="1020" w:right="620" w:hanging="504"/>
        <w:spacing w:after="0" w:line="263"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70" w:lineRule="exact"/>
        <w:rPr>
          <w:rFonts w:ascii="Times New Roman" w:cs="Times New Roman" w:eastAsia="Times New Roman" w:hAnsi="Times New Roman"/>
          <w:sz w:val="18"/>
          <w:szCs w:val="18"/>
          <w:color w:val="auto"/>
        </w:rPr>
      </w:pPr>
    </w:p>
    <w:p>
      <w:pPr>
        <w:ind w:left="1020" w:right="1300" w:hanging="504"/>
        <w:spacing w:after="0" w:line="309"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do not achieve our projected development and commercialization goals in the timeframes we announce and expect the commercialization of any of our product candidates may be delayed, or never attained, and our business will be harmed.</w:t>
      </w:r>
    </w:p>
    <w:p>
      <w:pPr>
        <w:spacing w:after="0" w:line="32" w:lineRule="exact"/>
        <w:rPr>
          <w:rFonts w:ascii="Times New Roman" w:cs="Times New Roman" w:eastAsia="Times New Roman" w:hAnsi="Times New Roman"/>
          <w:sz w:val="17"/>
          <w:szCs w:val="17"/>
          <w:color w:val="auto"/>
        </w:rPr>
      </w:pPr>
    </w:p>
    <w:p>
      <w:pPr>
        <w:ind w:left="1020" w:hanging="504"/>
        <w:spacing w:after="0" w:line="263"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70" w:lineRule="exact"/>
        <w:rPr>
          <w:rFonts w:ascii="Times New Roman" w:cs="Times New Roman" w:eastAsia="Times New Roman" w:hAnsi="Times New Roman"/>
          <w:sz w:val="18"/>
          <w:szCs w:val="18"/>
          <w:color w:val="auto"/>
        </w:rPr>
      </w:pPr>
    </w:p>
    <w:p>
      <w:pPr>
        <w:ind w:left="1020" w:right="140" w:hanging="504"/>
        <w:spacing w:after="0" w:line="27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54" w:lineRule="exact"/>
        <w:rPr>
          <w:rFonts w:ascii="Times New Roman" w:cs="Times New Roman" w:eastAsia="Times New Roman" w:hAnsi="Times New Roman"/>
          <w:sz w:val="18"/>
          <w:szCs w:val="18"/>
          <w:color w:val="auto"/>
        </w:rPr>
      </w:pPr>
    </w:p>
    <w:p>
      <w:pPr>
        <w:ind w:left="1020" w:right="120" w:hanging="504"/>
        <w:spacing w:after="0" w:line="263"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70" w:lineRule="exact"/>
        <w:rPr>
          <w:rFonts w:ascii="Times New Roman" w:cs="Times New Roman" w:eastAsia="Times New Roman" w:hAnsi="Times New Roman"/>
          <w:sz w:val="18"/>
          <w:szCs w:val="18"/>
          <w:color w:val="auto"/>
        </w:rPr>
      </w:pPr>
    </w:p>
    <w:p>
      <w:pPr>
        <w:ind w:left="1020" w:right="300" w:hanging="504"/>
        <w:spacing w:after="0" w:line="309"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spacing w:after="0" w:line="32"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and purchasers of our common stock could incur substantial losses.</w:t>
      </w:r>
    </w:p>
    <w:p>
      <w:pPr>
        <w:spacing w:after="0" w:line="114" w:lineRule="exact"/>
        <w:rPr>
          <w:rFonts w:ascii="Times New Roman" w:cs="Times New Roman" w:eastAsia="Times New Roman" w:hAnsi="Times New Roman"/>
          <w:sz w:val="18"/>
          <w:szCs w:val="18"/>
          <w:color w:val="auto"/>
        </w:rPr>
      </w:pPr>
    </w:p>
    <w:p>
      <w:pPr>
        <w:ind w:left="1020" w:right="160" w:hanging="504"/>
        <w:spacing w:after="0" w:line="27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pandemic could adversely impact our business, including our research, development, including clinical trials, manufacturing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3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developing a novel class of therapeutic antibody product candidates, based on our proprietary biologic PROBODY® conditionally activated technology platform. Since our inception, we have devoted our resources to the development of PROBODY therapeutics. We have had significant operating losses since our inception. As of March 31, 2024 and December 31, 2023, we had an accumulated deficit of $709.7 million and $723.4 million, respectively. Substantially all of our losses have resulted from expenses incurred in connection with our research and development programs and from general and administrative costs associated with our operations.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2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over time as we continue the development of our pipeline and advance additional programs into clinical development.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18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 However, financial market conditions, including the public equity markets, and government regulation, including the Inflation Reduction Act of 2022, signed into law by President Biden in August 2022, have made it difficult for biotechnology companies to raise additional funds and may continue to do so. We cannot predict when or if market conditions will change.</w:t>
      </w:r>
    </w:p>
    <w:p>
      <w:pPr>
        <w:spacing w:after="0" w:line="21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As of March 31, 2024, we had cash, cash equivalents and investments of $150.3 million. We believe that our existing capital resources will be sufficient to fund our planned operations to the end of 2025. Our future capital requirements and the period for which we expect our existing resources to support our operations may vary significantly from what we expect and we may not achieve the expected cash flow savings that we anticipate as a result of our recent restructuring. Our monthly spending levels vary based on our ongoing clinical trials, new and ongoing research and development and other corporate activities.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5" w:lineRule="exact"/>
        <w:rPr>
          <w:sz w:val="20"/>
          <w:szCs w:val="20"/>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progress of our ongoing clinical trials as well as any other preclinical and clinical development activities;</w:t>
      </w:r>
    </w:p>
    <w:p>
      <w:pPr>
        <w:spacing w:after="0" w:line="114" w:lineRule="exact"/>
        <w:rPr>
          <w:rFonts w:ascii="Times New Roman" w:cs="Times New Roman" w:eastAsia="Times New Roman" w:hAnsi="Times New Roman"/>
          <w:sz w:val="18"/>
          <w:szCs w:val="18"/>
          <w:color w:val="auto"/>
        </w:rPr>
      </w:pPr>
    </w:p>
    <w:p>
      <w:pPr>
        <w:ind w:left="1020" w:right="220" w:hanging="504"/>
        <w:spacing w:after="0" w:line="279"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type of clinical trials and preclinical studies that we may be required to complete for our product candidates, as well as the cost and time of such studies and trials;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scope and prioritization of preclinical and clinical programs we decide to pursue;</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produce clinical supplies of our product candidates;</w:t>
      </w:r>
    </w:p>
    <w:p>
      <w:pPr>
        <w:spacing w:after="0" w:line="114" w:lineRule="exact"/>
        <w:rPr>
          <w:rFonts w:ascii="Times New Roman" w:cs="Times New Roman" w:eastAsia="Times New Roman" w:hAnsi="Times New Roman"/>
          <w:sz w:val="18"/>
          <w:szCs w:val="18"/>
          <w:color w:val="auto"/>
        </w:rPr>
      </w:pPr>
    </w:p>
    <w:p>
      <w:pPr>
        <w:ind w:left="1020" w:right="280" w:hanging="504"/>
        <w:spacing w:after="0" w:line="279"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scale our manufacturing capabilities prior to or following regulatory approval and commercial launch of any product candidates;</w:t>
      </w:r>
    </w:p>
    <w:p>
      <w:pPr>
        <w:spacing w:after="0" w:line="54" w:lineRule="exact"/>
        <w:rPr>
          <w:rFonts w:ascii="Times New Roman" w:cs="Times New Roman" w:eastAsia="Times New Roman" w:hAnsi="Times New Roman"/>
          <w:sz w:val="18"/>
          <w:szCs w:val="18"/>
          <w:color w:val="auto"/>
        </w:rPr>
      </w:pPr>
    </w:p>
    <w:p>
      <w:pPr>
        <w:ind w:left="1020" w:right="160" w:hanging="504"/>
        <w:spacing w:after="0" w:line="279"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have entered or may in the future enter into collaborations and research and development agreements;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payments we may receive or are obligated to pay under our collaboration agreements and license agreements;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and research and development programs and to establish new collaboration arrangements;</w:t>
      </w:r>
    </w:p>
    <w:p>
      <w:pPr>
        <w:spacing w:after="0" w:line="114" w:lineRule="exact"/>
        <w:rPr>
          <w:rFonts w:ascii="Times New Roman" w:cs="Times New Roman" w:eastAsia="Times New Roman" w:hAnsi="Times New Roman"/>
          <w:sz w:val="18"/>
          <w:szCs w:val="18"/>
          <w:color w:val="auto"/>
        </w:rPr>
      </w:pPr>
    </w:p>
    <w:p>
      <w:pPr>
        <w:ind w:left="1020" w:right="520" w:hanging="504"/>
        <w:spacing w:after="0" w:line="279"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 including the ongoing patent infringement lawsuit brought by Vytacera against us;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existing or future litigation to which we are or may become a party;</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4" w:lineRule="exact"/>
        <w:rPr>
          <w:rFonts w:ascii="Times New Roman" w:cs="Times New Roman" w:eastAsia="Times New Roman" w:hAnsi="Times New Roman"/>
          <w:sz w:val="18"/>
          <w:szCs w:val="18"/>
          <w:color w:val="auto"/>
        </w:rPr>
      </w:pPr>
    </w:p>
    <w:p>
      <w:pPr>
        <w:ind w:left="1020" w:right="160" w:hanging="504"/>
        <w:spacing w:after="0" w:line="279"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For example, in November 2023, we announced that we would not direct significant further investment in the development of CX-2029 in the near-term.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w:t>
      </w:r>
    </w:p>
    <w:p>
      <w:pPr>
        <w:spacing w:after="0" w:line="18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To date, we have financed our operations primarily through sales of our common stock, sale of our convertible preferred securities prior to our IPO, payments received under our collaboration agreements, including, more recently, the collaboration and license agreements that we entered into with each of Regeneron and Moderna in November and December 2022, respectively, and funding we received in a private placement of our common stock, warrants and pre-funded warrants in July 2023.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Additionally, our stock price has declined and our ability to raise adequate funding through equity offerings, if at all, may be limited. Additional funds may not be available to us on acceptable terms or at all. Further, we currently have a limited number of authorized shares of common stock available for issuance in future financings and we will be limited in our ability to issue additional shares of our common stock without obtaining the approval of our stockholders for an increase to the number of shares of authorized common stock. Although we have filed a proxy statement containing a proposal to amend our Amended and Restated Certificate of Incorporation to increase the number of shares of authorized common stock from 150,000,000 to 300,000,000, which would increase the number of shares of common stock remaining for issuance, and intend to seek our stockholders’ approval of that proposal at our annual meeting of stockholders, which we expect will be held on May 15, 2024, there can be no assurance that such approval will be granted. If we raise additional funds by issuing equity securities, our stockholders will suffer dilution and the terms of any financing may adversely affect the rights of our stockholders. For example, when we issue shares of common stock upon exercise of the pre-funded warrants, Tranche 1 warrants and Tranche 2 warrants (collectively, the Tranche 1 warrants and Tranche 2 warrants, the “Tranche Warrants”) issued in our July 2023 private placement, our existing stockholders will suffer dilution and such dilutive impact may be difficult to compute.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initial clinical trials for future programs is subject to finalizing the trial design and submission of an IND or similar submission to the FDA or similar global health authorities. In addition, even if we submit an IND or a comparable submission in other jurisdictions for our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7"/>
          <w:szCs w:val="17"/>
          <w:color w:val="auto"/>
        </w:rPr>
        <w:t>commencement of clinical trials and may delay our ability to begin Phase 1 clinical trials,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18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64" w:lineRule="exact"/>
        <w:rPr>
          <w:sz w:val="20"/>
          <w:szCs w:val="20"/>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validating any companion diagnostic to be used in a clinical trial;</w:t>
      </w:r>
    </w:p>
    <w:p>
      <w:pPr>
        <w:spacing w:after="0" w:line="114" w:lineRule="exact"/>
        <w:rPr>
          <w:rFonts w:ascii="Times New Roman" w:cs="Times New Roman" w:eastAsia="Times New Roman" w:hAnsi="Times New Roman"/>
          <w:sz w:val="18"/>
          <w:szCs w:val="18"/>
          <w:color w:val="auto"/>
        </w:rPr>
      </w:pPr>
    </w:p>
    <w:p>
      <w:pPr>
        <w:ind w:left="1020" w:right="60" w:hanging="504"/>
        <w:spacing w:after="0" w:line="279"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requiring us to submit additional data or imposing other requirements before permitting us to initiate a clinical trial;</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authority clearance to commence a clinical trial;</w:t>
      </w:r>
    </w:p>
    <w:p>
      <w:pPr>
        <w:spacing w:after="0" w:line="114" w:lineRule="exact"/>
        <w:rPr>
          <w:rFonts w:ascii="Times New Roman" w:cs="Times New Roman" w:eastAsia="Times New Roman" w:hAnsi="Times New Roman"/>
          <w:sz w:val="18"/>
          <w:szCs w:val="18"/>
          <w:color w:val="auto"/>
        </w:rPr>
      </w:pPr>
    </w:p>
    <w:p>
      <w:pPr>
        <w:ind w:left="1020" w:right="180" w:hanging="504"/>
        <w:spacing w:after="0" w:line="279"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(“IRB”) approval at each clinical trial site;</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our product candidates in sufficient quality and quantity for use in clinical trials; or</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electing to not pursue development and commercialization of our product candidates.</w:t>
      </w:r>
    </w:p>
    <w:p>
      <w:pPr>
        <w:spacing w:after="0" w:line="2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1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very early in our development efforts, including with CX-904 and CX-2051 currently continuing in early-stage clinical development. We received clearance to proceed for an IND filed for CX-801, and are in the process of initiating a Phase 1 clinical trial for that product candidate.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purity and potency (or efficacy) of our product candidates in patients.</w:t>
      </w:r>
    </w:p>
    <w:p>
      <w:pPr>
        <w:spacing w:after="0" w:line="214" w:lineRule="exact"/>
        <w:rPr>
          <w:sz w:val="20"/>
          <w:szCs w:val="20"/>
          <w:color w:val="auto"/>
        </w:rPr>
      </w:pPr>
    </w:p>
    <w:p>
      <w:pPr>
        <w:ind w:right="600"/>
        <w:spacing w:after="0" w:line="309" w:lineRule="auto"/>
        <w:rPr>
          <w:sz w:val="20"/>
          <w:szCs w:val="20"/>
          <w:color w:val="auto"/>
        </w:rPr>
      </w:pPr>
      <w:r>
        <w:rPr>
          <w:rFonts w:ascii="Times New Roman" w:cs="Times New Roman" w:eastAsia="Times New Roman" w:hAnsi="Times New Roman"/>
          <w:sz w:val="17"/>
          <w:szCs w:val="17"/>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33" w:lineRule="exact"/>
        <w:rPr>
          <w:sz w:val="20"/>
          <w:szCs w:val="20"/>
          <w:color w:val="auto"/>
        </w:rPr>
      </w:pPr>
    </w:p>
    <w:p>
      <w:pPr>
        <w:ind w:left="1020" w:right="20" w:hanging="504"/>
        <w:spacing w:after="0" w:line="309" w:lineRule="auto"/>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32" w:lineRule="exact"/>
        <w:rPr>
          <w:rFonts w:ascii="Times New Roman" w:cs="Times New Roman" w:eastAsia="Times New Roman" w:hAnsi="Times New Roman"/>
          <w:sz w:val="17"/>
          <w:szCs w:val="17"/>
          <w:color w:val="auto"/>
        </w:rPr>
      </w:pPr>
    </w:p>
    <w:p>
      <w:pPr>
        <w:ind w:left="1020" w:right="400" w:hanging="504"/>
        <w:spacing w:after="0" w:line="279"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right="300" w:hanging="504"/>
        <w:spacing w:after="0" w:line="279"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or allowances from regulators to commence a clinical trial, or a suspension or termination of a clinical trial once commenced;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or design of our clinical trials;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14" w:lineRule="exact"/>
        <w:rPr>
          <w:rFonts w:ascii="Times New Roman" w:cs="Times New Roman" w:eastAsia="Times New Roman" w:hAnsi="Times New Roman"/>
          <w:sz w:val="18"/>
          <w:szCs w:val="18"/>
          <w:color w:val="auto"/>
        </w:rPr>
      </w:pPr>
    </w:p>
    <w:p>
      <w:pPr>
        <w:ind w:left="1020" w:right="800" w:hanging="504"/>
        <w:spacing w:after="0" w:line="279"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components or materials or other supplies necessary for the conduct of our or our collaborators’ clinical trials;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the development or approval of companion diagnostic tests for our product candidates;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manufacturing of our product candidates;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4" w:lineRule="exact"/>
        <w:rPr>
          <w:rFonts w:ascii="Times New Roman" w:cs="Times New Roman" w:eastAsia="Times New Roman" w:hAnsi="Times New Roman"/>
          <w:sz w:val="18"/>
          <w:szCs w:val="18"/>
          <w:color w:val="auto"/>
        </w:rPr>
      </w:pPr>
    </w:p>
    <w:p>
      <w:pPr>
        <w:ind w:left="1020" w:right="20" w:hanging="504"/>
        <w:spacing w:after="0" w:line="279"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54" w:lineRule="exact"/>
        <w:rPr>
          <w:rFonts w:ascii="Times New Roman" w:cs="Times New Roman" w:eastAsia="Times New Roman" w:hAnsi="Times New Roman"/>
          <w:sz w:val="18"/>
          <w:szCs w:val="18"/>
          <w:color w:val="auto"/>
        </w:rPr>
      </w:pPr>
    </w:p>
    <w:p>
      <w:pPr>
        <w:ind w:left="1020" w:right="440" w:hanging="504"/>
        <w:spacing w:after="0" w:line="279"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4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could find that the therapeutics we or our collaborators pursue are not safe, pure, potent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21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For example, in March 2023, AbbVie announced that it would not advance CX-2029 into additional clinical trials and terminated our 2016 CD71 License and Collaboration Agreement for CX-2029. In November 2023, we announced that we would not direct significant further investment in the development of CX-2029 in the near-term. Any similar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8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data from our clinical trials, including the ongoing Phase 1 clinical trial of CX-904, that we announce or publish from time to time may change as more patient data become available and are subject to audit and verification procedures that could result in material changes in the final data.</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May 2024, we disclosed initial data from our ongoing Phase 1a dose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37" w:name="page38"/>
    <w:bookmarkEnd w:id="3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escalation clinical trial of CX-904. The clinical trial continues to enroll patients and we cannot provide any assurance that future data in this Phase 1 clinical trial or any subsequent clinical trials of CX-904 will confirm the early results generated in this ongoing clinical trial.</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top-line, or interim data and final data could significantly harm our business prospects.</w:t>
      </w:r>
    </w:p>
    <w:p>
      <w:pPr>
        <w:spacing w:after="0" w:line="20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including CX-904, CX-2051 and CX-801. In May 2024, we disclosed initial data from our ongoing Phase 1a dose escalation clinical trial for CX-904. There can be no assurance that unexpected adverse events will not occur in our ongoing trials, including the ongoing Phase 1 clinical trial of CX-904,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21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May 2020, we announced that CX-2029 was generally well tolerated at doses up to 3 mg/kg with the most common TRAEs being infusion related reactions, anemia and neutropenia/leukopenia. Grade 3 or greater hematologic TRAEs, anemia and neutropenia, were dose dependent, with anemia being managed with transfusions and supportive care. In January 2023, we announced that the safety results for CX-2029 for the three ongoing expansion cohorts were consistent with previous observations, with no new safety signals identified. The most common TRAEs in 10% or more of patients (All Grade, Grade 3+) were anemia (82.6%, 76.1%), infusion related reactions (70.7%, 3.3%), neutropenia (23.9%, 17.4%), fatigue (17.4%, 1.1%), nausea (13.0%, 1.1%), and diarrhea (10.9%, 0%). There was 1 febrile neutropenia event (Grade 3) reported. In March 2023, our collaboration partner, AbbVie decided to not advance CX-2029 into additional clinical studies and terminated the 2016 CD71 License and Collaboration Agreement. CytomX re-acquired full rights to CX-2029, however, in the fourth quarter of 2023, the Company decided to not to make any further significant investments in the solid tumor CX-2029 program in the near-term, but continues to have a strategic interest in the CD71 target, including next-generation approaches.</w:t>
      </w:r>
    </w:p>
    <w:p>
      <w:pPr>
        <w:spacing w:after="0" w:line="2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2022 we initiated a first-in-human Phase 1 clinical trial with CX-904 and, while we believe our preclinical studies indicate the potential to reach a favorable therapeutic index, clinical data will be necessary to specify an acceptable dose. We cannot provide assurance that we will reach an acceptable dose for CX-904 or for CX-2051 and CX-801. Furthermore, any ongoing or future clinical trials of our product candidates, including those for CX-904, CX-2029, CX-2051 and CX-801, could face risks related to undesirable side effects, including unacceptable toxicity.</w:t>
      </w:r>
    </w:p>
    <w:p>
      <w:pPr>
        <w:spacing w:after="0" w:line="2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In addition, any occurrences of side effects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6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0" w:lineRule="exact"/>
        <w:rPr>
          <w:sz w:val="20"/>
          <w:szCs w:val="20"/>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required to recall the product or change the way the product is administered to patients;</w:t>
      </w:r>
    </w:p>
    <w:p>
      <w:pPr>
        <w:spacing w:after="0" w:line="114" w:lineRule="exact"/>
        <w:rPr>
          <w:rFonts w:ascii="Times New Roman" w:cs="Times New Roman" w:eastAsia="Times New Roman" w:hAnsi="Times New Roman"/>
          <w:sz w:val="18"/>
          <w:szCs w:val="18"/>
          <w:color w:val="auto"/>
        </w:rPr>
      </w:pPr>
    </w:p>
    <w:p>
      <w:pPr>
        <w:ind w:left="1020" w:right="540" w:hanging="504"/>
        <w:spacing w:after="0" w:line="279"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4" w:lineRule="exact"/>
        <w:rPr>
          <w:rFonts w:ascii="Times New Roman" w:cs="Times New Roman" w:eastAsia="Times New Roman" w:hAnsi="Times New Roman"/>
          <w:sz w:val="18"/>
          <w:szCs w:val="18"/>
          <w:color w:val="auto"/>
        </w:rPr>
      </w:pPr>
    </w:p>
    <w:p>
      <w:pPr>
        <w:ind w:left="1020" w:right="600" w:hanging="504"/>
        <w:spacing w:after="0" w:line="279"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to conduct post-marketing studies;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4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77"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173" w:lineRule="exact"/>
        <w:rPr>
          <w:sz w:val="20"/>
          <w:szCs w:val="20"/>
          <w:color w:val="auto"/>
        </w:rPr>
      </w:pPr>
    </w:p>
    <w:p>
      <w:pPr>
        <w:jc w:val="both"/>
        <w:ind w:right="2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70" w:lineRule="exact"/>
        <w:rPr>
          <w:sz w:val="20"/>
          <w:szCs w:val="20"/>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target patient population;</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or condition under investigation;</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therapies for the disease or condition under investigation;</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a trial;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4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can be no assurance that</w:t>
      </w:r>
    </w:p>
    <w:p>
      <w:pPr>
        <w:sectPr>
          <w:pgSz w:w="11900" w:h="16838" w:orient="portrait"/>
          <w:cols w:equalWidth="0" w:num="1">
            <w:col w:w="11240"/>
          </w:cols>
          <w:pgMar w:left="320" w:top="761"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new or further trials with our current or future drug candidates will not be adversely affected by a limited patient population. Our clinical trials of CX-2029 studied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The clinical trials for our molecules also compete with thousands of clinical trials with alternative anti-cancer drugs in similar classes (e.g. antibody-drug conjugates), and certain arms of the clinical trials may be difficult to enroll due to the emerging standard of care for such indications in certain jurisdictions, including the United States. Likewise, our clinical trials of CX-904 and CX-2051 are also competing with thousands of other anti-cancer clinical trials. Any clinical trials of our product candidates initiated by our collaborators will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spacing w:after="0" w:line="189"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are currently conducting and will continue to conduct clinical trials and will contract with third-party manufacturers in foreign countries, including China, which could expose us to risks that could have a material adverse effect on the success of our business.</w:t>
      </w:r>
    </w:p>
    <w:p>
      <w:pPr>
        <w:spacing w:after="0" w:line="15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have enrolled or are planning to enroll patients in our clinical trials outside the United States, including in Europe and South Korea. While we generally conduct our clinical trials primarily or partially in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(“GCPs”)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trial was not subject to an IND, the FDA will not accept the data as support for an application for marketing approval unless the study was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we currently contract manufacturing operations to third parties, and certain of our product candidates are manufactured by and will in the future be manufactured by third parties outside the U.S., including in China. For example, we have a contract with a third-party manufacturer located in China for product candidates, including CX-2051 and CX-801, and accordingly we are exposed to the possibility of drug product supply disruption, delay and increased costs in the event of changes in the policies of the U.S. or Chinese governments, political unrest or unstable economic conditions in China.</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in January 2024, the U.S. House of Representatives introduced the BIOSECURE Act (H.R. 7085) and the Senate advance a substantially similar bill (S.3558), which legislation, if passed and enacted into law, would have the potential to restrict the ability of U.S. biopharmaceutical companies like us to purchase services or products from, or otherwise collaborate with, certain Chinese biotechnology companies “of concern”, including a third-party manufacturer we use for certain product candidates, without losing the ability to contract with, or otherwise receive funding from, the U.S. government.</w:t>
      </w:r>
    </w:p>
    <w:p>
      <w:pPr>
        <w:spacing w:after="0" w:line="18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Conducting clinical trials and contracting with third-party manufacturers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Our success will depend, in part, on our ability to overcome the challenges we encounter with respect to these risks and other factors affecting U.S. companies with global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8"/>
          <w:szCs w:val="18"/>
          <w:color w:val="auto"/>
        </w:rPr>
        <w:t>operations. If our global clinical trials or foreign third-party suppliers were to experience significant disruption due to these risks or for other reasons, it could have a material adverse effect on our business, financial condition, results of operations and prospects</w:t>
      </w:r>
      <w:r>
        <w:rPr>
          <w:rFonts w:ascii="Times New Roman" w:cs="Times New Roman" w:eastAsia="Times New Roman" w:hAnsi="Times New Roman"/>
          <w:sz w:val="18"/>
          <w:szCs w:val="18"/>
          <w:b w:val="1"/>
          <w:bCs w:val="1"/>
          <w:i w:val="1"/>
          <w:iCs w:val="1"/>
          <w:color w:val="auto"/>
        </w:rPr>
        <w:t>.</w:t>
      </w:r>
    </w:p>
    <w:p>
      <w:pPr>
        <w:spacing w:after="0" w:line="15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174"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We rely on third-party contract manufacturers to manufacture our clinical trial and preclinical study product supplies, some of which are located in foreign countries. Most of our clinical trial manufacturing contractors and suppliers are our sole source for their respective manufacturing and supplies. Failure of any of these contractors could put our ability to have clinical trial material available when needed at risk. Any such failure to have clinical trial material available when needed could result in a substantial delay of our clinical trials. For each of CX-904, CX-2051 and CX-801 our manufacturing supply chain includes several contract manufacturers, and failure by any of these manufacturers could result in interruptions of our clinical studies. For example, beginning in October 2023, one of our contract manufacturers of CX-2051 experienced production failures. Although we are taking steps to manage our long-term supply of CX-2051, there can be no assurance that we will not have future production failures, which could affect our ability to conduct our trials for CX-2051 or any other clinical trial drug candidates, including CX-801 and CX-904,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w:t>
      </w:r>
      <w:r>
        <w:rPr>
          <w:rFonts w:ascii="Times New Roman" w:cs="Times New Roman" w:eastAsia="Times New Roman" w:hAnsi="Times New Roman"/>
          <w:sz w:val="18"/>
          <w:szCs w:val="18"/>
          <w:b w:val="1"/>
          <w:bCs w:val="1"/>
          <w:i w:val="1"/>
          <w:iCs w:val="1"/>
          <w:color w:val="auto"/>
        </w:rPr>
        <w:t>.</w:t>
      </w:r>
    </w:p>
    <w:p>
      <w:pPr>
        <w:spacing w:after="0" w:line="18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CX-2051 manufacturing production failures our contract manufacturer experienced in 2023,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r>
        <w:rPr>
          <w:rFonts w:ascii="Times New Roman" w:cs="Times New Roman" w:eastAsia="Times New Roman" w:hAnsi="Times New Roman"/>
          <w:sz w:val="18"/>
          <w:szCs w:val="18"/>
          <w:b w:val="1"/>
          <w:bCs w:val="1"/>
          <w:i w:val="1"/>
          <w:iCs w:val="1"/>
          <w:color w:val="auto"/>
        </w:rPr>
        <w:t>.</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1" w:lineRule="exact"/>
        <w:rPr>
          <w:sz w:val="20"/>
          <w:szCs w:val="20"/>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26"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The supply chain for the manufacturing of our product candidates is complicated and can involve many parties. This is especially the case for our clinical-stage conditionally activated ADCs. If we were to experience any supply chain issues, our product supply could be seriously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720"/>
        <w:spacing w:after="0" w:line="279" w:lineRule="auto"/>
        <w:rPr>
          <w:sz w:val="20"/>
          <w:szCs w:val="20"/>
          <w:color w:val="auto"/>
        </w:rPr>
      </w:pPr>
      <w:r>
        <w:rPr>
          <w:rFonts w:ascii="Times New Roman" w:cs="Times New Roman" w:eastAsia="Times New Roman" w:hAnsi="Times New Roman"/>
          <w:sz w:val="18"/>
          <w:szCs w:val="18"/>
          <w:color w:val="auto"/>
        </w:rPr>
        <w:t>disrupted. In addition, we expect the logistical challenges associated with our supply chain to grow more complex as additional product candidates commence any clinical trials.</w:t>
      </w:r>
    </w:p>
    <w:p>
      <w:pPr>
        <w:spacing w:after="0" w:line="158"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5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It may prove more challenging than we anticipate to manufacture products that incorporate our PROBODY therapeutic technology. In order to conduct clinical trials of our product candidates, including our clinical trials for CX-904, CX-2051 and CX-801 we will need to manufacture them in large quantities. There can be no assurance that we will not have future production failures, which could affect our ability to conduct our trials for CX-904 or any other clinical trial drug candidates, including CX-801 and CX-2051, on our planned timeline or at all. Furthermore, in order to conduct later stage clinical trials of our product candidates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any of our product candidates, increase the life of drug stability of product candidates, or successfully complete the FDA’s bridging requirements,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194"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6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CX-904 and CX-2051.</w:t>
      </w:r>
    </w:p>
    <w:p>
      <w:pPr>
        <w:spacing w:after="0" w:line="17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For example, we reported in February 2019 that in our pacmilimab trial at the 10 mg/kg dose, the ADA rate was approximately 62%. We do not believe the ADA rate impacted our ability to reach targeted drug exposures. However, we cannot provide assurance that it will not later limit drug exposure or cause severe adverse events for our other drug candidates. Problems that are specific to our PROBODY platform may have an unfavorable impact on all of our product candidates. As a</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40"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8"/>
          <w:szCs w:val="18"/>
          <w:color w:val="auto"/>
        </w:rPr>
        <w:t>result, we may never succeed in developing a marketable product and we may never become profitable, which would cause the value of our common stock to decline.</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the scientific evidence to support the feasibility of developing product candidates against novel, difficult to drug targets, is both preliminary and limited. For example, our understanding of the expression of CD166, CD71 and other drug targets in both healthy and diseased tissues is still developing. As a result, we cannot provide any assurance that we will be able to successfully identify and advance any product candidates to target novel, difficult-to-drug targets.</w:t>
      </w:r>
    </w:p>
    <w:p>
      <w:pPr>
        <w:spacing w:after="0" w:line="20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8"/>
          <w:szCs w:val="18"/>
          <w:color w:val="auto"/>
        </w:rPr>
        <w:t>Additionally, we recently entered into a collaboration with Moderna for the development of mRNA based product candidates. We do not know whether our PROBODY platform will be able to successfully develop product candidates utilizing this mRNA technology.</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believe that the FDA and foreign regulatory authorities have limited experience with conditionally activated therapeutics in oncology, such experience primarily coming from praluzatamab ravtansine, CX-2029, BMS-986249, BMS-986288, and pacmilimab. We believe that such limited experience may increase the complexity, uncertainty and length of the regulatory approval process for our product candidates and may keep us from commencing first-in-human trials in certain countries. As there is limited historical precedent for the regulatory approval of conditionally activated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183"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for which there are existing approved therapies. Market acceptance of our product candidates will depend on, among other factors:</w:t>
      </w:r>
    </w:p>
    <w:p>
      <w:pPr>
        <w:spacing w:after="0" w:line="81" w:lineRule="exact"/>
        <w:rPr>
          <w:sz w:val="20"/>
          <w:szCs w:val="20"/>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approvals;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approvals and the countries in which approvals are obtained;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purity, potency (or efficacy) of our product candidates, including those being developed by our collaborators;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any labeling approved by the FDA or other regulatory authority;</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effective companion diagnostics;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 candidates;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any new methods of administration;</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government and third-party payors;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14" w:lineRule="exact"/>
        <w:rPr>
          <w:rFonts w:ascii="Times New Roman" w:cs="Times New Roman" w:eastAsia="Times New Roman" w:hAnsi="Times New Roman"/>
          <w:sz w:val="18"/>
          <w:szCs w:val="18"/>
          <w:color w:val="auto"/>
        </w:rPr>
      </w:pPr>
    </w:p>
    <w:p>
      <w:pPr>
        <w:ind w:left="1020" w:right="80" w:hanging="504"/>
        <w:spacing w:after="0" w:line="279"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effective treatments for the disease indications our product candidates are intended to treat and the relative risks, benefits and costs of those treatments.</w:t>
      </w:r>
    </w:p>
    <w:p>
      <w:pPr>
        <w:sectPr>
          <w:pgSz w:w="11900" w:h="16838" w:orient="portrait"/>
          <w:cols w:equalWidth="0" w:num="1">
            <w:col w:w="11240"/>
          </w:cols>
          <w:pgMar w:left="320" w:top="76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67" w:lineRule="exact"/>
        <w:rPr>
          <w:sz w:val="20"/>
          <w:szCs w:val="20"/>
          <w:color w:val="auto"/>
        </w:rPr>
      </w:pPr>
    </w:p>
    <w:p>
      <w:pPr>
        <w:ind w:right="660"/>
        <w:spacing w:after="0" w:line="279"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5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8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Since 2013, we have entered into collaborations with AbbVie, Amgen, Astellas, Bristol Myers Squibb, ImmunoGen, Moderna, Pfizer, Regeneron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2023, AbbVie terminated the collaboration agreement for CX-2029 and the ongoing discovery agreement we had entered into with them in 2016. Our partners have chosen multiple targets for research, some of which continue to be advanced and others which do not continue to advance. Our partners will continue to choose early research targets from time to time, some of which will advance into further research and development and some of which will not. For example, in January 2023, Bristol Myers Squibb announced that it would deprioritize the Phase 2 clinical program for BMS-986249 and advance the BMS-986288 into a Phase 2 program, and on March 6, 2024, Bristol Myers Squibb notified us that it would not continue the BMS-986288 program.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 Overall, collaborations involving our product candidates currently pose, and will continue to pose, the following risks to us:</w:t>
      </w:r>
    </w:p>
    <w:p>
      <w:pPr>
        <w:spacing w:after="0" w:line="88" w:lineRule="exact"/>
        <w:rPr>
          <w:sz w:val="20"/>
          <w:szCs w:val="20"/>
          <w:color w:val="auto"/>
        </w:rPr>
      </w:pPr>
    </w:p>
    <w:p>
      <w:pPr>
        <w:ind w:left="1020" w:right="860" w:hanging="504"/>
        <w:spacing w:after="0" w:line="279"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 including, with respect to Amgen, CX-904;</w:t>
      </w:r>
    </w:p>
    <w:p>
      <w:pPr>
        <w:spacing w:after="0" w:line="54" w:lineRule="exact"/>
        <w:rPr>
          <w:rFonts w:ascii="Times New Roman" w:cs="Times New Roman" w:eastAsia="Times New Roman" w:hAnsi="Times New Roman"/>
          <w:sz w:val="18"/>
          <w:szCs w:val="18"/>
          <w:color w:val="auto"/>
        </w:rPr>
      </w:pPr>
    </w:p>
    <w:p>
      <w:pPr>
        <w:ind w:left="1020" w:right="500" w:hanging="504"/>
        <w:spacing w:after="0" w:line="263"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70" w:lineRule="exact"/>
        <w:rPr>
          <w:rFonts w:ascii="Times New Roman" w:cs="Times New Roman" w:eastAsia="Times New Roman" w:hAnsi="Times New Roman"/>
          <w:sz w:val="18"/>
          <w:szCs w:val="18"/>
          <w:color w:val="auto"/>
        </w:rPr>
      </w:pPr>
    </w:p>
    <w:p>
      <w:pPr>
        <w:ind w:left="1020" w:right="60" w:hanging="504"/>
        <w:spacing w:after="0" w:line="279"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designing any clinical trials they operate pursuant to our collaboration agreements and may release data from such clinical trials, including with respect to our PROBODY therapeutics, without consulting us;</w:t>
      </w:r>
    </w:p>
    <w:p>
      <w:pPr>
        <w:spacing w:after="0" w:line="54" w:lineRule="exact"/>
        <w:rPr>
          <w:rFonts w:ascii="Times New Roman" w:cs="Times New Roman" w:eastAsia="Times New Roman" w:hAnsi="Times New Roman"/>
          <w:sz w:val="18"/>
          <w:szCs w:val="18"/>
          <w:color w:val="auto"/>
        </w:rPr>
      </w:pPr>
    </w:p>
    <w:p>
      <w:pPr>
        <w:ind w:left="1020" w:right="120" w:hanging="504"/>
        <w:spacing w:after="0" w:line="263"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0" w:lineRule="exact"/>
        <w:rPr>
          <w:rFonts w:ascii="Times New Roman" w:cs="Times New Roman" w:eastAsia="Times New Roman" w:hAnsi="Times New Roman"/>
          <w:sz w:val="18"/>
          <w:szCs w:val="18"/>
          <w:color w:val="auto"/>
        </w:rPr>
      </w:pPr>
    </w:p>
    <w:p>
      <w:pPr>
        <w:ind w:left="1020" w:hanging="504"/>
        <w:spacing w:after="0" w:line="263"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0" w:lineRule="exact"/>
        <w:rPr>
          <w:rFonts w:ascii="Times New Roman" w:cs="Times New Roman" w:eastAsia="Times New Roman" w:hAnsi="Times New Roman"/>
          <w:sz w:val="18"/>
          <w:szCs w:val="18"/>
          <w:color w:val="auto"/>
        </w:rPr>
      </w:pPr>
    </w:p>
    <w:p>
      <w:pPr>
        <w:ind w:left="1020" w:right="600" w:hanging="504"/>
        <w:spacing w:after="0" w:line="279"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4" w:lineRule="exact"/>
        <w:rPr>
          <w:rFonts w:ascii="Times New Roman" w:cs="Times New Roman" w:eastAsia="Times New Roman" w:hAnsi="Times New Roman"/>
          <w:sz w:val="18"/>
          <w:szCs w:val="18"/>
          <w:color w:val="auto"/>
        </w:rPr>
      </w:pPr>
    </w:p>
    <w:p>
      <w:pPr>
        <w:ind w:left="1020" w:right="160" w:hanging="504"/>
        <w:spacing w:after="0" w:line="263"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70" w:lineRule="exact"/>
        <w:rPr>
          <w:rFonts w:ascii="Times New Roman" w:cs="Times New Roman" w:eastAsia="Times New Roman" w:hAnsi="Times New Roman"/>
          <w:sz w:val="18"/>
          <w:szCs w:val="18"/>
          <w:color w:val="auto"/>
        </w:rPr>
      </w:pPr>
    </w:p>
    <w:p>
      <w:pPr>
        <w:ind w:left="1020" w:right="580" w:hanging="504"/>
        <w:spacing w:after="0" w:line="279"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rights of third parties, which may expose us to litigation and potential liability;</w:t>
      </w:r>
    </w:p>
    <w:p>
      <w:pPr>
        <w:spacing w:after="0" w:line="54" w:lineRule="exact"/>
        <w:rPr>
          <w:rFonts w:ascii="Times New Roman" w:cs="Times New Roman" w:eastAsia="Times New Roman" w:hAnsi="Times New Roman"/>
          <w:sz w:val="18"/>
          <w:szCs w:val="18"/>
          <w:color w:val="auto"/>
        </w:rPr>
      </w:pPr>
    </w:p>
    <w:p>
      <w:pPr>
        <w:ind w:left="1020" w:right="140" w:hanging="504"/>
        <w:spacing w:after="0" w:line="309" w:lineRule="auto"/>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right="1060" w:hanging="504"/>
        <w:spacing w:after="0" w:line="279"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89"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18"/>
          <w:szCs w:val="18"/>
          <w:color w:val="auto"/>
        </w:rPr>
        <w:t>For example, in January 2023, we announced topline results of the Phase 2 expansion cohorts of CX-2029 and in March 2023, AbbVie decided not to continue the future development of CX-2029.</w:t>
      </w:r>
    </w:p>
    <w:p>
      <w:pPr>
        <w:spacing w:after="0" w:line="18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178"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Substantially all of our revenue to date has been derived from our existing collaboration agreements, including, most recently, the agreements that we entered into with Regeneron and Moderna in 2022,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21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2023, AbbVie terminated our 2016 CD71 License and Collaboration Agreement, and from time to time some of our research programs have been terminated by our partners.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 Additionally, on March 6, 2024, Bristol Myers Squibb notified us that it would not continue the BMS-986288 program and we will not receive any milestone or other payments from them on this program.</w:t>
      </w:r>
    </w:p>
    <w:p>
      <w:pPr>
        <w:spacing w:after="0" w:line="189"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commercialization of any of our product candidates may be delayed, or never attained, and our business will be harmed.</w:t>
      </w:r>
    </w:p>
    <w:p>
      <w:pPr>
        <w:spacing w:after="0" w:line="65"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80" w:lineRule="exact"/>
        <w:rPr>
          <w:sz w:val="20"/>
          <w:szCs w:val="20"/>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114"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other regulatory authorities and the timing thereof;</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in the manufacture of our product candidates;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supply clinical trial materials to our clinical sites on a timely basis;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commercialization of our products;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4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For example, in March 2020, we announced the temporary pause in new patient enrollment and new site activation in our Phase 2 clinical trial of praluzatamab ravtansine (CX-2009) as a result of the COVID-19 pandemic and the termination of the Phase 2 clinical trial of pacmilimab (CX-072) in combination with ipilimumab after a re-evaluation of the evolving clinical, competitive and commercial landscapes in immuno-oncology, taken together with the impact of the COVID-19 pandemic. Additionally, in July 2022, we announced that we would cease to continue the praluzatamab ravtansine program without a partner.</w:t>
      </w:r>
    </w:p>
    <w:p>
      <w:pPr>
        <w:spacing w:after="0" w:line="210"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commercialization of any of our product candidates may be delayed or never attained, and our business and results of operations may be harmed.</w:t>
      </w:r>
    </w:p>
    <w:p>
      <w:pPr>
        <w:spacing w:after="0" w:line="158" w:lineRule="exact"/>
        <w:rPr>
          <w:sz w:val="20"/>
          <w:szCs w:val="20"/>
          <w:color w:val="auto"/>
        </w:rPr>
      </w:pPr>
    </w:p>
    <w:p>
      <w:pPr>
        <w:ind w:right="120"/>
        <w:spacing w:after="0" w:line="314" w:lineRule="auto"/>
        <w:rPr>
          <w:sz w:val="20"/>
          <w:szCs w:val="20"/>
          <w:color w:val="auto"/>
        </w:rPr>
      </w:pPr>
      <w:r>
        <w:rPr>
          <w:rFonts w:ascii="Times New Roman" w:cs="Times New Roman" w:eastAsia="Times New Roman" w:hAnsi="Times New Roman"/>
          <w:sz w:val="17"/>
          <w:szCs w:val="17"/>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4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Since commencing operations, we have entered into several collaboration agreements. Most recently, in November 2022 and December 2022, we entered into strategic collaborations with Regeneron and Moderna, respectively. From time to time, we may consider additional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In July 2022, in connection with our announcement of Phase 2 topline results for praluzatamab ravtansine, we communicated our plans to seek collaborators to advance the program further. The competition for collaborators is intense and there can be no assurances that we will be able to secure any collaboration for praluzatamab ravtansine or any other program. The negotiation process for strategic collaborations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186"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5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developed in conjunction with clinical programs for the associated product candidate and are subject to regulation by the FDA and similar regulatory authorities outside the United States as medical devices and require separate regulatory approval prior to commercialization. Specifically,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Given our limited experience in developing companion diagnostic tests, we could seek to rely on third parties to design, manufacture, and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spacing w:after="0" w:line="215"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as well as applicable laws and regulations. The FDA requires preclinical studies to be conducted in accordance with good laboratory practices (“GLPs”) and clinical trials to be conducted in accordance with GCPs and other applicable regulations, including for designing, conducting, recording and reporting the results of preclinical studies and clinical trials to assure that data and reported results are credible and accurate and that the rights, integrity and confidentiality of clinical trial participants are protected. Regulatory authorities enforce GCPs through periodic inspections of trial sponsors, principal investigators and trial sites. Our reliance on third parties that we do not control will not relieve us of these responsibilities and requirements. If we or any of our CROs or trial sites fail to comply with applicable GLP, GCP or other requirements, the data generated in our clinical trials may be deemed unreliable, and the FDA or comparable foreign regulatory authorities may require us to perform additional clinical trials before approving our marketing applications, if ever.</w:t>
      </w:r>
    </w:p>
    <w:p>
      <w:pPr>
        <w:spacing w:after="0" w:line="19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be asked to serve as scientific advisors or consultants to us from time to time and may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BLA we submit. Any such delay or rejection could prevent us from commercializing our product candidates.</w:t>
      </w:r>
    </w:p>
    <w:p>
      <w:pPr>
        <w:spacing w:after="0" w:line="183"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color w:val="auto"/>
        </w:rPr>
        <w:t>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73"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product candidates and indications. For example, in July 2022, we announced that we would not continue the development of pralauzatamab ravtansine without a partner. Additionally, in November 2023 we decided to not to make any further significant investments in the CX-2029 solid tumor program in the near-term.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when needed.</w:t>
      </w:r>
    </w:p>
    <w:p>
      <w:pPr>
        <w:spacing w:after="0" w:line="13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Over the last few years, we have expanded our workforce and activities to manage our expanding pipeline, including Phase 2 clinical trials. However, in July 2022, we announced we will not advance praluzatamab ravtansine into further clinical trials and will seek a partner for the program. As a result, we announced that we would reduce our workforce, primarily development and general and administrative staff, by approximately 40%. In the future we may need to grow our organization substantially to continue development and pursue the potential commercialization of our product candidates, including CX-801 and CX-2051,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including Regeneron and Moderna,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8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20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product candidates are approved, they will compete with a range of therapeutic treatments that are either in development or currently marketed. A variety of oncology drugs and therapeutic biologics are currently on the market or in clinical development.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2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Sanofi, BioAtla, Halozyme, Janux Therapeutics, Roche, Takeda, Werewolf Therapeutics, and Xilio are exploring antibody masking and/or conditional activation strategies, which could compete with our PROBODY platform. We are also aware of several companies that are developing ADCs, such as AbbVie, ADC Therapeutics, Daiichi Sankyo, Gilead, Merck &amp; Co., Mersana Therapeutics, Pfizer, Roche Holding Ltd. Seagen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inability to attract and retain qualified key management and technical personnel would impair our ability to implement our business plan.</w:t>
      </w:r>
    </w:p>
    <w:p>
      <w:pPr>
        <w:spacing w:after="0" w:line="13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Our success largely depends on the continued service of key management, advisors and other specialized personnel, including Sean A. McCarthy, D.Phil., our chief executive officer and chairman.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 and across the country.</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controls imposed in foreign markets may adversely affect our future profitability.</w:t>
      </w:r>
    </w:p>
    <w:p>
      <w:pPr>
        <w:spacing w:after="0" w:line="13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8"/>
          <w:szCs w:val="18"/>
          <w:color w:val="auto"/>
        </w:rPr>
        <w:t>We currently do not know how the exit of the United Kingdom from the European Union will affect the pricing of prescription drugs, either in the United Kingdom or in the remaining European Union member states.</w:t>
      </w:r>
    </w:p>
    <w:p>
      <w:pPr>
        <w:spacing w:after="0" w:line="158"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are exposed to significant product liability risks inherent in the development, testing, manufacturing and marketing of therapeutic treatments, including as a result of the clinical testing of praluzatamab ravtansine (CX-2009), CX-2029, BMS-986249, BMS-986288, pacmilimab (CX-072) and CX-904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8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6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185"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6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gradually increased our laboratory research activities to normal levels, and adopted a hybrid work from home model, there can be no assurance that a future pandemic or other event will not impact our ability to conduct business.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Additionally, for the purpose of revenue recognition, we are required to estimate the amount of effort to complete, as measured by full-time equivalent hours of our research development programs. Such estimates are inherently uncertain and may result in changes in subsequent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32"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2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6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diagnostics and prophylactics. In addition, we have exclusively licensed a patent portfolio of three patent families from UCSB that includes patents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222"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8"/>
          <w:szCs w:val="18"/>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51" w:name="page52"/>
    <w:bookmarkEnd w:id="5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21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1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59" w:lineRule="exact"/>
        <w:rPr>
          <w:sz w:val="20"/>
          <w:szCs w:val="20"/>
          <w:color w:val="auto"/>
        </w:rPr>
      </w:pPr>
    </w:p>
    <w:p>
      <w:pPr>
        <w:ind w:left="1020" w:right="260" w:hanging="504"/>
        <w:spacing w:after="0" w:line="279"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54" w:lineRule="exact"/>
        <w:rPr>
          <w:rFonts w:ascii="Times New Roman" w:cs="Times New Roman" w:eastAsia="Times New Roman" w:hAnsi="Times New Roman"/>
          <w:sz w:val="18"/>
          <w:szCs w:val="18"/>
          <w:color w:val="auto"/>
        </w:rPr>
      </w:pPr>
    </w:p>
    <w:p>
      <w:pPr>
        <w:ind w:left="1020" w:right="620" w:hanging="504"/>
        <w:spacing w:after="0" w:line="279"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collaborators are the first to make the inventions covered by each of our issued patents and pending patent applications that we own or license.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collaborators are the first to file patent applications covering certain aspects of our inventions.</w:t>
      </w:r>
    </w:p>
    <w:p>
      <w:pPr>
        <w:spacing w:after="0" w:line="114" w:lineRule="exact"/>
        <w:rPr>
          <w:rFonts w:ascii="Times New Roman" w:cs="Times New Roman" w:eastAsia="Times New Roman" w:hAnsi="Times New Roman"/>
          <w:sz w:val="18"/>
          <w:szCs w:val="18"/>
          <w:color w:val="auto"/>
        </w:rPr>
      </w:pPr>
    </w:p>
    <w:p>
      <w:pPr>
        <w:ind w:left="1020" w:right="920" w:hanging="504"/>
        <w:spacing w:after="0" w:line="279"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not challenge our patents and, if challenged, a court would hold that our patents are valid, enforceable and infringed.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that we own or have licensed will provide us with any competitive advantages, or will not be challenged by third parties.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additional proprietary technologies that are patentable.</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 material or adverse effect on our business, financial condition, results of operations and prospects.</w:t>
      </w:r>
    </w:p>
    <w:p>
      <w:pPr>
        <w:spacing w:after="0" w:line="114"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58"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8"/>
          <w:szCs w:val="18"/>
          <w:color w:val="auto"/>
        </w:rPr>
        <w:t>immunoregulatory therapeutics. Specifically, we own and have licensed a portfolio of patents, patent applications and other intellectual property covering PROBODY compositions of matter as well as their methods of manufacturing and use.</w:t>
      </w:r>
    </w:p>
    <w:p>
      <w:pPr>
        <w:spacing w:after="0" w:line="189"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7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7"/>
          <w:szCs w:val="17"/>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3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21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For example, in March 2022, Russia adopted a decree allowing local companies and individuals to use inventions from certain countries designated as “unfriendly”, including the U.S. Further, under current U.S. currency restrictions on payments to entities in Russia, we may be unable in the future to pay for the prosecution of patent applications or the maintenance of existing patents in Russia. As a result of these actions, we may not be able to protect our technology from unlicensed use in Russia.</w:t>
      </w:r>
    </w:p>
    <w:p>
      <w:pPr>
        <w:spacing w:after="0" w:line="20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20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8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While the magistrate judge recommended to the judge in October 2023 that our motion to dismiss be approved, the judge for the litigation will have to make a ruling on the motion. The Company believes that the lawsuit is without merit and intends to vigorously defend itself. However, there can be no assurance that a court might not rule against us in these proceedings. Even if we are successful in defending against such claim, this litigation could divert management’s attention, as well as our resources, from our business and any claims paid out of our cash reserves would harm our financial condition and operating results.</w:t>
      </w:r>
    </w:p>
    <w:p>
      <w:pPr>
        <w:spacing w:after="0" w:line="20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1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18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20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3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Litigation, including the ongoing patent infringement lawsuit brought by Vytacera Bio, LLC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21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8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214"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8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8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4"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28"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6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recently the FDA launched Project Optimus, an initiative to reform the dose optimization and dose selection paradigm in oncology drug development. While the effort is intended to help drive better ultimate outcomes in the development of oncology drugs, these efforts could also lead to longer and more expensive early development efforts for companies, including us, before we are able to initiate registrational studies for our product candidates. It is possible that none of the product candidates we may develop will obtain the regulatory approvals necessary for us or our existing or future collaborators to begin selling them.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15" w:lineRule="exact"/>
        <w:rPr>
          <w:sz w:val="20"/>
          <w:szCs w:val="20"/>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execution of our clinical trials;</w:t>
      </w:r>
    </w:p>
    <w:p>
      <w:pPr>
        <w:spacing w:after="0" w:line="114" w:lineRule="exact"/>
        <w:rPr>
          <w:rFonts w:ascii="Times New Roman" w:cs="Times New Roman" w:eastAsia="Times New Roman" w:hAnsi="Times New Roman"/>
          <w:sz w:val="18"/>
          <w:szCs w:val="18"/>
          <w:color w:val="auto"/>
        </w:rPr>
      </w:pPr>
    </w:p>
    <w:p>
      <w:pPr>
        <w:ind w:left="1020" w:right="100" w:hanging="504"/>
        <w:spacing w:after="0" w:line="279"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significance or persuasiveness required by the FDA or comparable foreign regulatory agencies for approval;</w:t>
      </w:r>
    </w:p>
    <w:p>
      <w:pPr>
        <w:spacing w:after="0" w:line="54" w:lineRule="exact"/>
        <w:rPr>
          <w:rFonts w:ascii="Times New Roman" w:cs="Times New Roman" w:eastAsia="Times New Roman" w:hAnsi="Times New Roman"/>
          <w:sz w:val="18"/>
          <w:szCs w:val="18"/>
          <w:color w:val="auto"/>
        </w:rPr>
      </w:pPr>
    </w:p>
    <w:p>
      <w:pPr>
        <w:ind w:left="1020" w:right="80" w:hanging="504"/>
        <w:spacing w:after="0" w:line="279"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our product candidates;</w:t>
      </w:r>
    </w:p>
    <w:p>
      <w:pPr>
        <w:spacing w:after="0" w:line="54" w:lineRule="exact"/>
        <w:rPr>
          <w:rFonts w:ascii="Times New Roman" w:cs="Times New Roman" w:eastAsia="Times New Roman" w:hAnsi="Times New Roman"/>
          <w:sz w:val="18"/>
          <w:szCs w:val="18"/>
          <w:color w:val="auto"/>
        </w:rPr>
      </w:pPr>
    </w:p>
    <w:p>
      <w:pPr>
        <w:ind w:left="1020" w:right="200" w:hanging="504"/>
        <w:spacing w:after="0" w:line="279"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54" w:lineRule="exact"/>
        <w:rPr>
          <w:rFonts w:ascii="Times New Roman" w:cs="Times New Roman" w:eastAsia="Times New Roman" w:hAnsi="Times New Roman"/>
          <w:sz w:val="18"/>
          <w:szCs w:val="18"/>
          <w:color w:val="auto"/>
        </w:rPr>
      </w:pPr>
    </w:p>
    <w:p>
      <w:pPr>
        <w:ind w:left="1020" w:right="300" w:hanging="504"/>
        <w:spacing w:after="0" w:line="279"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that are conducted at clinical facilities or in countries where the standard of care is potentially different from that of their own country;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14" w:lineRule="exact"/>
        <w:rPr>
          <w:rFonts w:ascii="Times New Roman" w:cs="Times New Roman" w:eastAsia="Times New Roman" w:hAnsi="Times New Roman"/>
          <w:sz w:val="18"/>
          <w:szCs w:val="18"/>
          <w:color w:val="auto"/>
        </w:rPr>
      </w:pPr>
    </w:p>
    <w:p>
      <w:pPr>
        <w:ind w:left="1020" w:right="180" w:hanging="504"/>
        <w:spacing w:after="0" w:line="263"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 BLA or other submission or to obtain regulatory approval in the U.S. or elsewhere, and such authorities may impose requirements for additional preclinical studies or clinical trials;</w:t>
      </w:r>
    </w:p>
    <w:p>
      <w:pPr>
        <w:spacing w:after="0" w:line="7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us regarding the formulation, labeling and/or the product specifications of our product candidates;</w:t>
      </w:r>
    </w:p>
    <w:p>
      <w:pPr>
        <w:spacing w:after="0" w:line="114" w:lineRule="exact"/>
        <w:rPr>
          <w:rFonts w:ascii="Times New Roman" w:cs="Times New Roman" w:eastAsia="Times New Roman" w:hAnsi="Times New Roman"/>
          <w:sz w:val="18"/>
          <w:szCs w:val="18"/>
          <w:color w:val="auto"/>
        </w:rPr>
      </w:pPr>
    </w:p>
    <w:p>
      <w:pPr>
        <w:ind w:left="1020" w:right="520" w:hanging="504"/>
        <w:spacing w:after="0" w:line="279"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those sought by us, and/or may include significant restrictions on distribution and use;</w:t>
      </w:r>
    </w:p>
    <w:p>
      <w:pPr>
        <w:spacing w:after="0" w:line="54" w:lineRule="exact"/>
        <w:rPr>
          <w:rFonts w:ascii="Times New Roman" w:cs="Times New Roman" w:eastAsia="Times New Roman" w:hAnsi="Times New Roman"/>
          <w:sz w:val="18"/>
          <w:szCs w:val="18"/>
          <w:color w:val="auto"/>
        </w:rPr>
      </w:pPr>
    </w:p>
    <w:p>
      <w:pPr>
        <w:ind w:left="1020" w:right="60" w:hanging="504"/>
        <w:spacing w:after="0" w:line="279"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the third-party manufacturers with which we contract for clinical and commercial supplies; or</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2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that occurred in late 2018 or the United Kingdom’s departure from the European Union may impact our ability to access government agencies in a timely manner or otherwise impact our ability to move our product candidates through the regulatory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8"/>
          <w:szCs w:val="18"/>
          <w:color w:val="auto"/>
        </w:rPr>
        <w:t>process. It is impossible to predict whether legislative changes will be enacted, or whether FDA or foreign regulations, guidance or interpretations will be changed, or what the impact of such changes, if any, may be.</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2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17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8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cGMPs and other applicable regulations and standards. In addition, any regulatory approvals we may receive will require the submission of periodic reports to regulatory authorities and ongoing surveillance to monitor the safety and efficacy of the product. Such approvals may also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training and communication plans or additional elements to ensure safe use, such as restricted distribution methods, patient registries and other risk minimization tools.</w:t>
      </w:r>
    </w:p>
    <w:p>
      <w:pPr>
        <w:spacing w:after="0" w:line="176"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55" w:lineRule="exact"/>
        <w:rPr>
          <w:sz w:val="20"/>
          <w:szCs w:val="20"/>
          <w:color w:val="auto"/>
        </w:rPr>
      </w:pPr>
    </w:p>
    <w:p>
      <w:pPr>
        <w:ind w:left="1020" w:right="160" w:hanging="504"/>
        <w:spacing w:after="0" w:line="279"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revenues, warning letters or holds on clinical trials;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our strategic partners;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approvals;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40"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7"/>
          <w:szCs w:val="17"/>
          <w:color w:val="auto"/>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 products may face competition sooner than anticipated.</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21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Moreover, the extent to which a biosimilar, once approved, will be substituted for any one of our reference products in a way that is similar to traditional generic substitution for non-biological products is not yet clear, and will depend on a number of marketplace factors that are still developing.</w:t>
      </w:r>
    </w:p>
    <w:p>
      <w:pPr>
        <w:spacing w:after="0" w:line="1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8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over the last several years, the U.S. government has shut down several times and certain regulatory agencies, such as the FDA, have had to furlough FDA employees and stop critical activities.</w:t>
      </w:r>
    </w:p>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any resurgence of the COVID-19 pandemic or emergence of other pandemics may lead to inspectional or administrative delays.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and adverse effect on our business and results of operations.</w:t>
      </w:r>
    </w:p>
    <w:p>
      <w:pPr>
        <w:spacing w:after="0" w:line="13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and government regulation.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if any, will impact our business.</w:t>
      </w:r>
    </w:p>
    <w:p>
      <w:pPr>
        <w:spacing w:after="0" w:line="2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2, 2020 through March 31, 2022,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2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Moreover, payment methodologies, including payment for companion diagnostics, may be subject to changes in healthcare legislation and regulatory initiatives. For example, in March 2018, the Centers for Medicare &amp; Medicaid Services (“CMS”) finalized a national coverage determination extending coverage under the Medicare program for certain diagnostic laboratory tests using next generation sequencing (“NGS”) that are approved by the FDA as a companion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In March 2021, the American Rescue Plan Act of 2021 was signed into law, which eliminates the statutory Medicaid drug rebate cap, currently set at 100% of a drug’s average manufacturer price, beginning January 1, 2024. In August 2022, the Inflation Reduction Act of 2022, or IRA, was signed into law by President Biden.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These laws and future laws may negatively impact the ability of biotechnology companies, including us, to raise funds from investors for or to obtain collaboration partners who assist us in the funding of research and development of future medicines.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190"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6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75" w:lineRule="exact"/>
        <w:rPr>
          <w:sz w:val="20"/>
          <w:szCs w:val="20"/>
          <w:color w:val="auto"/>
        </w:rPr>
      </w:pPr>
    </w:p>
    <w:p>
      <w:pPr>
        <w:ind w:left="1020" w:hanging="504"/>
        <w:spacing w:after="0" w:line="25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20" w:hanging="504"/>
        <w:spacing w:after="0" w:line="25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79" w:lineRule="exact"/>
        <w:rPr>
          <w:rFonts w:ascii="Times New Roman" w:cs="Times New Roman" w:eastAsia="Times New Roman" w:hAnsi="Times New Roman"/>
          <w:sz w:val="18"/>
          <w:szCs w:val="18"/>
          <w:color w:val="auto"/>
        </w:rPr>
      </w:pPr>
    </w:p>
    <w:p>
      <w:pPr>
        <w:ind w:left="1020" w:right="60" w:hanging="504"/>
        <w:spacing w:after="0" w:line="25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360" w:hanging="504"/>
        <w:spacing w:after="0" w:line="253"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spacing w:after="0" w:line="81" w:lineRule="exact"/>
        <w:rPr>
          <w:rFonts w:ascii="Times New Roman" w:cs="Times New Roman" w:eastAsia="Times New Roman" w:hAnsi="Times New Roman"/>
          <w:sz w:val="18"/>
          <w:szCs w:val="18"/>
          <w:color w:val="auto"/>
        </w:rPr>
      </w:pPr>
    </w:p>
    <w:p>
      <w:pPr>
        <w:ind w:left="1020" w:right="80" w:hanging="504"/>
        <w:spacing w:after="0" w:line="25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spacing w:after="0" w:line="2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213"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0" w:lineRule="exact"/>
        <w:rPr>
          <w:sz w:val="20"/>
          <w:szCs w:val="20"/>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inspection findings;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or public notification or medical product safety alerts to healthcare professionals;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marketing our products;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importation or exportation of our products;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review or refusal to approve pending applications or supplements to approved applications;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government-funded healthcare programs;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eligibility for the award of government contracts for our products;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product approvals;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seizures or administrative detention of products;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and fines.</w:t>
      </w:r>
    </w:p>
    <w:p>
      <w:pPr>
        <w:spacing w:after="0" w:line="218"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6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2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including the expanded right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and significantly amends the CCPA.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the General Data Protection Regulation ("GDPR") went into effect in May 2018, and imposes stringent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4% total worldwide annual turnover or €20 million, whichever is higher.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2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Further, from January 1, 2021, we have had to comply with the GDPR and also the UK GDPR, which, together with the amended UK Data Protection Act 2018, retains the GDPR in UK national law. The UK GDPR mirrors the fines under the GDPR, i.e., fines up to the greater of €20 million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 and financial condition.</w:t>
      </w:r>
    </w:p>
    <w:p>
      <w:pPr>
        <w:spacing w:after="0" w:line="183"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21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18"/>
          <w:szCs w:val="18"/>
          <w:color w:val="auto"/>
        </w:rPr>
        <w:t>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w:t>
      </w:r>
    </w:p>
    <w:p>
      <w:pPr>
        <w:spacing w:after="0" w:line="8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2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21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in the future seek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8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The accelerated approval pathway may be used in cases in which the advantage of a product candidate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predicted clinical benefit. If such post-approval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FDA new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spacing w:after="0" w:line="17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83"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6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or condition for which it has such designation, the product is entitled to orphan drug exclusivity, which means that the FDA may not approve any other applications, including a full BLA, to market the same product for the same disease or condition or seven years, except in limited circumstances, such as a showing of clinical superiority to the product with orphan drug exclusivity or where the manufacturer is unable to assure sufficient product quantity.</w:t>
      </w:r>
    </w:p>
    <w:p>
      <w:pPr>
        <w:spacing w:after="0" w:line="21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Even if we obtain Orphan Drug Designation for our product candidates in specific indications, we may not be the first to obtain marketing approval of these product candidates for the orphan-designated disease or condition due to the uncertainties associated with developing pharmaceutical products. In addition, exclusive marketing rights in the United States may be limited if we seek approval for an disease or condition broader than the orphan-designated disease or condition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disease or condition. Even after an orphan product is approved, the FDA can subsequently approve the same drug or therapeutic biologic for the same disease or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219" w:lineRule="exact"/>
        <w:rPr>
          <w:sz w:val="20"/>
          <w:szCs w:val="20"/>
          <w:color w:val="auto"/>
        </w:rPr>
      </w:pPr>
    </w:p>
    <w:p>
      <w:pPr>
        <w:ind w:right="200"/>
        <w:spacing w:after="0" w:line="309" w:lineRule="auto"/>
        <w:rPr>
          <w:sz w:val="20"/>
          <w:szCs w:val="20"/>
          <w:color w:val="auto"/>
        </w:rPr>
      </w:pPr>
      <w:r>
        <w:rPr>
          <w:rFonts w:ascii="Times New Roman" w:cs="Times New Roman" w:eastAsia="Times New Roman" w:hAnsi="Times New Roman"/>
          <w:sz w:val="17"/>
          <w:szCs w:val="17"/>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28"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5" w:lineRule="exact"/>
        <w:rPr>
          <w:sz w:val="20"/>
          <w:szCs w:val="20"/>
          <w:color w:val="auto"/>
        </w:rPr>
      </w:pPr>
    </w:p>
    <w:p>
      <w:pPr>
        <w:ind w:right="660"/>
        <w:spacing w:after="0" w:line="279"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5" w:lineRule="exact"/>
        <w:rPr>
          <w:sz w:val="20"/>
          <w:szCs w:val="20"/>
          <w:color w:val="auto"/>
        </w:rPr>
      </w:pPr>
    </w:p>
    <w:p>
      <w:pPr>
        <w:ind w:left="1020" w:right="860" w:hanging="504"/>
        <w:spacing w:after="0" w:line="279"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PROBODY platform, our product candidates or future development programs;</w:t>
      </w:r>
    </w:p>
    <w:p>
      <w:pPr>
        <w:spacing w:after="0" w:line="54"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clinical trials or funding support by us, or existing or future collaborators or licensing partners;</w:t>
      </w:r>
    </w:p>
    <w:p>
      <w:pPr>
        <w:spacing w:after="0" w:line="54" w:lineRule="exact"/>
        <w:rPr>
          <w:rFonts w:ascii="Times New Roman" w:cs="Times New Roman" w:eastAsia="Times New Roman" w:hAnsi="Times New Roman"/>
          <w:sz w:val="18"/>
          <w:szCs w:val="18"/>
          <w:color w:val="auto"/>
        </w:rPr>
      </w:pPr>
    </w:p>
    <w:p>
      <w:pPr>
        <w:ind w:left="1020" w:right="240" w:hanging="504"/>
        <w:spacing w:after="0" w:line="279"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4" w:lineRule="exact"/>
        <w:rPr>
          <w:rFonts w:ascii="Times New Roman" w:cs="Times New Roman" w:eastAsia="Times New Roman" w:hAnsi="Times New Roman"/>
          <w:sz w:val="18"/>
          <w:szCs w:val="18"/>
          <w:color w:val="auto"/>
        </w:rPr>
      </w:pPr>
    </w:p>
    <w:p>
      <w:pPr>
        <w:ind w:left="1020" w:right="260" w:hanging="504"/>
        <w:spacing w:after="0" w:line="279"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right="480" w:hanging="504"/>
        <w:spacing w:after="0" w:line="279"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 including the ongoing patent infringement lawsuit brought by Vytacera against us;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4" w:lineRule="exact"/>
        <w:rPr>
          <w:rFonts w:ascii="Times New Roman" w:cs="Times New Roman" w:eastAsia="Times New Roman" w:hAnsi="Times New Roman"/>
          <w:sz w:val="18"/>
          <w:szCs w:val="18"/>
          <w:color w:val="auto"/>
        </w:rPr>
      </w:pPr>
    </w:p>
    <w:p>
      <w:pPr>
        <w:ind w:left="1020" w:right="300" w:hanging="504"/>
        <w:spacing w:after="0" w:line="279"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4" w:lineRule="exact"/>
        <w:rPr>
          <w:rFonts w:ascii="Times New Roman" w:cs="Times New Roman" w:eastAsia="Times New Roman" w:hAnsi="Times New Roman"/>
          <w:sz w:val="18"/>
          <w:szCs w:val="18"/>
          <w:color w:val="auto"/>
        </w:rPr>
      </w:pPr>
    </w:p>
    <w:p>
      <w:pPr>
        <w:ind w:left="1020" w:right="80" w:hanging="504"/>
        <w:spacing w:after="0" w:line="279"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4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3"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spacing w:after="0" w:line="6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we evaluate and determine the effectiveness of our internal controls over financial reporting and provide a management report on the internal control over financial reporting.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are required, pursuant to Section 404, to furnish a report by our management on, among other things, the effectiveness of our internal control over financial reporting in our Annual Report on Form 10-K. Internal control over financial reporting is a process designed to provide reasonable assurance regarding the reliability of financial reporting and the preparation of financial statements in accordance with generally acceptable accounting principles in the United States (“GAAP”). This assessment includes disclosure of any material weaknesses identified by management in its internal control over financial reporting. The rules governing the standards that must be met for management to assess its internal control over financial reporting are complex and require significant documentation, testing, and possible remediation. Testing and maintaining internal controls may divert management’s attention from other matters that are important to our business. A failure in any of these obligations or requirements could subject us to a loss of stockholder confidence and sanctions or investigations by regulatory authorities or litigation.</w:t>
      </w:r>
    </w:p>
    <w:p>
      <w:pPr>
        <w:spacing w:after="0" w:line="21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In connection with the implementation of the necessary practices and procedures related to internal control over financial reporting, we may identify deficiencies that we may not be able to remediate before our management is required to furnish the annual report on the effectiveness of our internal control over financial reporting. Our testing, or the testing (if required) by our independent registered public accounting firm, may reveal deficiencies in our internal control over financial reporting that are deemed to be material weaknesses. A material weakness is a deficiency, or combination of deficiencies, in internal control over financial reporting, such that there is a reasonable possibility that a material misstatement of the entity’s financial statements will not be prevented or detected on a timely basis. Any material weaknesses could result in a material misstatement of our annual or quarterly financial statements or disclosures that may not be prevented or detected. The existence of any material weakness would require management to devote significant time and incur significant expense to remediate any such material weakness, and management may not be able to remediate any such material weakness in a timely manner.</w:t>
      </w:r>
    </w:p>
    <w:p>
      <w:pPr>
        <w:spacing w:after="0" w:line="2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fail to implement the requirements of Section 404 in the required timeframe, we may be subject to sanctions or investigations by regulatory authorities, including the Securities and Exchange Commission (“SEC”) and The Nasdaq Global Select Market. Furthermore, if we are unable to conclude that our internal control over financial reporting is effective, we could lose investor confidence in the accuracy and completeness of our financial reports, the market price of our securities could decline, and we could be subject to sanctions or investigations by regulatory authorities or litigation. Failure to implement or maintain effective internal control over financial reporting and disclosure controls and procedures required of public companies could also restrict our future access to the capital markets.</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preparing our financial statements for the year ending December 31, 2022, we determined that a material weakness existed in our internal control over financial reporting due to ineffective controls for evaluation and review of the accounting for revenue recognition. We initiated plans to remediate the material weakness and determined that as of June 30, 2023, the material weakness had been remediated. There can be no assurance that we will not identify additional material weaknesses in the future.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6" w:name="page67"/>
    <w:bookmarkEnd w:id="6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future periods, if our management is unable to conclude that we have effective internal control over financial reporting, or to certify the effectiveness of such controls, or if additional material weaknesses in our internal control over financial reporting are identified, our ability to record, process, and report financial information accurately, and to prepare financial statements within the time periods specified by the rules and forms of the SEC, could be adversely affected which, in turn, may adversely affect our business and the market price of our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purchasers of our common stock could incur substantial losses.</w:t>
      </w:r>
    </w:p>
    <w:p>
      <w:pPr>
        <w:spacing w:after="0" w:line="13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Our stock price is volatile. Since our initial public offering (“IPO”), our stock had low and high sales prices in the range of $1.07 and $35.00 per share. The market price for our common stock may be influenced by many factors, including the other risks described in this section titled “Risk Factors” and the following:</w:t>
      </w:r>
    </w:p>
    <w:p>
      <w:pPr>
        <w:spacing w:after="0" w:line="70" w:lineRule="exact"/>
        <w:rPr>
          <w:sz w:val="20"/>
          <w:szCs w:val="20"/>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collaborators;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 especially changes in laws or regulations applicable to our products;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4" w:lineRule="exact"/>
        <w:rPr>
          <w:rFonts w:ascii="Times New Roman" w:cs="Times New Roman" w:eastAsia="Times New Roman" w:hAnsi="Times New Roman"/>
          <w:sz w:val="18"/>
          <w:szCs w:val="18"/>
          <w:color w:val="auto"/>
        </w:rPr>
      </w:pPr>
    </w:p>
    <w:p>
      <w:pPr>
        <w:ind w:left="1020" w:right="180" w:hanging="504"/>
        <w:spacing w:after="0" w:line="279"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studies, manufacturing process or sales and marketing terms;</w:t>
      </w:r>
    </w:p>
    <w:p>
      <w:pPr>
        <w:spacing w:after="0" w:line="114" w:lineRule="exact"/>
        <w:rPr>
          <w:rFonts w:ascii="Times New Roman" w:cs="Times New Roman" w:eastAsia="Times New Roman" w:hAnsi="Times New Roman"/>
          <w:sz w:val="18"/>
          <w:szCs w:val="18"/>
          <w:color w:val="auto"/>
        </w:rPr>
      </w:pPr>
    </w:p>
    <w:p>
      <w:pPr>
        <w:ind w:left="1020" w:right="340" w:hanging="504"/>
        <w:spacing w:after="0" w:line="279"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any pandemic and related governmental regulations and restrictions may impact our business, including our research, clinical trials, manufacturing and financial condition, as well as the impact of other natural disasters and other calamities;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4" w:lineRule="exact"/>
        <w:rPr>
          <w:rFonts w:ascii="Times New Roman" w:cs="Times New Roman" w:eastAsia="Times New Roman" w:hAnsi="Times New Roman"/>
          <w:sz w:val="18"/>
          <w:szCs w:val="18"/>
          <w:color w:val="auto"/>
        </w:rPr>
      </w:pPr>
    </w:p>
    <w:p>
      <w:pPr>
        <w:ind w:left="1020" w:right="180" w:hanging="504"/>
        <w:spacing w:after="0" w:line="279"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existing or future collaborations, including but not limited to those with our sources of manufacturing supply and our commercialization partners;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4" w:lineRule="exact"/>
        <w:rPr>
          <w:rFonts w:ascii="Times New Roman" w:cs="Times New Roman" w:eastAsia="Times New Roman" w:hAnsi="Times New Roman"/>
          <w:sz w:val="18"/>
          <w:szCs w:val="18"/>
          <w:color w:val="auto"/>
        </w:rPr>
      </w:pPr>
    </w:p>
    <w:p>
      <w:pPr>
        <w:ind w:left="1020" w:right="180" w:hanging="504"/>
        <w:spacing w:after="0" w:line="279"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4" w:lineRule="exact"/>
        <w:rPr>
          <w:rFonts w:ascii="Times New Roman" w:cs="Times New Roman" w:eastAsia="Times New Roman" w:hAnsi="Times New Roman"/>
          <w:sz w:val="18"/>
          <w:szCs w:val="18"/>
          <w:color w:val="auto"/>
        </w:rPr>
      </w:pPr>
    </w:p>
    <w:p>
      <w:pPr>
        <w:ind w:left="1020" w:right="140" w:hanging="504"/>
        <w:spacing w:after="0" w:line="279"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761" w:right="41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49"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equity or of debt securities that are convertible into equity will dilute our share capital.</w:t>
      </w:r>
    </w:p>
    <w:p>
      <w:pPr>
        <w:spacing w:after="0" w:line="13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addition, in January and February 2021, we sold 16,428,571 shares of our common stock at $7.00 per share in an underwritten public offering. In July 2023, we sold pre-funded warrants to purchase up to 14,423,077 shares of common stock and accompanying Tranche Warrants to purchase up to 11,538,462 shares of our common stock.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Additionally, future sales of our common stock at prices below the exercise price of the Tranche Warrants may lower the exercise price of the Tranche Warrants. No prediction can be made as to the effect, if any, that future sales of common stock or the availability of common stock for future sales will have on the trading price of our common stock.</w:t>
      </w:r>
    </w:p>
    <w:p>
      <w:pPr>
        <w:spacing w:after="0" w:line="187" w:lineRule="exact"/>
        <w:rPr>
          <w:sz w:val="20"/>
          <w:szCs w:val="20"/>
          <w:color w:val="auto"/>
        </w:rPr>
      </w:pPr>
    </w:p>
    <w:p>
      <w:pPr>
        <w:ind w:right="8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market for our common stock may not be maintained.</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79"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As of March 31, 2024, our executive officers, directors, holders of 5% or more of our capital stock based on publicly available filings made with the SEC and their respective affiliates beneficially owned approximately 28% of our outstanding common stock. In addition, in our July 2023 private placement, a certain holder of 5% or more of our capital stock acquired pre-funded warrants and accompanying Tranche Warrants to purchase shares of our common stock. Until exercised, the shares issuable upon the exercise of the pre-funded warrants and the Tranche Warrants are not included in the number of our outstanding shares of common stock. If such holder exercises their warrants, then the shares of our capital stock beneficially owned by our executive officers, directors, holders of 5% or more of our capital stock and their respective affiliates would increase significantly. Therefore, these stockholders have the ability to influence us through this ownership position. These stockholders may be able to determine all matters requiring stockholder approval. For example, these stockholders may be</w:t>
      </w:r>
    </w:p>
    <w:p>
      <w:pPr>
        <w:sectPr>
          <w:pgSz w:w="11900" w:h="16838" w:orient="portrait"/>
          <w:cols w:equalWidth="0" w:num="1">
            <w:col w:w="11240"/>
          </w:cols>
          <w:pgMar w:left="320" w:top="761"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68" w:name="page69"/>
    <w:bookmarkEnd w:id="6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73" w:lineRule="exact"/>
        <w:rPr>
          <w:sz w:val="20"/>
          <w:szCs w:val="20"/>
          <w:color w:val="auto"/>
        </w:rPr>
      </w:pPr>
    </w:p>
    <w:p>
      <w:pPr>
        <w:ind w:right="8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6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6" w:lineRule="exact"/>
        <w:rPr>
          <w:sz w:val="20"/>
          <w:szCs w:val="20"/>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our stockholders by written consent;</w:t>
      </w:r>
    </w:p>
    <w:p>
      <w:pPr>
        <w:spacing w:after="0" w:line="114" w:lineRule="exact"/>
        <w:rPr>
          <w:rFonts w:ascii="Times New Roman" w:cs="Times New Roman" w:eastAsia="Times New Roman" w:hAnsi="Times New Roman"/>
          <w:sz w:val="18"/>
          <w:szCs w:val="18"/>
          <w:color w:val="auto"/>
        </w:rPr>
      </w:pPr>
    </w:p>
    <w:p>
      <w:pPr>
        <w:ind w:left="1020" w:right="100" w:hanging="504"/>
        <w:spacing w:after="0" w:line="25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7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election to our board of directors and for proposing matters that can be acted upon at stockholder meetings;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serving staggered terms of three years each;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2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179"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6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2"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5"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from class action litigation due to our expected stock volatility.</w:t>
      </w:r>
    </w:p>
    <w:p>
      <w:pPr>
        <w:spacing w:after="0" w:line="132"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6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8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8"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Any future pandemic could adversely impact our business, including our research, development, including clinical trials, manufacturing and financial condition.</w:t>
      </w:r>
    </w:p>
    <w:p>
      <w:pPr>
        <w:spacing w:after="0" w:line="6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impact of future pandemics could severely impact the business, research, development and manufacturing for us and our partners including ongoing or planned clinical trials for CX-904, CX-2051 and CX-801, and clinical trials of our partners. For example, in December 2019, a novel strain of coronavirus, COVID-19, was reported to have surfaced in Wuhan, China, and spread to multiple countries, including the United States and European and Asia-Pacific countries. As a result, our operations and the operations of our partners were impacted for a substantial period of time. Future pandemics may incur similar or more severe disruptions and impacts. These disruptions and impacts may include:</w:t>
      </w:r>
    </w:p>
    <w:p>
      <w:pPr>
        <w:spacing w:after="0" w:line="76" w:lineRule="exact"/>
        <w:rPr>
          <w:sz w:val="20"/>
          <w:szCs w:val="20"/>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research activities or obtaining necessary supplies to enable research;</w:t>
      </w:r>
    </w:p>
    <w:p>
      <w:pPr>
        <w:spacing w:after="0" w:line="114" w:lineRule="exact"/>
        <w:rPr>
          <w:rFonts w:ascii="Times New Roman" w:cs="Times New Roman" w:eastAsia="Times New Roman" w:hAnsi="Times New Roman"/>
          <w:sz w:val="18"/>
          <w:szCs w:val="18"/>
          <w:color w:val="auto"/>
        </w:rPr>
      </w:pPr>
    </w:p>
    <w:p>
      <w:pPr>
        <w:ind w:left="1020" w:right="100" w:hanging="504"/>
        <w:spacing w:after="0" w:line="279"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for any clinical trials we or our partners decide to initiate, including CX-904, CX-2051 and CX-801, including difficulties in recruiting clinical site investigators and clinical site staff and clinical trial enrollment;</w:t>
      </w:r>
    </w:p>
    <w:p>
      <w:pPr>
        <w:spacing w:after="0" w:line="54" w:lineRule="exact"/>
        <w:rPr>
          <w:rFonts w:ascii="Times New Roman" w:cs="Times New Roman" w:eastAsia="Times New Roman" w:hAnsi="Times New Roman"/>
          <w:sz w:val="18"/>
          <w:szCs w:val="18"/>
          <w:color w:val="auto"/>
        </w:rPr>
      </w:pPr>
    </w:p>
    <w:p>
      <w:pPr>
        <w:ind w:left="1020" w:right="200" w:hanging="504"/>
        <w:spacing w:after="0" w:line="279"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54" w:lineRule="exact"/>
        <w:rPr>
          <w:rFonts w:ascii="Times New Roman" w:cs="Times New Roman" w:eastAsia="Times New Roman" w:hAnsi="Times New Roman"/>
          <w:sz w:val="18"/>
          <w:szCs w:val="18"/>
          <w:color w:val="auto"/>
        </w:rPr>
      </w:pPr>
    </w:p>
    <w:p>
      <w:pPr>
        <w:ind w:left="1020" w:right="500" w:hanging="504"/>
        <w:spacing w:after="0" w:line="279"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interpreting clinical data due to patients being infected by pandemic disease;</w:t>
      </w:r>
    </w:p>
    <w:p>
      <w:pPr>
        <w:spacing w:after="0" w:line="114" w:lineRule="exact"/>
        <w:rPr>
          <w:rFonts w:ascii="Times New Roman" w:cs="Times New Roman" w:eastAsia="Times New Roman" w:hAnsi="Times New Roman"/>
          <w:sz w:val="18"/>
          <w:szCs w:val="18"/>
          <w:color w:val="auto"/>
        </w:rPr>
      </w:pPr>
    </w:p>
    <w:p>
      <w:pPr>
        <w:ind w:left="1020" w:right="340" w:hanging="504"/>
        <w:spacing w:after="0" w:line="309" w:lineRule="auto"/>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32"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or our partners’ planned clinical trials;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or our partners’ clinical trials;</w:t>
      </w:r>
    </w:p>
    <w:p>
      <w:pPr>
        <w:spacing w:after="0" w:line="114" w:lineRule="exact"/>
        <w:rPr>
          <w:rFonts w:ascii="Times New Roman" w:cs="Times New Roman" w:eastAsia="Times New Roman" w:hAnsi="Times New Roman"/>
          <w:sz w:val="18"/>
          <w:szCs w:val="18"/>
          <w:color w:val="auto"/>
        </w:rPr>
      </w:pPr>
    </w:p>
    <w:p>
      <w:pPr>
        <w:ind w:left="1020" w:hanging="504"/>
        <w:spacing w:after="0" w:line="279"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right="220" w:hanging="504"/>
        <w:spacing w:after="0" w:line="309" w:lineRule="auto"/>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local regulations as part of a response to a pandemic outbreak which may require us or our partners to change the ways in which clinical trials are conducted, which may result in unexpected costs, or cause us or our partners to discontinue the clinical trials altogether;</w:t>
      </w:r>
    </w:p>
    <w:p>
      <w:pPr>
        <w:spacing w:after="0" w:line="32" w:lineRule="exact"/>
        <w:rPr>
          <w:rFonts w:ascii="Times New Roman" w:cs="Times New Roman" w:eastAsia="Times New Roman" w:hAnsi="Times New Roman"/>
          <w:sz w:val="17"/>
          <w:szCs w:val="17"/>
          <w:color w:val="auto"/>
        </w:rPr>
      </w:pPr>
    </w:p>
    <w:p>
      <w:pPr>
        <w:ind w:left="1020" w:right="320" w:hanging="504"/>
        <w:spacing w:after="0" w:line="279"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 outside the United States.</w:t>
      </w:r>
    </w:p>
    <w:p>
      <w:pPr>
        <w:spacing w:after="0" w:line="249"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18"/>
          <w:szCs w:val="18"/>
          <w:color w:val="auto"/>
        </w:rPr>
        <w:t>We cannot be certain of the impact of any future pandemic on our business or make any assurance that research, development or manufacturing of our product candidates will not be delayed, discontinued or otherwise impacted.</w:t>
      </w:r>
    </w:p>
    <w:p>
      <w:pPr>
        <w:spacing w:after="0" w:line="18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Any of the potential business, research and clinical impacts arising as a result of any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204" w:lineRule="exact"/>
        <w:rPr>
          <w:sz w:val="20"/>
          <w:szCs w:val="20"/>
          <w:color w:val="auto"/>
        </w:rPr>
      </w:pPr>
    </w:p>
    <w:p>
      <w:pPr>
        <w:ind w:right="600"/>
        <w:spacing w:after="0" w:line="279" w:lineRule="auto"/>
        <w:rPr>
          <w:sz w:val="20"/>
          <w:szCs w:val="20"/>
          <w:color w:val="auto"/>
        </w:rPr>
      </w:pPr>
      <w:r>
        <w:rPr>
          <w:rFonts w:ascii="Times New Roman" w:cs="Times New Roman" w:eastAsia="Times New Roman" w:hAnsi="Times New Roman"/>
          <w:sz w:val="18"/>
          <w:szCs w:val="18"/>
          <w:color w:val="auto"/>
        </w:rPr>
        <w:t>In addition, a pandemic may negatively impact the trading price of shares of our common stock and could further severely impact our ability to raise additional capital on a timely basis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U.S. and multi-national financial market conditions may adversely affect our business and financial position.</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maintains the majority of its cash and cash equivalents in accounts with major U.S. and multi-national financial institutions, and our deposits at certain of these institutions may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assets or form strategic alliances in the future, and we may not realize the benefits of such acquisitions</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21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8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spacing w:after="0" w:line="55" w:lineRule="exact"/>
        <w:rPr>
          <w:sz w:val="20"/>
          <w:szCs w:val="20"/>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acquisition costs;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incur substantial debt or engage in dilutive issuances of equity securities to pay for acquisitions;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historical business and our activities under our collaboration agreements;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strain on, and need to expand, our existing operational, technical, financial and administrative infrastructure;</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experience in late-stage product development and commercialization;</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assimilating employees and corporate cultures;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hiring qualified personnel and establishing necessary development and/or commercialization capabilities;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retain key management and other personnel;</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 controlling additional costs and expenses in connection with and as a result of the acquisition;</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write down assets or recognize impairment charges;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to integration of operations and corporate and administrative infrastructures;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liabilities for activities of or related to the acquired business or its operations, products or product candidates.</w:t>
      </w:r>
    </w:p>
    <w:p>
      <w:pPr>
        <w:spacing w:after="0" w:line="24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178"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185"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6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clinical trial data, and the personal information of our employees (collectively, “Confidential Information”). It is important to our operations and business strategy that this Confidential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w:t>
      </w:r>
    </w:p>
    <w:p>
      <w:pPr>
        <w:spacing w:after="0" w:line="213"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Attacks upon information technology systems are also increasing in their frequency, levels of persistence, sophistication and intensity, and are being conducted by sophisticated and organized groups and individuals with a wide range of motives and expertise. As a result of our continued hybrid working environment, we may also face increased cybersecurity risks due to our dependency on remote working technology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To the extent that any disruption or security breach were to result in a loss of, or damage to, our data, or inappropriate disclosure of Confidential Information, we could incur liability, recovery of our data could take a prolonged period of time, and the development of our research or product candidates could be delayed.</w:t>
      </w:r>
    </w:p>
    <w:p>
      <w:pPr>
        <w:spacing w:after="0" w:line="2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There can be no assurance that our and our third-party service providers’ risk management program and processes, including policies, controls or procedures, will be fully implemented, complied with or effective in protecting our systems, networks and Confidential Information. 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To the extent that any disruption or security breach were to result in a loss of, or damage to, our data or systems, or inappropriate disclosure of Confidential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w:t>
      </w:r>
    </w:p>
    <w:p>
      <w:pPr>
        <w:spacing w:after="0" w:line="2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Further, our insurance coverage may not be sufficient to cover the financial, legal, business or reputational losses that may result from an interruption or breach of our systems. Significant disruptions of our information technology systems or breaches of data security could have a material adverse effect on our business, financial condition and results of operations.</w:t>
      </w:r>
    </w:p>
    <w:p>
      <w:pPr>
        <w:spacing w:after="0" w:line="179"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ongoing armed conflict between Russia and Ukraine or other international conflicts could adversely affect our business, financial condition, and results of operations.</w:t>
      </w:r>
    </w:p>
    <w:p>
      <w:pPr>
        <w:spacing w:after="0" w:line="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20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spacing w:after="0" w:line="75" w:lineRule="exact"/>
        <w:rPr>
          <w:sz w:val="20"/>
          <w:szCs w:val="20"/>
          <w:color w:val="auto"/>
        </w:rPr>
      </w:pPr>
    </w:p>
    <w:p>
      <w:pPr>
        <w:ind w:left="1020" w:right="200" w:hanging="504"/>
        <w:spacing w:after="0" w:line="263"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spacing w:after="0" w:line="70" w:lineRule="exact"/>
        <w:rPr>
          <w:rFonts w:ascii="Times New Roman" w:cs="Times New Roman" w:eastAsia="Times New Roman" w:hAnsi="Times New Roman"/>
          <w:sz w:val="18"/>
          <w:szCs w:val="18"/>
          <w:color w:val="auto"/>
        </w:rPr>
      </w:pPr>
    </w:p>
    <w:p>
      <w:pPr>
        <w:ind w:left="1020" w:right="140" w:hanging="504"/>
        <w:spacing w:after="0" w:line="279"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Russian and Belarusian individuals, including the Russian President, other politicians, and those with government connections or involved in Russian military activities; and</w:t>
      </w:r>
    </w:p>
    <w:p>
      <w:pPr>
        <w:spacing w:after="0" w:line="54" w:lineRule="exact"/>
        <w:rPr>
          <w:rFonts w:ascii="Times New Roman" w:cs="Times New Roman" w:eastAsia="Times New Roman" w:hAnsi="Times New Roman"/>
          <w:sz w:val="18"/>
          <w:szCs w:val="18"/>
          <w:color w:val="auto"/>
        </w:rPr>
      </w:pPr>
    </w:p>
    <w:p>
      <w:pPr>
        <w:ind w:left="1020" w:right="460" w:hanging="504"/>
        <w:spacing w:after="0" w:line="279"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of Russia’s foreign currency reserves as well as expansion of sectoral sanctions and export and trade restrictions, limitations on investments and access to capital markets, and bans on various Russian imports.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2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actively monitoring the situation in Ukraine and Russia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spacing w:after="0" w:line="18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Additionally, other armed conflicts that arise from time to time, including the current conflict between Israel and Hamas, have the potential to cause global impacts that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3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72" w:lineRule="exact"/>
        <w:rPr>
          <w:sz w:val="20"/>
          <w:szCs w:val="20"/>
          <w:color w:val="auto"/>
        </w:rPr>
      </w:pPr>
    </w:p>
    <w:p>
      <w:pPr>
        <w:ind w:right="5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6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spacing w:after="0" w:line="184"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74" w:name="page75"/>
    <w:bookmarkEnd w:id="7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Shares or of Company Equity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8"/>
          <w:szCs w:val="18"/>
          <w:color w:val="auto"/>
        </w:rPr>
        <w:t>None of our directors or officers (as defined in Rule 16a-1 under the Exchange Act) adopted, modified or terminated a Rule 10b5-1 trading arrangement or non-Rule 10b5-1 trading arrangement during the quarter ended March 31, 2024, as such terms are defined under Item 408(a) of Regulation S-K, except as follows:</w:t>
      </w:r>
    </w:p>
    <w:p>
      <w:pPr>
        <w:spacing w:after="0" w:line="28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On March 26, 2024, Sean A. McCarthy, our Chief Executive Officer, terminated a Rule 10b5-1 trading arrangement intended to satisfy the affirmative defense of Rule 10b5-1(c) and originally adopted on June 01, 2023, for the sale of up to 109,768 shares of the Company’s common stock until February 07, 2025.</w:t>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761" w:right="439" w:bottom="1440" w:gutter="0" w:footer="0" w:header="0"/>
        </w:sectPr>
      </w:pPr>
    </w:p>
    <w:bookmarkStart w:id="75" w:name="page76"/>
    <w:bookmarkEnd w:id="75"/>
    <w:p>
      <w:pPr>
        <w:ind w:left="4580"/>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760" w:type="dxa"/>
            <w:vAlign w:val="bottom"/>
            <w:gridSpan w:val="9"/>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5900" w:type="dxa"/>
            <w:vAlign w:val="bottom"/>
            <w:gridSpan w:val="14"/>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Amended and Restated Certificate of Incorporation.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5900" w:type="dxa"/>
            <w:vAlign w:val="bottom"/>
            <w:gridSpan w:val="14"/>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Certificate of Amendment to Amended and Restated Certificate of Incorporation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gridSpan w:val="14"/>
          </w:tcPr>
          <w:p>
            <w:pPr>
              <w:spacing w:after="0" w:line="195"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of CytomX Therapeutics, Inc.</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Pr>
          <w:p>
            <w:pPr>
              <w:spacing w:after="0"/>
              <w:rPr>
                <w:sz w:val="24"/>
                <w:szCs w:val="24"/>
                <w:color w:val="auto"/>
              </w:rPr>
            </w:pPr>
          </w:p>
        </w:tc>
        <w:tc>
          <w:tcPr>
            <w:tcW w:w="5900" w:type="dxa"/>
            <w:vAlign w:val="bottom"/>
            <w:gridSpan w:val="14"/>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Amended and Restated Bylaws of CytomX Therapeutics, Inc., effective March</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spacing w:after="0" w:line="195" w:lineRule="exact"/>
              <w:rPr>
                <w:rFonts w:ascii="Times New Roman" w:cs="Times New Roman" w:eastAsia="Times New Roman" w:hAnsi="Times New Roman"/>
                <w:sz w:val="18"/>
                <w:szCs w:val="18"/>
                <w:color w:val="0000FF"/>
                <w:w w:val="94"/>
              </w:rPr>
            </w:pPr>
            <w:hyperlink r:id="rId193">
              <w:r>
                <w:rPr>
                  <w:rFonts w:ascii="Times New Roman" w:cs="Times New Roman" w:eastAsia="Times New Roman" w:hAnsi="Times New Roman"/>
                  <w:sz w:val="18"/>
                  <w:szCs w:val="18"/>
                  <w:color w:val="0000FF"/>
                  <w:w w:val="94"/>
                </w:rPr>
                <w:t>20, 2024.</w:t>
              </w:r>
            </w:hyperlink>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Reference is made to Exhibits 3.1 through 3.2.</w:t>
            </w:r>
          </w:p>
        </w:tc>
        <w:tc>
          <w:tcPr>
            <w:tcW w:w="0" w:type="dxa"/>
            <w:vAlign w:val="bottom"/>
          </w:tcPr>
          <w:p>
            <w:pPr>
              <w:spacing w:after="0"/>
              <w:rPr>
                <w:sz w:val="1"/>
                <w:szCs w:val="1"/>
                <w:color w:val="auto"/>
              </w:rPr>
            </w:pPr>
          </w:p>
        </w:tc>
      </w:tr>
      <w:tr>
        <w:trPr>
          <w:trHeight w:val="44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5900" w:type="dxa"/>
            <w:vAlign w:val="bottom"/>
            <w:gridSpan w:val="14"/>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Specimen Common Stock Certificate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EE"/>
            </w:tcBorders>
            <w:gridSpan w:val="2"/>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Amendment No. 4 to the Collaboration and License Agreement, dated as of</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March 28, 2024, by and between CytomX Therapeutics, Inc. and Amgen, Inc.</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60" w:type="dxa"/>
            <w:vAlign w:val="bottom"/>
          </w:tcPr>
          <w:p>
            <w:pPr>
              <w:spacing w:after="0"/>
              <w:rPr>
                <w:sz w:val="24"/>
                <w:szCs w:val="24"/>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Executive Principal required by Rule 13a-14(a) or Rule</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50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15d-14(a).</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60" w:type="dxa"/>
            <w:vAlign w:val="bottom"/>
          </w:tcPr>
          <w:p>
            <w:pPr>
              <w:spacing w:after="0"/>
              <w:rPr>
                <w:sz w:val="24"/>
                <w:szCs w:val="24"/>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Principal required by Rule 13a-14(a) or Rule 15d-</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460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14(a).</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required by Rule 13a-14(b) or Rule 15d-</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4"/>
            <w:shd w:val="clear" w:color="auto" w:fill="0000FF"/>
          </w:tcPr>
          <w:p>
            <w:pPr>
              <w:spacing w:after="0" w:line="20" w:lineRule="exact"/>
              <w:rPr>
                <w:sz w:val="1"/>
                <w:szCs w:val="1"/>
                <w:color w:val="auto"/>
              </w:rPr>
            </w:pPr>
          </w:p>
        </w:tc>
        <w:tc>
          <w:tcPr>
            <w:tcW w:w="460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14(b) and Section 1350 of Chapter 63 of Title 18 of the United States Code (18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FF"/>
            </w:tcBorders>
            <w:gridSpan w:val="4"/>
            <w:shd w:val="clear" w:color="auto" w:fill="0000FF"/>
          </w:tcPr>
          <w:p>
            <w:pPr>
              <w:spacing w:after="0" w:line="20" w:lineRule="exact"/>
              <w:rPr>
                <w:sz w:val="1"/>
                <w:szCs w:val="1"/>
                <w:color w:val="auto"/>
              </w:rPr>
            </w:pPr>
          </w:p>
        </w:tc>
        <w:tc>
          <w:tcPr>
            <w:tcW w:w="460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U.S.C. §1350).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EE"/>
            </w:tcBorders>
            <w:gridSpan w:val="4"/>
            <w:shd w:val="clear" w:color="auto" w:fill="0000FF"/>
          </w:tcPr>
          <w:p>
            <w:pPr>
              <w:spacing w:after="0" w:line="20" w:lineRule="exact"/>
              <w:rPr>
                <w:sz w:val="1"/>
                <w:szCs w:val="1"/>
                <w:color w:val="auto"/>
              </w:rPr>
            </w:pPr>
          </w:p>
        </w:tc>
        <w:tc>
          <w:tcPr>
            <w:tcW w:w="466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4"/>
                <w:szCs w:val="24"/>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required by Rule 13a-14(b) or Rule 15d-</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740" w:type="dxa"/>
            <w:vAlign w:val="bottom"/>
            <w:gridSpan w:val="1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14(b) and Section 1350 of Chapter 63 of Title 18 of the United States Code (18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80" w:type="dxa"/>
            <w:vAlign w:val="bottom"/>
            <w:gridSpan w:val="11"/>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U.S.C. §1350).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EE"/>
            </w:tcBorders>
            <w:gridSpan w:val="4"/>
            <w:shd w:val="clear" w:color="auto" w:fill="0000FF"/>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60" w:type="dxa"/>
            <w:vAlign w:val="bottom"/>
          </w:tcPr>
          <w:p>
            <w:pPr>
              <w:spacing w:after="0"/>
              <w:rPr>
                <w:sz w:val="24"/>
                <w:szCs w:val="24"/>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0" w:type="dxa"/>
            <w:vAlign w:val="bottom"/>
          </w:tcPr>
          <w:p>
            <w:pPr>
              <w:spacing w:after="0"/>
              <w:rPr>
                <w:sz w:val="1"/>
                <w:szCs w:val="1"/>
                <w:color w:val="auto"/>
              </w:rPr>
            </w:pPr>
          </w:p>
        </w:tc>
      </w:tr>
      <w:tr>
        <w:trPr>
          <w:trHeight w:val="38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60" w:type="dxa"/>
            <w:vAlign w:val="bottom"/>
          </w:tcPr>
          <w:p>
            <w:pPr>
              <w:spacing w:after="0"/>
              <w:rPr>
                <w:sz w:val="24"/>
                <w:szCs w:val="24"/>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8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160" w:type="dxa"/>
            <w:vAlign w:val="bottom"/>
          </w:tcPr>
          <w:p>
            <w:pPr>
              <w:spacing w:after="0"/>
              <w:rPr>
                <w:sz w:val="24"/>
                <w:szCs w:val="24"/>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8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8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160" w:type="dxa"/>
            <w:vAlign w:val="bottom"/>
          </w:tcPr>
          <w:p>
            <w:pPr>
              <w:spacing w:after="0"/>
              <w:rPr>
                <w:sz w:val="24"/>
                <w:szCs w:val="24"/>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8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60" w:type="dxa"/>
            <w:vAlign w:val="bottom"/>
          </w:tcPr>
          <w:p>
            <w:pPr>
              <w:spacing w:after="0"/>
              <w:rPr>
                <w:sz w:val="24"/>
                <w:szCs w:val="24"/>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360" w:right="380" w:hanging="843"/>
        <w:spacing w:after="0" w:line="279" w:lineRule="auto"/>
        <w:tabs>
          <w:tab w:leader="none" w:pos="13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3"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Certain confidential portions of this exhibit have been omitted from this exhibit.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00" w:type="dxa"/>
            <w:vAlign w:val="bottom"/>
            <w:vMerge w:val="restart"/>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Form</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6"/>
        </w:trPr>
        <w:tc>
          <w:tcPr>
            <w:tcW w:w="6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3"/>
        </w:trPr>
        <w:tc>
          <w:tcPr>
            <w:tcW w:w="60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2"/>
              </w:rPr>
              <w:t>8-K</w:t>
            </w:r>
          </w:p>
        </w:tc>
        <w:tc>
          <w:tcPr>
            <w:tcW w:w="1500" w:type="dxa"/>
            <w:vAlign w:val="bottom"/>
            <w:gridSpan w:val="3"/>
          </w:tcPr>
          <w:p>
            <w:pPr>
              <w:jc w:val="center"/>
              <w:ind w:left="315"/>
              <w:spacing w:after="0"/>
              <w:rPr>
                <w:sz w:val="20"/>
                <w:szCs w:val="20"/>
                <w:color w:val="auto"/>
              </w:rPr>
            </w:pPr>
            <w:r>
              <w:rPr>
                <w:rFonts w:ascii="Times New Roman" w:cs="Times New Roman" w:eastAsia="Times New Roman" w:hAnsi="Times New Roman"/>
                <w:sz w:val="18"/>
                <w:szCs w:val="18"/>
                <w:color w:val="auto"/>
                <w:w w:val="99"/>
              </w:rPr>
              <w:t>10/19/2015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60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3"/>
          </w:tcPr>
          <w:p>
            <w:pPr>
              <w:jc w:val="center"/>
              <w:ind w:left="335"/>
              <w:spacing w:after="0"/>
              <w:rPr>
                <w:sz w:val="20"/>
                <w:szCs w:val="20"/>
                <w:color w:val="auto"/>
              </w:rPr>
            </w:pPr>
            <w:r>
              <w:rPr>
                <w:rFonts w:ascii="Times New Roman" w:cs="Times New Roman" w:eastAsia="Times New Roman" w:hAnsi="Times New Roman"/>
                <w:sz w:val="18"/>
                <w:szCs w:val="18"/>
                <w:color w:val="auto"/>
                <w:w w:val="98"/>
              </w:rPr>
              <w:t>6/23/2020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7"/>
        </w:trPr>
        <w:tc>
          <w:tcPr>
            <w:tcW w:w="60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2"/>
              </w:rPr>
              <w:t>8-K</w:t>
            </w:r>
          </w:p>
        </w:tc>
        <w:tc>
          <w:tcPr>
            <w:tcW w:w="1500" w:type="dxa"/>
            <w:vAlign w:val="bottom"/>
            <w:gridSpan w:val="3"/>
          </w:tcPr>
          <w:p>
            <w:pPr>
              <w:jc w:val="center"/>
              <w:ind w:left="335"/>
              <w:spacing w:after="0"/>
              <w:rPr>
                <w:sz w:val="20"/>
                <w:szCs w:val="20"/>
                <w:color w:val="auto"/>
              </w:rPr>
            </w:pPr>
            <w:r>
              <w:rPr>
                <w:rFonts w:ascii="Times New Roman" w:cs="Times New Roman" w:eastAsia="Times New Roman" w:hAnsi="Times New Roman"/>
                <w:sz w:val="18"/>
                <w:szCs w:val="18"/>
                <w:color w:val="auto"/>
                <w:w w:val="98"/>
              </w:rPr>
              <w:t>3/22/2024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tabs>
          <w:tab w:leader="none" w:pos="1180" w:val="left"/>
          <w:tab w:leader="none" w:pos="2420" w:val="left"/>
        </w:tabs>
        <w:rPr>
          <w:sz w:val="20"/>
          <w:szCs w:val="20"/>
          <w:color w:val="auto"/>
        </w:rPr>
      </w:pPr>
      <w:r>
        <w:rPr>
          <w:rFonts w:ascii="Times New Roman" w:cs="Times New Roman" w:eastAsia="Times New Roman" w:hAnsi="Times New Roman"/>
          <w:sz w:val="18"/>
          <w:szCs w:val="18"/>
          <w:color w:val="auto"/>
        </w:rPr>
        <w:t>S-1/A</w:t>
      </w:r>
      <w:r>
        <w:rPr>
          <w:sz w:val="20"/>
          <w:szCs w:val="20"/>
          <w:color w:val="auto"/>
        </w:rPr>
        <w:tab/>
      </w:r>
      <w:r>
        <w:rPr>
          <w:rFonts w:ascii="Times New Roman" w:cs="Times New Roman" w:eastAsia="Times New Roman" w:hAnsi="Times New Roman"/>
          <w:sz w:val="18"/>
          <w:szCs w:val="18"/>
          <w:color w:val="auto"/>
        </w:rPr>
        <w:t>9/28/2015</w:t>
      </w:r>
      <w:r>
        <w:rPr>
          <w:sz w:val="20"/>
          <w:szCs w:val="20"/>
          <w:color w:val="auto"/>
        </w:rPr>
        <w:tab/>
      </w:r>
      <w:r>
        <w:rPr>
          <w:rFonts w:ascii="Times New Roman" w:cs="Times New Roman" w:eastAsia="Times New Roman" w:hAnsi="Times New Roman"/>
          <w:sz w:val="17"/>
          <w:szCs w:val="17"/>
          <w:color w:val="auto"/>
        </w:rPr>
        <w:t>4.1</w:t>
      </w:r>
    </w:p>
    <w:p>
      <w:pPr>
        <w:spacing w:after="0" w:line="289"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396"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396"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03"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396"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182"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182"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182"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182"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289"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758" w:lineRule="exact"/>
        <w:rPr>
          <w:sz w:val="20"/>
          <w:szCs w:val="20"/>
          <w:color w:val="auto"/>
        </w:rPr>
      </w:pPr>
    </w:p>
    <w:p>
      <w:pPr>
        <w:sectPr>
          <w:pgSz w:w="11900" w:h="16838" w:orient="portrait"/>
          <w:cols w:equalWidth="0" w:num="2">
            <w:col w:w="7280" w:space="140"/>
            <w:col w:w="3760"/>
          </w:cols>
          <w:pgMar w:left="320" w:top="761" w:right="399" w:bottom="1440" w:gutter="0" w:footer="0" w:header="0"/>
        </w:sectPr>
      </w:pPr>
    </w:p>
    <w:p>
      <w:pPr>
        <w:ind w:right="40" w:firstLine="7"/>
        <w:spacing w:after="0" w:line="286" w:lineRule="auto"/>
        <w:tabs>
          <w:tab w:leader="none" w:pos="13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type w:val="continuous"/>
        </w:sectPr>
      </w:pPr>
    </w:p>
    <w:bookmarkStart w:id="76" w:name="page77"/>
    <w:bookmarkEnd w:id="7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6" w:lineRule="exact"/>
        <w:rPr>
          <w:sz w:val="20"/>
          <w:szCs w:val="20"/>
          <w:color w:val="auto"/>
        </w:rPr>
      </w:pPr>
    </w:p>
    <w:p>
      <w:pPr>
        <w:ind w:left="20"/>
        <w:spacing w:after="0"/>
        <w:tabs>
          <w:tab w:leader="none" w:pos="6360" w:val="left"/>
          <w:tab w:leader="none" w:pos="822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A.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24765</wp:posOffset>
            </wp:positionV>
            <wp:extent cx="28174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2817495" cy="8255"/>
                    </a:xfrm>
                    <a:prstGeom prst="rect">
                      <a:avLst/>
                    </a:prstGeom>
                    <a:noFill/>
                  </pic:spPr>
                </pic:pic>
              </a:graphicData>
            </a:graphic>
          </wp:anchor>
        </w:drawing>
      </w:r>
    </w:p>
    <w:p>
      <w:pPr>
        <w:spacing w:after="0" w:line="24"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Sean A. McCarthy, D. Phil.</w:t>
      </w:r>
    </w:p>
    <w:p>
      <w:pPr>
        <w:spacing w:after="0" w:line="3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w:t>
      </w:r>
    </w:p>
    <w:p>
      <w:pPr>
        <w:spacing w:after="0" w:line="3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84" w:lineRule="exact"/>
        <w:rPr>
          <w:sz w:val="20"/>
          <w:szCs w:val="20"/>
          <w:color w:val="auto"/>
        </w:rPr>
      </w:pPr>
    </w:p>
    <w:p>
      <w:pPr>
        <w:ind w:left="20"/>
        <w:spacing w:after="0"/>
        <w:tabs>
          <w:tab w:leader="none" w:pos="6360" w:val="left"/>
          <w:tab w:leader="none" w:pos="810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W. Ogden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24765</wp:posOffset>
            </wp:positionV>
            <wp:extent cx="28174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2817495" cy="8255"/>
                    </a:xfrm>
                    <a:prstGeom prst="rect">
                      <a:avLst/>
                    </a:prstGeom>
                    <a:noFill/>
                  </pic:spPr>
                </pic:pic>
              </a:graphicData>
            </a:graphic>
          </wp:anchor>
        </w:drawing>
      </w:r>
    </w:p>
    <w:p>
      <w:pPr>
        <w:spacing w:after="0" w:line="24"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Christopher W. Ogden</w:t>
      </w:r>
    </w:p>
    <w:p>
      <w:pPr>
        <w:spacing w:after="0" w:line="34"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Senior Vice President, Finance and Accounting</w:t>
      </w:r>
    </w:p>
    <w:p>
      <w:pPr>
        <w:spacing w:after="0" w:line="3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7"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761" w:right="459"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auto"/>
        </w:rPr>
        <w:t>DocuSign Envelope ID: BC0B85A8-4C4E-49BF-9DC2-</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i w:val="1"/>
          <w:iCs w:val="1"/>
          <w:color w:val="auto"/>
        </w:rPr>
        <w:t>Certain identified information has been</w:t>
      </w:r>
    </w:p>
    <w:p>
      <w:pPr>
        <w:ind w:left="3280"/>
        <w:spacing w:after="0" w:line="235" w:lineRule="auto"/>
        <w:rPr>
          <w:sz w:val="20"/>
          <w:szCs w:val="20"/>
          <w:color w:val="auto"/>
        </w:rPr>
      </w:pPr>
      <w:r>
        <w:rPr>
          <w:rFonts w:ascii="Times New Roman" w:cs="Times New Roman" w:eastAsia="Times New Roman" w:hAnsi="Times New Roman"/>
          <w:sz w:val="19"/>
          <w:szCs w:val="19"/>
          <w:i w:val="1"/>
          <w:iCs w:val="1"/>
          <w:color w:val="auto"/>
        </w:rPr>
        <w:t>excluded from the exhibit because it is both</w:t>
      </w:r>
    </w:p>
    <w:p>
      <w:pPr>
        <w:spacing w:after="0" w:line="1" w:lineRule="exact"/>
        <w:rPr>
          <w:sz w:val="20"/>
          <w:szCs w:val="20"/>
          <w:color w:val="auto"/>
        </w:rPr>
      </w:pPr>
    </w:p>
    <w:p>
      <w:pPr>
        <w:ind w:left="3280" w:right="3180" w:hanging="6"/>
        <w:spacing w:after="0"/>
        <w:tabs>
          <w:tab w:leader="none" w:pos="3504" w:val="left"/>
        </w:tabs>
        <w:numPr>
          <w:ilvl w:val="0"/>
          <w:numId w:val="4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not material and (ii) may be competitively harmful if publicly disclosed.</w:t>
      </w:r>
    </w:p>
    <w:p>
      <w:pPr>
        <w:spacing w:after="0" w:line="2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1"/>
          <w:szCs w:val="21"/>
          <w:b w:val="1"/>
          <w:bCs w:val="1"/>
          <w:color w:val="auto"/>
        </w:rPr>
        <w:t>AMENDMENT NO. 4</w:t>
      </w:r>
    </w:p>
    <w:p>
      <w:pPr>
        <w:spacing w:after="0" w:line="2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1"/>
          <w:szCs w:val="21"/>
          <w:b w:val="1"/>
          <w:bCs w:val="1"/>
          <w:color w:val="auto"/>
        </w:rPr>
        <w:t>TO THE</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b w:val="1"/>
          <w:bCs w:val="1"/>
          <w:color w:val="auto"/>
        </w:rPr>
        <w:t>COLLABORATION AND LICENSE AGREEMENT</w:t>
      </w:r>
    </w:p>
    <w:p>
      <w:pPr>
        <w:spacing w:after="0" w:line="226" w:lineRule="exact"/>
        <w:rPr>
          <w:sz w:val="20"/>
          <w:szCs w:val="20"/>
          <w:color w:val="auto"/>
        </w:rPr>
      </w:pPr>
    </w:p>
    <w:p>
      <w:pPr>
        <w:jc w:val="both"/>
        <w:ind w:left="980" w:right="480" w:firstLine="644"/>
        <w:spacing w:after="0" w:line="236" w:lineRule="auto"/>
        <w:rPr>
          <w:sz w:val="20"/>
          <w:szCs w:val="20"/>
          <w:color w:val="auto"/>
        </w:rPr>
      </w:pPr>
      <w:r>
        <w:rPr>
          <w:rFonts w:ascii="Times New Roman" w:cs="Times New Roman" w:eastAsia="Times New Roman" w:hAnsi="Times New Roman"/>
          <w:sz w:val="21"/>
          <w:szCs w:val="21"/>
          <w:color w:val="auto"/>
        </w:rPr>
        <w:t>This Amendment No. 4 to the Collaboration Agreement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effective as of the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1"/>
          <w:szCs w:val="21"/>
          <w:color w:val="auto"/>
        </w:rPr>
        <w:t xml:space="preserve"> day of March, 2024 (the “</w:t>
      </w:r>
      <w:r>
        <w:rPr>
          <w:rFonts w:ascii="Times New Roman" w:cs="Times New Roman" w:eastAsia="Times New Roman" w:hAnsi="Times New Roman"/>
          <w:sz w:val="21"/>
          <w:szCs w:val="21"/>
          <w:b w:val="1"/>
          <w:bCs w:val="1"/>
          <w:color w:val="auto"/>
        </w:rPr>
        <w:t>Amendment Effective Date</w:t>
      </w:r>
      <w:r>
        <w:rPr>
          <w:rFonts w:ascii="Times New Roman" w:cs="Times New Roman" w:eastAsia="Times New Roman" w:hAnsi="Times New Roman"/>
          <w:sz w:val="21"/>
          <w:szCs w:val="21"/>
          <w:color w:val="auto"/>
        </w:rPr>
        <w:t>”) by and between Amgen Inc., a Delaware corporation having an address at One Amgen Center Drive, Thousand Oaks, California 91320 (“</w:t>
      </w:r>
      <w:r>
        <w:rPr>
          <w:rFonts w:ascii="Times New Roman" w:cs="Times New Roman" w:eastAsia="Times New Roman" w:hAnsi="Times New Roman"/>
          <w:sz w:val="21"/>
          <w:szCs w:val="21"/>
          <w:b w:val="1"/>
          <w:bCs w:val="1"/>
          <w:color w:val="auto"/>
        </w:rPr>
        <w:t>Amgen</w:t>
      </w:r>
      <w:r>
        <w:rPr>
          <w:rFonts w:ascii="Times New Roman" w:cs="Times New Roman" w:eastAsia="Times New Roman" w:hAnsi="Times New Roman"/>
          <w:sz w:val="21"/>
          <w:szCs w:val="21"/>
          <w:color w:val="auto"/>
        </w:rPr>
        <w:t>”) and CytomX Therapeutics, Inc., a Delaware corporation having an address at 151 Oyster Point Blvd., Suite 400, South San Francisco, California 94080 (“</w:t>
      </w:r>
      <w:r>
        <w:rPr>
          <w:rFonts w:ascii="Times New Roman" w:cs="Times New Roman" w:eastAsia="Times New Roman" w:hAnsi="Times New Roman"/>
          <w:sz w:val="21"/>
          <w:szCs w:val="21"/>
          <w:b w:val="1"/>
          <w:bCs w:val="1"/>
          <w:color w:val="auto"/>
        </w:rPr>
        <w:t>CytomX</w:t>
      </w:r>
      <w:r>
        <w:rPr>
          <w:rFonts w:ascii="Times New Roman" w:cs="Times New Roman" w:eastAsia="Times New Roman" w:hAnsi="Times New Roman"/>
          <w:sz w:val="21"/>
          <w:szCs w:val="21"/>
          <w:color w:val="auto"/>
        </w:rPr>
        <w:t xml:space="preserve"> ”). Amgen and CytomX are each hereafter referred to individually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and together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980" w:right="500" w:firstLine="644"/>
        <w:spacing w:after="0" w:line="220"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Amgen and CytomX entered into that certain Collaboration and License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dated as of September 29, 2017, as amended on the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1"/>
          <w:szCs w:val="21"/>
          <w:color w:val="auto"/>
        </w:rPr>
        <w:t xml:space="preserve"> day of September, 2020, the 27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1"/>
          <w:szCs w:val="21"/>
          <w:color w:val="auto"/>
        </w:rPr>
        <w:t xml:space="preserve"> day of October, 2021 and the 18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1"/>
          <w:szCs w:val="21"/>
          <w:color w:val="auto"/>
        </w:rPr>
        <w:t xml:space="preserve"> day of May 2023 (collectively, the “</w:t>
      </w:r>
      <w:r>
        <w:rPr>
          <w:rFonts w:ascii="Times New Roman" w:cs="Times New Roman" w:eastAsia="Times New Roman" w:hAnsi="Times New Roman"/>
          <w:sz w:val="21"/>
          <w:szCs w:val="21"/>
          <w:b w:val="1"/>
          <w:bCs w:val="1"/>
          <w:color w:val="auto"/>
        </w:rPr>
        <w:t>Collaboration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and</w:t>
      </w:r>
    </w:p>
    <w:p>
      <w:pPr>
        <w:spacing w:after="0" w:line="200" w:lineRule="exact"/>
        <w:rPr>
          <w:sz w:val="20"/>
          <w:szCs w:val="20"/>
          <w:color w:val="auto"/>
        </w:rPr>
      </w:pPr>
    </w:p>
    <w:p>
      <w:pPr>
        <w:jc w:val="both"/>
        <w:ind w:left="980" w:right="500" w:firstLine="644"/>
        <w:spacing w:after="0" w:line="281"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Amgen and CytomX wish to amend certain additional terms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Collaboration Agreement as further provided herein; and</w:t>
      </w:r>
    </w:p>
    <w:p>
      <w:pPr>
        <w:spacing w:after="0" w:line="158" w:lineRule="exact"/>
        <w:rPr>
          <w:sz w:val="20"/>
          <w:szCs w:val="20"/>
          <w:color w:val="auto"/>
        </w:rPr>
      </w:pPr>
    </w:p>
    <w:p>
      <w:pPr>
        <w:jc w:val="both"/>
        <w:ind w:left="980" w:right="500" w:firstLine="644"/>
        <w:spacing w:after="0" w:line="253"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mutual promises and covenants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hereinafter set forth, the Parties agree to amend the Collaboration Agreement as follows. Capitalized terms used in this Amendment and not otherwise defined herein shall have the meanings ascribed to such terms in the Collaboration Agreement.</w:t>
      </w:r>
    </w:p>
    <w:p>
      <w:pPr>
        <w:spacing w:after="0" w:line="18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PART 1 - AMENDMENTS TO CERTAIN TERMS</w:t>
      </w:r>
    </w:p>
    <w:p>
      <w:pPr>
        <w:spacing w:after="0" w:line="241" w:lineRule="exact"/>
        <w:rPr>
          <w:sz w:val="20"/>
          <w:szCs w:val="20"/>
          <w:color w:val="auto"/>
        </w:rPr>
      </w:pPr>
    </w:p>
    <w:p>
      <w:pPr>
        <w:ind w:left="1580" w:hanging="598"/>
        <w:spacing w:after="0"/>
        <w:tabs>
          <w:tab w:leader="none" w:pos="158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Amendment to Section 4.4.1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Effective as of the Amendment Effective Date, Section</w:t>
      </w:r>
    </w:p>
    <w:p>
      <w:pPr>
        <w:spacing w:after="0" w:line="28" w:lineRule="exact"/>
        <w:rPr>
          <w:sz w:val="20"/>
          <w:szCs w:val="20"/>
          <w:color w:val="auto"/>
        </w:rPr>
      </w:pPr>
    </w:p>
    <w:p>
      <w:pPr>
        <w:ind w:left="1580"/>
        <w:spacing w:after="0"/>
        <w:tabs>
          <w:tab w:leader="none" w:pos="3420" w:val="left"/>
        </w:tabs>
        <w:rPr>
          <w:sz w:val="20"/>
          <w:szCs w:val="20"/>
          <w:color w:val="auto"/>
        </w:rPr>
      </w:pPr>
      <w:r>
        <w:rPr>
          <w:rFonts w:ascii="Times New Roman" w:cs="Times New Roman" w:eastAsia="Times New Roman" w:hAnsi="Times New Roman"/>
          <w:sz w:val="21"/>
          <w:szCs w:val="21"/>
          <w:color w:val="auto"/>
        </w:rPr>
        <w:t>4.4.1 is hereby</w:t>
      </w:r>
      <w:r>
        <w:rPr>
          <w:sz w:val="20"/>
          <w:szCs w:val="20"/>
          <w:color w:val="auto"/>
        </w:rPr>
        <w:tab/>
      </w:r>
      <w:r>
        <w:rPr>
          <w:rFonts w:ascii="Times New Roman" w:cs="Times New Roman" w:eastAsia="Times New Roman" w:hAnsi="Times New Roman"/>
          <w:sz w:val="21"/>
          <w:szCs w:val="21"/>
          <w:color w:val="auto"/>
        </w:rPr>
        <w:t>deleted and replaced in its entirety as follows:</w:t>
      </w:r>
    </w:p>
    <w:p>
      <w:pPr>
        <w:spacing w:after="0" w:line="227" w:lineRule="exact"/>
        <w:rPr>
          <w:sz w:val="20"/>
          <w:szCs w:val="20"/>
          <w:color w:val="auto"/>
        </w:rPr>
      </w:pPr>
    </w:p>
    <w:p>
      <w:pPr>
        <w:jc w:val="both"/>
        <w:ind w:left="2260" w:right="480" w:firstLine="54"/>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4.4.1</w:t>
      </w:r>
      <w:r>
        <w:rPr>
          <w:rFonts w:ascii="Times New Roman" w:cs="Times New Roman" w:eastAsia="Times New Roman" w:hAnsi="Times New Roman"/>
          <w:sz w:val="21"/>
          <w:szCs w:val="21"/>
          <w:color w:val="auto"/>
        </w:rPr>
        <w:t xml:space="preserve"> Amgen shall have the right to elect to select (a) one (1) additional Target (the “</w:t>
      </w:r>
      <w:r>
        <w:rPr>
          <w:rFonts w:ascii="Times New Roman" w:cs="Times New Roman" w:eastAsia="Times New Roman" w:hAnsi="Times New Roman"/>
          <w:sz w:val="21"/>
          <w:szCs w:val="21"/>
          <w:b w:val="1"/>
          <w:bCs w:val="1"/>
          <w:color w:val="auto"/>
        </w:rPr>
        <w:t>First Additional Amgen Target</w:t>
      </w:r>
      <w:r>
        <w:rPr>
          <w:rFonts w:ascii="Times New Roman" w:cs="Times New Roman" w:eastAsia="Times New Roman" w:hAnsi="Times New Roman"/>
          <w:sz w:val="21"/>
          <w:szCs w:val="21"/>
          <w:color w:val="auto"/>
        </w:rPr>
        <w:t>”) by nominating such additional Target at any time prior to [***] (the “</w:t>
      </w:r>
      <w:r>
        <w:rPr>
          <w:rFonts w:ascii="Times New Roman" w:cs="Times New Roman" w:eastAsia="Times New Roman" w:hAnsi="Times New Roman"/>
          <w:sz w:val="21"/>
          <w:szCs w:val="21"/>
          <w:b w:val="1"/>
          <w:bCs w:val="1"/>
          <w:color w:val="auto"/>
        </w:rPr>
        <w:t>First Additional Amgen Target Selection Date</w:t>
      </w:r>
      <w:r>
        <w:rPr>
          <w:rFonts w:ascii="Times New Roman" w:cs="Times New Roman" w:eastAsia="Times New Roman" w:hAnsi="Times New Roman"/>
          <w:sz w:val="21"/>
          <w:szCs w:val="21"/>
          <w:color w:val="auto"/>
        </w:rPr>
        <w:t>”) for inclusion under this Agreement, subject to Section 4.4.2 and (b) a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1"/>
          <w:szCs w:val="21"/>
          <w:color w:val="auto"/>
        </w:rPr>
        <w:t>) additional Target (the “</w:t>
      </w:r>
      <w:r>
        <w:rPr>
          <w:rFonts w:ascii="Times New Roman" w:cs="Times New Roman" w:eastAsia="Times New Roman" w:hAnsi="Times New Roman"/>
          <w:sz w:val="21"/>
          <w:szCs w:val="21"/>
          <w:b w:val="1"/>
          <w:bCs w:val="1"/>
          <w:color w:val="auto"/>
        </w:rPr>
        <w:t>Second Additional Amgen Target</w:t>
      </w:r>
      <w:r>
        <w:rPr>
          <w:rFonts w:ascii="Times New Roman" w:cs="Times New Roman" w:eastAsia="Times New Roman" w:hAnsi="Times New Roman"/>
          <w:sz w:val="21"/>
          <w:szCs w:val="21"/>
          <w:color w:val="auto"/>
        </w:rPr>
        <w:t>” and, together with the First Additional Amgen Target, the “</w:t>
      </w:r>
      <w:r>
        <w:rPr>
          <w:rFonts w:ascii="Times New Roman" w:cs="Times New Roman" w:eastAsia="Times New Roman" w:hAnsi="Times New Roman"/>
          <w:sz w:val="21"/>
          <w:szCs w:val="21"/>
          <w:b w:val="1"/>
          <w:bCs w:val="1"/>
          <w:color w:val="auto"/>
        </w:rPr>
        <w:t>Additional Amgen Targets</w:t>
      </w:r>
      <w:r>
        <w:rPr>
          <w:rFonts w:ascii="Times New Roman" w:cs="Times New Roman" w:eastAsia="Times New Roman" w:hAnsi="Times New Roman"/>
          <w:sz w:val="21"/>
          <w:szCs w:val="21"/>
          <w:color w:val="auto"/>
        </w:rPr>
        <w:t>”) by nominating such additional Target at any time prior to [***] (the “</w:t>
      </w:r>
      <w:r>
        <w:rPr>
          <w:rFonts w:ascii="Times New Roman" w:cs="Times New Roman" w:eastAsia="Times New Roman" w:hAnsi="Times New Roman"/>
          <w:sz w:val="21"/>
          <w:szCs w:val="21"/>
          <w:b w:val="1"/>
          <w:bCs w:val="1"/>
          <w:color w:val="auto"/>
        </w:rPr>
        <w:t>Second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Additional Amgen Target Selection Date</w:t>
      </w:r>
      <w:r>
        <w:rPr>
          <w:rFonts w:ascii="Times New Roman" w:cs="Times New Roman" w:eastAsia="Times New Roman" w:hAnsi="Times New Roman"/>
          <w:sz w:val="21"/>
          <w:szCs w:val="21"/>
          <w:color w:val="auto"/>
        </w:rPr>
        <w:t>” and, together with the First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Additional Amgen Target Selection Date, the “</w:t>
      </w:r>
      <w:r>
        <w:rPr>
          <w:rFonts w:ascii="Times New Roman" w:cs="Times New Roman" w:eastAsia="Times New Roman" w:hAnsi="Times New Roman"/>
          <w:sz w:val="21"/>
          <w:szCs w:val="21"/>
          <w:b w:val="1"/>
          <w:bCs w:val="1"/>
          <w:color w:val="auto"/>
        </w:rPr>
        <w:t>Selection Dates</w:t>
      </w:r>
      <w:r>
        <w:rPr>
          <w:rFonts w:ascii="Times New Roman" w:cs="Times New Roman" w:eastAsia="Times New Roman" w:hAnsi="Times New Roman"/>
          <w:sz w:val="21"/>
          <w:szCs w:val="21"/>
          <w:color w:val="auto"/>
        </w:rPr>
        <w:t>”) for inclusion under this Agreement, subject to Section 4.4.2 (collectively, the “</w:t>
      </w:r>
      <w:r>
        <w:rPr>
          <w:rFonts w:ascii="Times New Roman" w:cs="Times New Roman" w:eastAsia="Times New Roman" w:hAnsi="Times New Roman"/>
          <w:sz w:val="21"/>
          <w:szCs w:val="21"/>
          <w:b w:val="1"/>
          <w:bCs w:val="1"/>
          <w:color w:val="auto"/>
        </w:rPr>
        <w:t>Amgen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Expansion Option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541020</wp:posOffset>
            </wp:positionV>
            <wp:extent cx="61715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6171565" cy="42545"/>
                    </a:xfrm>
                    <a:prstGeom prst="rect">
                      <a:avLst/>
                    </a:prstGeom>
                    <a:noFill/>
                  </pic:spPr>
                </pic:pic>
              </a:graphicData>
            </a:graphic>
          </wp:anchor>
        </w:drawing>
      </w:r>
    </w:p>
    <w:p>
      <w:pPr>
        <w:sectPr>
          <w:pgSz w:w="11900" w:h="16838" w:orient="portrait"/>
          <w:cols w:equalWidth="0" w:num="1">
            <w:col w:w="9840"/>
          </w:cols>
          <w:pgMar w:left="780" w:top="304" w:right="1279"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auto"/>
        </w:rPr>
        <w:t>DocuSign Envelope ID: BC0B85A8-4C4E-49BF-9DC2-</w:t>
      </w:r>
    </w:p>
    <w:p>
      <w:pPr>
        <w:spacing w:after="0" w:line="19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21"/>
          <w:szCs w:val="21"/>
          <w:b w:val="1"/>
          <w:bCs w:val="1"/>
          <w:color w:val="auto"/>
        </w:rPr>
        <w:t>PART 2 – REFERENCE TO AND EFFECT ON THE</w:t>
      </w:r>
    </w:p>
    <w:p>
      <w:pPr>
        <w:spacing w:after="0" w:line="2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b w:val="1"/>
          <w:bCs w:val="1"/>
          <w:color w:val="auto"/>
        </w:rPr>
        <w:t>COLLABORATION AGREEMENT</w:t>
      </w:r>
    </w:p>
    <w:p>
      <w:pPr>
        <w:spacing w:after="0" w:line="213" w:lineRule="exact"/>
        <w:rPr>
          <w:sz w:val="20"/>
          <w:szCs w:val="20"/>
          <w:color w:val="auto"/>
        </w:rPr>
      </w:pPr>
    </w:p>
    <w:p>
      <w:pPr>
        <w:jc w:val="both"/>
        <w:ind w:left="1580" w:right="339" w:hanging="606"/>
        <w:spacing w:after="0" w:line="250" w:lineRule="auto"/>
        <w:tabs>
          <w:tab w:leader="none" w:pos="1560" w:val="left"/>
        </w:tabs>
        <w:rPr>
          <w:sz w:val="20"/>
          <w:szCs w:val="20"/>
          <w:color w:val="auto"/>
        </w:rPr>
      </w:pPr>
      <w:r>
        <w:rPr>
          <w:rFonts w:ascii="Times New Roman" w:cs="Times New Roman" w:eastAsia="Times New Roman" w:hAnsi="Times New Roman"/>
          <w:sz w:val="21"/>
          <w:szCs w:val="21"/>
          <w:color w:val="auto"/>
        </w:rPr>
        <w:t>2.1</w:t>
      </w:r>
      <w:r>
        <w:rPr>
          <w:sz w:val="20"/>
          <w:szCs w:val="20"/>
          <w:color w:val="auto"/>
        </w:rPr>
        <w:tab/>
      </w:r>
      <w:r>
        <w:rPr>
          <w:rFonts w:ascii="Times New Roman" w:cs="Times New Roman" w:eastAsia="Times New Roman" w:hAnsi="Times New Roman"/>
          <w:sz w:val="21"/>
          <w:szCs w:val="21"/>
          <w:b w:val="1"/>
          <w:bCs w:val="1"/>
          <w:u w:val="single" w:color="auto"/>
          <w:color w:val="auto"/>
        </w:rPr>
        <w:t>Reference to Collaboration Agreement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Upon and after the effectiveness of this</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Amendment, each reference in the Collaboration Agreement to “this Agreement”, “hereunder”, “hereof” or words of like import referring to the Collaboration Agreement shall mean and be a reference to the Collaboration Agreement as modified and amended hereby.</w:t>
      </w:r>
    </w:p>
    <w:p>
      <w:pPr>
        <w:spacing w:after="0" w:line="203" w:lineRule="exact"/>
        <w:rPr>
          <w:sz w:val="20"/>
          <w:szCs w:val="20"/>
          <w:color w:val="auto"/>
        </w:rPr>
      </w:pPr>
    </w:p>
    <w:p>
      <w:pPr>
        <w:jc w:val="both"/>
        <w:ind w:left="1580" w:right="339" w:hanging="606"/>
        <w:spacing w:after="0" w:line="250" w:lineRule="auto"/>
        <w:tabs>
          <w:tab w:leader="none" w:pos="156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1"/>
          <w:szCs w:val="21"/>
          <w:b w:val="1"/>
          <w:bCs w:val="1"/>
          <w:u w:val="single" w:color="auto"/>
          <w:color w:val="auto"/>
        </w:rPr>
        <w:t>Effectiveness of Amendment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Upon execution and delivery of this Amendment by the</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Parties, the amendments set forth above shall be effective as of the Amendment Effective Date. Except as specifically amended above, the Collaboration Agreement is and shall continue to be in full force and effect and is hereby in all respects ratified and confirmed and shall constitute the legal, valid, binding and enforceable obligations of the Parties.</w:t>
      </w:r>
    </w:p>
    <w:p>
      <w:pPr>
        <w:spacing w:after="0" w:line="24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b w:val="1"/>
          <w:bCs w:val="1"/>
          <w:color w:val="auto"/>
        </w:rPr>
        <w:t>PART 3 – MISCELLANEOUS</w:t>
      </w:r>
    </w:p>
    <w:p>
      <w:pPr>
        <w:spacing w:after="0" w:line="174" w:lineRule="exact"/>
        <w:rPr>
          <w:sz w:val="20"/>
          <w:szCs w:val="20"/>
          <w:color w:val="auto"/>
        </w:rPr>
      </w:pPr>
    </w:p>
    <w:p>
      <w:pPr>
        <w:jc w:val="both"/>
        <w:ind w:left="1580" w:right="339" w:hanging="606"/>
        <w:spacing w:after="0" w:line="242" w:lineRule="auto"/>
        <w:tabs>
          <w:tab w:leader="none" w:pos="1560" w:val="left"/>
        </w:tabs>
        <w:rPr>
          <w:sz w:val="20"/>
          <w:szCs w:val="20"/>
          <w:color w:val="auto"/>
        </w:rPr>
      </w:pPr>
      <w:r>
        <w:rPr>
          <w:rFonts w:ascii="Times New Roman" w:cs="Times New Roman" w:eastAsia="Times New Roman" w:hAnsi="Times New Roman"/>
          <w:sz w:val="21"/>
          <w:szCs w:val="2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Choice of Law; Jurisdiction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This Amendment and its effect are subject to and shall be</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construed and enforced in accordance with the law of the State of New York, without regard to its conflicts of laws, except as to any issue which depends upon the validity, scope or enforceability of any Amgen Patent, CytomX Patent or Collaboration Patent, which issue shall be determined in accordance with the laws of the country in which such patent was issued. Each of the Parties hereby irrevocably and unconditionally consents to submit to the exclusive jurisdiction of the courts of the State of New York located in the City of New York for any matter arising out of or relating to this Amendment and the transactions contemplated hereby, and agrees not to commence any litigation relating thereto except in such courts. Each of the Parties hereby irrevocably and unconditionally waives any objection to the laying of venue of any matter arising out of this Amendment or the transactions contemplated hereby in the courts of the State of New York located in the City of New York and hereby further irrevocably and unconditionally waives and agrees not to plead or claim in any such court that any such matter brought in any such court has been brought in an inconvenient forum. The Parties agree that a final judgment in any such matter shall be conclusive and may be enforced in other jurisdictions by suits on the judgment or in any other manner provided by law. Any proceeding brought by either Party under this Amendment shall be exclusively conducted in the English language.</w:t>
      </w:r>
    </w:p>
    <w:p>
      <w:pPr>
        <w:spacing w:after="0" w:line="389" w:lineRule="exact"/>
        <w:rPr>
          <w:sz w:val="20"/>
          <w:szCs w:val="20"/>
          <w:color w:val="auto"/>
        </w:rPr>
      </w:pPr>
    </w:p>
    <w:p>
      <w:pPr>
        <w:jc w:val="both"/>
        <w:ind w:left="1580" w:right="339" w:hanging="606"/>
        <w:spacing w:after="0" w:line="281" w:lineRule="auto"/>
        <w:tabs>
          <w:tab w:leader="none" w:pos="156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1"/>
          <w:szCs w:val="21"/>
          <w:b w:val="1"/>
          <w:bCs w:val="1"/>
          <w:u w:val="single" w:color="auto"/>
          <w:color w:val="auto"/>
        </w:rPr>
        <w:t>Headings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Article and Section headings used herein are for convenient reference only,</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and are not a part of this Amendment.</w:t>
      </w:r>
    </w:p>
    <w:p>
      <w:pPr>
        <w:spacing w:after="0" w:line="91" w:lineRule="exact"/>
        <w:rPr>
          <w:sz w:val="20"/>
          <w:szCs w:val="20"/>
          <w:color w:val="auto"/>
        </w:rPr>
      </w:pPr>
    </w:p>
    <w:p>
      <w:pPr>
        <w:jc w:val="both"/>
        <w:ind w:left="1580" w:right="339" w:hanging="606"/>
        <w:spacing w:after="0" w:line="250" w:lineRule="auto"/>
        <w:tabs>
          <w:tab w:leader="none" w:pos="1560" w:val="left"/>
        </w:tabs>
        <w:rPr>
          <w:sz w:val="20"/>
          <w:szCs w:val="20"/>
          <w:color w:val="auto"/>
        </w:rPr>
      </w:pPr>
      <w:r>
        <w:rPr>
          <w:rFonts w:ascii="Times New Roman" w:cs="Times New Roman" w:eastAsia="Times New Roman" w:hAnsi="Times New Roman"/>
          <w:sz w:val="21"/>
          <w:szCs w:val="21"/>
          <w:color w:val="auto"/>
        </w:rPr>
        <w:t>3.3</w:t>
      </w:r>
      <w:r>
        <w:rPr>
          <w:sz w:val="20"/>
          <w:szCs w:val="20"/>
          <w:color w:val="auto"/>
        </w:rPr>
        <w:tab/>
      </w: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This Amendment may be executed in any number of counterparts, each of</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which shall be an original, but all of which together shall constitute one instrument. This Amendment may be executed and delivered electronically or by facsimile and upon such delivery such electronic or facsimile signature will be deemed to have the same effect as if the original signature had been delivered to the other Party.</w:t>
      </w:r>
    </w:p>
    <w:p>
      <w:pPr>
        <w:spacing w:after="0" w:line="8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541020</wp:posOffset>
            </wp:positionV>
            <wp:extent cx="61715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6171565" cy="42545"/>
                    </a:xfrm>
                    <a:prstGeom prst="rect">
                      <a:avLst/>
                    </a:prstGeom>
                    <a:noFill/>
                  </pic:spPr>
                </pic:pic>
              </a:graphicData>
            </a:graphic>
          </wp:anchor>
        </w:drawing>
      </w:r>
    </w:p>
    <w:p>
      <w:pPr>
        <w:sectPr>
          <w:pgSz w:w="11900" w:h="16838" w:orient="portrait"/>
          <w:cols w:equalWidth="0" w:num="1">
            <w:col w:w="9679"/>
          </w:cols>
          <w:pgMar w:left="780" w:top="304" w:right="1440"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auto"/>
        </w:rPr>
        <w:t>DocuSign Envelope ID: BC0B85A8-4C4E-49BF-9DC2-</w:t>
      </w:r>
    </w:p>
    <w:p>
      <w:pPr>
        <w:spacing w:after="0" w:line="200" w:lineRule="exact"/>
        <w:rPr>
          <w:sz w:val="20"/>
          <w:szCs w:val="20"/>
          <w:color w:val="auto"/>
        </w:rPr>
      </w:pPr>
    </w:p>
    <w:p>
      <w:pPr>
        <w:spacing w:after="0" w:line="398" w:lineRule="exact"/>
        <w:rPr>
          <w:sz w:val="20"/>
          <w:szCs w:val="20"/>
          <w:color w:val="auto"/>
        </w:rPr>
      </w:pPr>
    </w:p>
    <w:p>
      <w:pPr>
        <w:ind w:left="980" w:right="819" w:firstLine="643"/>
        <w:spacing w:after="0" w:line="277" w:lineRule="auto"/>
        <w:rPr>
          <w:sz w:val="20"/>
          <w:szCs w:val="20"/>
          <w:color w:val="auto"/>
        </w:rPr>
      </w:pPr>
      <w:r>
        <w:rPr>
          <w:rFonts w:ascii="Times New Roman" w:cs="Times New Roman" w:eastAsia="Times New Roman" w:hAnsi="Times New Roman"/>
          <w:sz w:val="21"/>
          <w:szCs w:val="21"/>
          <w:color w:val="auto"/>
        </w:rPr>
        <w:t>IN WITNESS THEREOF, duly authorized representatives of the Parties hereto have executed this Amendment No. 4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color w:val="auto"/>
        </w:rPr>
        <w:t>AMGEN INC.</w:t>
      </w:r>
    </w:p>
    <w:p>
      <w:pPr>
        <w:spacing w:after="0" w:line="200" w:lineRule="exact"/>
        <w:rPr>
          <w:sz w:val="20"/>
          <w:szCs w:val="20"/>
          <w:color w:val="auto"/>
        </w:rPr>
      </w:pPr>
    </w:p>
    <w:p>
      <w:pPr>
        <w:spacing w:after="0" w:line="286" w:lineRule="exact"/>
        <w:rPr>
          <w:sz w:val="20"/>
          <w:szCs w:val="20"/>
          <w:color w:val="auto"/>
        </w:rPr>
      </w:pPr>
    </w:p>
    <w:p>
      <w:pPr>
        <w:ind w:left="160"/>
        <w:spacing w:after="0"/>
        <w:tabs>
          <w:tab w:leader="none" w:pos="8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Angela Coxon</w:t>
      </w: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Name:  Angela Coxon</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9"/>
          <w:szCs w:val="9"/>
          <w:color w:val="auto"/>
        </w:rPr>
        <w:t>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153035</wp:posOffset>
            </wp:positionV>
            <wp:extent cx="8515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234" w:lineRule="exact"/>
        <w:rPr>
          <w:sz w:val="20"/>
          <w:szCs w:val="20"/>
          <w:color w:val="auto"/>
        </w:rPr>
      </w:pPr>
    </w:p>
    <w:p>
      <w:pPr>
        <w:ind w:left="160"/>
        <w:spacing w:after="0"/>
        <w:tabs>
          <w:tab w:leader="none" w:pos="860" w:val="left"/>
        </w:tabs>
        <w:rPr>
          <w:sz w:val="20"/>
          <w:szCs w:val="20"/>
          <w:color w:val="auto"/>
        </w:rPr>
      </w:pPr>
      <w:r>
        <w:rPr>
          <w:rFonts w:ascii="Times New Roman" w:cs="Times New Roman" w:eastAsia="Times New Roman" w:hAnsi="Times New Roman"/>
          <w:sz w:val="21"/>
          <w:szCs w:val="21"/>
          <w:color w:val="auto"/>
        </w:rPr>
        <w:t>Title:</w:t>
        <w:tab/>
        <w:t>VP, Research</w:t>
      </w:r>
      <w:r>
        <w:rPr>
          <w:rFonts w:ascii="Times New Roman" w:cs="Times New Roman" w:eastAsia="Times New Roman" w:hAnsi="Times New Roman"/>
          <w:sz w:val="8"/>
          <w:szCs w:val="8"/>
          <w:color w:val="FFFFFF"/>
        </w:rPr>
        <w:t>__________________________________________________</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9"/>
          <w:szCs w:val="9"/>
          <w:color w:val="auto"/>
        </w:rPr>
        <w:t>________________________________________________________</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color w:val="auto"/>
        </w:rPr>
        <w:t>CYTOMX THERAPEUTICS, INC.</w:t>
      </w:r>
    </w:p>
    <w:p>
      <w:pPr>
        <w:spacing w:after="0" w:line="200" w:lineRule="exact"/>
        <w:rPr>
          <w:sz w:val="20"/>
          <w:szCs w:val="20"/>
          <w:color w:val="auto"/>
        </w:rPr>
      </w:pPr>
    </w:p>
    <w:p>
      <w:pPr>
        <w:spacing w:after="0" w:line="2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19"/>
          <w:szCs w:val="19"/>
          <w:color w:val="auto"/>
        </w:rPr>
        <w:t>/s/ Lloyd Rowland</w:t>
      </w: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 xml:space="preserve">Name:  </w:t>
      </w:r>
      <w:r>
        <w:rPr>
          <w:rFonts w:ascii="Times New Roman" w:cs="Times New Roman" w:eastAsia="Times New Roman" w:hAnsi="Times New Roman"/>
          <w:sz w:val="17"/>
          <w:szCs w:val="17"/>
          <w:color w:val="auto"/>
        </w:rPr>
        <w:t>Lloyd Rowland</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9"/>
          <w:szCs w:val="9"/>
          <w:color w:val="auto"/>
        </w:rPr>
        <w:t>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153035</wp:posOffset>
            </wp:positionV>
            <wp:extent cx="8515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225" w:lineRule="exact"/>
        <w:rPr>
          <w:sz w:val="20"/>
          <w:szCs w:val="20"/>
          <w:color w:val="auto"/>
        </w:rPr>
      </w:pPr>
    </w:p>
    <w:p>
      <w:pPr>
        <w:ind w:left="160"/>
        <w:spacing w:after="0"/>
        <w:tabs>
          <w:tab w:leader="none" w:pos="86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18"/>
          <w:szCs w:val="18"/>
          <w:color w:val="auto"/>
        </w:rPr>
        <w:t>Sr. V.P., General Counsel</w:t>
      </w:r>
      <w:r>
        <w:rPr>
          <w:rFonts w:ascii="Times New Roman" w:cs="Times New Roman" w:eastAsia="Times New Roman" w:hAnsi="Times New Roman"/>
          <w:sz w:val="8"/>
          <w:szCs w:val="8"/>
          <w:color w:val="FFFFFF"/>
        </w:rPr>
        <w:t>_________________________________________________</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9"/>
          <w:szCs w:val="9"/>
          <w:color w:val="auto"/>
        </w:rPr>
        <w:t>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541020</wp:posOffset>
            </wp:positionV>
            <wp:extent cx="61715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6171565" cy="42545"/>
                    </a:xfrm>
                    <a:prstGeom prst="rect">
                      <a:avLst/>
                    </a:prstGeom>
                    <a:noFill/>
                  </pic:spPr>
                </pic:pic>
              </a:graphicData>
            </a:graphic>
          </wp:anchor>
        </w:drawing>
      </w:r>
    </w:p>
    <w:p>
      <w:pPr>
        <w:sectPr>
          <w:pgSz w:w="11900" w:h="16838" w:orient="portrait"/>
          <w:cols w:equalWidth="0" w:num="1">
            <w:col w:w="9679"/>
          </w:cols>
          <w:pgMar w:left="780" w:top="304" w:right="1440"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A. McCarthy, Chief Executive Officer of CytomX Therapeutics, Inc., certify that:</w:t>
      </w:r>
    </w:p>
    <w:p>
      <w:pPr>
        <w:spacing w:after="0" w:line="115" w:lineRule="exact"/>
        <w:rPr>
          <w:sz w:val="20"/>
          <w:szCs w:val="20"/>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CytomX Therapeutics, Inc.;</w:t>
      </w:r>
    </w:p>
    <w:p>
      <w:pPr>
        <w:spacing w:after="0" w:line="221" w:lineRule="exact"/>
        <w:rPr>
          <w:rFonts w:ascii="Times New Roman" w:cs="Times New Roman" w:eastAsia="Times New Roman" w:hAnsi="Times New Roman"/>
          <w:sz w:val="18"/>
          <w:szCs w:val="18"/>
          <w:color w:val="auto"/>
        </w:rPr>
      </w:pPr>
    </w:p>
    <w:p>
      <w:pPr>
        <w:jc w:val="both"/>
        <w:ind w:left="1020" w:right="80" w:hanging="504"/>
        <w:spacing w:after="0" w:line="263"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1020" w:right="20" w:hanging="504"/>
        <w:spacing w:after="0" w:line="224" w:lineRule="exact"/>
        <w:tabs>
          <w:tab w:leader="none" w:pos="10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15d-15(e)) and internal control over financial reporting (as defined in Exchange Act Rules 13a-15(f) and</w:t>
      </w: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4" w:lineRule="exact"/>
        <w:rPr>
          <w:rFonts w:ascii="Times New Roman" w:cs="Times New Roman" w:eastAsia="Times New Roman" w:hAnsi="Times New Roman"/>
          <w:sz w:val="17"/>
          <w:szCs w:val="17"/>
          <w:color w:val="auto"/>
        </w:rPr>
      </w:pPr>
    </w:p>
    <w:p>
      <w:pPr>
        <w:ind w:left="1540" w:right="660" w:hanging="515"/>
        <w:spacing w:after="0" w:line="263"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1540" w:right="240" w:hanging="515"/>
        <w:spacing w:after="0" w:line="263"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jc w:val="both"/>
        <w:ind w:left="1540" w:right="40" w:hanging="515"/>
        <w:spacing w:after="0" w:line="309" w:lineRule="auto"/>
        <w:tabs>
          <w:tab w:leader="none" w:pos="15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540" w:right="40" w:hanging="515"/>
        <w:spacing w:after="0" w:line="263"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1020" w:right="160" w:hanging="504"/>
        <w:spacing w:after="0" w:line="309" w:lineRule="auto"/>
        <w:tabs>
          <w:tab w:leader="none" w:pos="10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 w:lineRule="exact"/>
        <w:rPr>
          <w:rFonts w:ascii="Times New Roman" w:cs="Times New Roman" w:eastAsia="Times New Roman" w:hAnsi="Times New Roman"/>
          <w:sz w:val="17"/>
          <w:szCs w:val="17"/>
          <w:color w:val="auto"/>
        </w:rPr>
      </w:pPr>
    </w:p>
    <w:p>
      <w:pPr>
        <w:ind w:left="1540" w:right="280" w:hanging="515"/>
        <w:spacing w:after="0" w:line="279"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40" w:right="580" w:hanging="515"/>
        <w:spacing w:after="0" w:line="279"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5220" w:val="left"/>
          <w:tab w:leader="none" w:pos="614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A.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24765</wp:posOffset>
            </wp:positionV>
            <wp:extent cx="28689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2868930" cy="8255"/>
                    </a:xfrm>
                    <a:prstGeom prst="rect">
                      <a:avLst/>
                    </a:prstGeom>
                    <a:noFill/>
                  </pic:spPr>
                </pic:pic>
              </a:graphicData>
            </a:graphic>
          </wp:anchor>
        </w:drawing>
      </w:r>
    </w:p>
    <w:p>
      <w:pPr>
        <w:spacing w:after="0" w:line="24" w:lineRule="exact"/>
        <w:rPr>
          <w:sz w:val="20"/>
          <w:szCs w:val="20"/>
          <w:color w:val="auto"/>
        </w:rPr>
      </w:pPr>
    </w:p>
    <w:p>
      <w:pPr>
        <w:ind w:left="524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Sean A. McCarthy, D. Phil.</w:t>
      </w:r>
    </w:p>
    <w:p>
      <w:pPr>
        <w:spacing w:after="0" w:line="34" w:lineRule="exact"/>
        <w:rPr>
          <w:sz w:val="20"/>
          <w:szCs w:val="20"/>
          <w:color w:val="auto"/>
        </w:rPr>
      </w:pPr>
    </w:p>
    <w:p>
      <w:pPr>
        <w:ind w:left="524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Executive Officer</w:t>
      </w:r>
    </w:p>
    <w:p>
      <w:pPr>
        <w:spacing w:after="0" w:line="3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762635</wp:posOffset>
            </wp:positionV>
            <wp:extent cx="71589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W. Ogden, Senior Vice President, Finance and Accounting of CytomX Therapeutics, Inc., certify that:</w:t>
      </w:r>
    </w:p>
    <w:p>
      <w:pPr>
        <w:spacing w:after="0" w:line="115" w:lineRule="exact"/>
        <w:rPr>
          <w:sz w:val="20"/>
          <w:szCs w:val="20"/>
          <w:color w:val="auto"/>
        </w:rPr>
      </w:pPr>
    </w:p>
    <w:p>
      <w:pPr>
        <w:ind w:left="1020" w:hanging="50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CytomX Therapeutics, Inc.;</w:t>
      </w:r>
    </w:p>
    <w:p>
      <w:pPr>
        <w:spacing w:after="0" w:line="221" w:lineRule="exact"/>
        <w:rPr>
          <w:rFonts w:ascii="Times New Roman" w:cs="Times New Roman" w:eastAsia="Times New Roman" w:hAnsi="Times New Roman"/>
          <w:sz w:val="18"/>
          <w:szCs w:val="18"/>
          <w:color w:val="auto"/>
        </w:rPr>
      </w:pPr>
    </w:p>
    <w:p>
      <w:pPr>
        <w:jc w:val="both"/>
        <w:ind w:left="1020" w:right="80" w:hanging="504"/>
        <w:spacing w:after="0" w:line="263"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1020" w:right="20" w:hanging="504"/>
        <w:spacing w:after="0" w:line="224" w:lineRule="exact"/>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15d-15(e)) and internal control over financial reporting (as defined in Exchange Act Rules 13a-15(f) and</w:t>
      </w: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4" w:lineRule="exact"/>
        <w:rPr>
          <w:rFonts w:ascii="Times New Roman" w:cs="Times New Roman" w:eastAsia="Times New Roman" w:hAnsi="Times New Roman"/>
          <w:sz w:val="17"/>
          <w:szCs w:val="17"/>
          <w:color w:val="auto"/>
        </w:rPr>
      </w:pPr>
    </w:p>
    <w:p>
      <w:pPr>
        <w:ind w:left="1540" w:right="660" w:hanging="515"/>
        <w:spacing w:after="0" w:line="263"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1540" w:right="240" w:hanging="515"/>
        <w:spacing w:after="0" w:line="263"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jc w:val="both"/>
        <w:ind w:left="1540" w:right="40" w:hanging="515"/>
        <w:spacing w:after="0" w:line="309" w:lineRule="auto"/>
        <w:tabs>
          <w:tab w:leader="none" w:pos="154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540" w:right="40" w:hanging="515"/>
        <w:spacing w:after="0" w:line="263"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1020" w:right="160" w:hanging="504"/>
        <w:spacing w:after="0" w:line="309" w:lineRule="auto"/>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 w:lineRule="exact"/>
        <w:rPr>
          <w:rFonts w:ascii="Times New Roman" w:cs="Times New Roman" w:eastAsia="Times New Roman" w:hAnsi="Times New Roman"/>
          <w:sz w:val="17"/>
          <w:szCs w:val="17"/>
          <w:color w:val="auto"/>
        </w:rPr>
      </w:pPr>
    </w:p>
    <w:p>
      <w:pPr>
        <w:ind w:left="1540" w:right="280" w:hanging="515"/>
        <w:spacing w:after="0" w:line="279"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40" w:right="580" w:hanging="515"/>
        <w:spacing w:after="0" w:line="279"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5220" w:val="left"/>
          <w:tab w:leader="none" w:pos="602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W. Ogden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24765</wp:posOffset>
            </wp:positionV>
            <wp:extent cx="29451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2945130" cy="8255"/>
                    </a:xfrm>
                    <a:prstGeom prst="rect">
                      <a:avLst/>
                    </a:prstGeom>
                    <a:noFill/>
                  </pic:spPr>
                </pic:pic>
              </a:graphicData>
            </a:graphic>
          </wp:anchor>
        </w:drawing>
      </w:r>
    </w:p>
    <w:p>
      <w:pPr>
        <w:spacing w:after="0" w:line="24" w:lineRule="exact"/>
        <w:rPr>
          <w:sz w:val="20"/>
          <w:szCs w:val="20"/>
          <w:color w:val="auto"/>
        </w:rPr>
      </w:pPr>
    </w:p>
    <w:p>
      <w:pPr>
        <w:ind w:left="5240"/>
        <w:spacing w:after="0"/>
        <w:tabs>
          <w:tab w:leader="none" w:pos="60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Christopher W. Ogden</w:t>
      </w:r>
    </w:p>
    <w:p>
      <w:pPr>
        <w:spacing w:after="0" w:line="34" w:lineRule="exact"/>
        <w:rPr>
          <w:sz w:val="20"/>
          <w:szCs w:val="20"/>
          <w:color w:val="auto"/>
        </w:rPr>
      </w:pPr>
    </w:p>
    <w:p>
      <w:pPr>
        <w:ind w:left="524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Senior Vice President, Finance and Accounting</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762635</wp:posOffset>
            </wp:positionV>
            <wp:extent cx="71589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3"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8"/>
          <w:szCs w:val="18"/>
          <w:color w:val="auto"/>
        </w:rPr>
        <w:t>In connection with the Quarterly Report of CytomX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quarter ended March 31, 2024,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Sean A. McCarthy, Chief Executive Officer of the Company, certify, pursuant to 18 U.S.C. Section 1350, as adopted pursuant to Section 906 of the Sarbanes-Oxley Act of 2002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that:</w:t>
      </w:r>
    </w:p>
    <w:p>
      <w:pPr>
        <w:spacing w:after="0" w:line="70" w:lineRule="exact"/>
        <w:rPr>
          <w:sz w:val="20"/>
          <w:szCs w:val="20"/>
          <w:color w:val="auto"/>
        </w:rPr>
      </w:pPr>
    </w:p>
    <w:p>
      <w:pPr>
        <w:ind w:left="520" w:hanging="513"/>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4"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2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A. McCarthy</w:t>
            </w:r>
          </w:p>
        </w:tc>
      </w:tr>
      <w:tr>
        <w:trPr>
          <w:trHeight w:val="199"/>
        </w:trPr>
        <w:tc>
          <w:tcPr>
            <w:tcW w:w="3320" w:type="dxa"/>
            <w:vAlign w:val="bottom"/>
          </w:tcPr>
          <w:p>
            <w:pPr>
              <w:spacing w:after="0"/>
              <w:rPr>
                <w:sz w:val="17"/>
                <w:szCs w:val="17"/>
                <w:color w:val="auto"/>
              </w:rPr>
            </w:pPr>
          </w:p>
        </w:tc>
        <w:tc>
          <w:tcPr>
            <w:tcW w:w="2640" w:type="dxa"/>
            <w:vAlign w:val="bottom"/>
          </w:tcPr>
          <w:p>
            <w:pPr>
              <w:ind w:left="1960"/>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Sean A. McCarthy, D. Phil.</w:t>
            </w:r>
          </w:p>
        </w:tc>
      </w:tr>
      <w:tr>
        <w:trPr>
          <w:trHeight w:val="230"/>
        </w:trPr>
        <w:tc>
          <w:tcPr>
            <w:tcW w:w="3320" w:type="dxa"/>
            <w:vAlign w:val="bottom"/>
          </w:tcPr>
          <w:p>
            <w:pPr>
              <w:spacing w:after="0"/>
              <w:rPr>
                <w:sz w:val="19"/>
                <w:szCs w:val="19"/>
                <w:color w:val="auto"/>
              </w:rPr>
            </w:pPr>
          </w:p>
        </w:tc>
        <w:tc>
          <w:tcPr>
            <w:tcW w:w="2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5"/>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576580</wp:posOffset>
            </wp:positionV>
            <wp:extent cx="71589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3"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7"/>
          <w:szCs w:val="17"/>
          <w:color w:val="auto"/>
        </w:rPr>
        <w:t>In connection with the Quarterly Report of CytomX Therapeutics,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on Form 10-Q for the quarter ended March 31, 2024, as filed with the Securities and Exchange Commission on the date hereof (the “</w:t>
      </w:r>
      <w:r>
        <w:rPr>
          <w:rFonts w:ascii="Times New Roman" w:cs="Times New Roman" w:eastAsia="Times New Roman" w:hAnsi="Times New Roman"/>
          <w:sz w:val="17"/>
          <w:szCs w:val="17"/>
          <w:u w:val="single" w:color="auto"/>
          <w:color w:val="auto"/>
        </w:rPr>
        <w:t>Report</w:t>
      </w:r>
      <w:r>
        <w:rPr>
          <w:rFonts w:ascii="Times New Roman" w:cs="Times New Roman" w:eastAsia="Times New Roman" w:hAnsi="Times New Roman"/>
          <w:sz w:val="17"/>
          <w:szCs w:val="17"/>
          <w:color w:val="auto"/>
        </w:rPr>
        <w:t>”), I, Christopher W. Ogden, Senior Vice President, Finance and Accounting of the Company, certify, pursuant to 18 U.S.C. Section 1350, as adopted pursuant to Section 906 of the Sarbanes-Oxley Act of 2002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that:</w:t>
      </w:r>
    </w:p>
    <w:p>
      <w:pPr>
        <w:spacing w:after="0" w:line="52" w:lineRule="exact"/>
        <w:rPr>
          <w:sz w:val="20"/>
          <w:szCs w:val="20"/>
          <w:color w:val="auto"/>
        </w:rPr>
      </w:pPr>
    </w:p>
    <w:p>
      <w:pPr>
        <w:ind w:left="520" w:hanging="513"/>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4"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2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W. Ogden</w:t>
            </w:r>
          </w:p>
        </w:tc>
      </w:tr>
      <w:tr>
        <w:trPr>
          <w:trHeight w:val="199"/>
        </w:trPr>
        <w:tc>
          <w:tcPr>
            <w:tcW w:w="3320" w:type="dxa"/>
            <w:vAlign w:val="bottom"/>
          </w:tcPr>
          <w:p>
            <w:pPr>
              <w:spacing w:after="0"/>
              <w:rPr>
                <w:sz w:val="17"/>
                <w:szCs w:val="17"/>
                <w:color w:val="auto"/>
              </w:rPr>
            </w:pPr>
          </w:p>
        </w:tc>
        <w:tc>
          <w:tcPr>
            <w:tcW w:w="2640" w:type="dxa"/>
            <w:vAlign w:val="bottom"/>
          </w:tcPr>
          <w:p>
            <w:pPr>
              <w:ind w:left="1960"/>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Christopher W. Ogden</w:t>
            </w:r>
          </w:p>
        </w:tc>
      </w:tr>
      <w:tr>
        <w:trPr>
          <w:trHeight w:val="230"/>
        </w:trPr>
        <w:tc>
          <w:tcPr>
            <w:tcW w:w="3320" w:type="dxa"/>
            <w:vAlign w:val="bottom"/>
          </w:tcPr>
          <w:p>
            <w:pPr>
              <w:spacing w:after="0"/>
              <w:rPr>
                <w:sz w:val="19"/>
                <w:szCs w:val="19"/>
                <w:color w:val="auto"/>
              </w:rPr>
            </w:pPr>
          </w:p>
        </w:tc>
        <w:tc>
          <w:tcPr>
            <w:tcW w:w="2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Vice President, Finance and Accounting</w:t>
            </w:r>
          </w:p>
        </w:tc>
      </w:tr>
      <w:tr>
        <w:trPr>
          <w:trHeight w:val="235"/>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bl>
    <w:p>
      <w:pPr>
        <w:spacing w:after="0" w:line="20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440690</wp:posOffset>
            </wp:positionV>
            <wp:extent cx="71589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6"/>
    </w:lvl>
    <w:lvl w:ilvl="1">
      <w:lvlJc w:val="left"/>
      <w:lvlText w:val="•"/>
      <w:numFmt w:val="bullet"/>
      <w:start w:val="1"/>
    </w:lvl>
  </w:abstractNum>
  <w:abstractNum w:abstractNumId="7">
    <w:nsid w:val="2901D82"/>
    <w:multiLevelType w:val="hybridMultilevel"/>
    <w:lvl w:ilvl="0">
      <w:lvlJc w:val="left"/>
      <w:lvlText w:val="1"/>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lvl w:ilvl="1">
      <w:lvlJc w:val="left"/>
      <w:lvlText w:val="%2"/>
      <w:numFmt w:val="decimal"/>
      <w:start w:val="104"/>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lowerRoman"/>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191" Type="http://schemas.openxmlformats.org/officeDocument/2006/relationships/hyperlink" Target="https://www.sec.gov/Archives/edgar/data/0001501989/000119312515347080/d78795dex31.htm" TargetMode="External"/><Relationship Id="rId192" Type="http://schemas.openxmlformats.org/officeDocument/2006/relationships/hyperlink" Target="https://www.sec.gov/Archives/edgar/data/1501989/000119312520176532/d920733dex31.htm" TargetMode="External"/><Relationship Id="rId193" Type="http://schemas.openxmlformats.org/officeDocument/2006/relationships/hyperlink" Target="https://www.sec.gov/ix?doc=/Archives/edgar/data/0001501989/000119312524075211/d803852d8k.htm" TargetMode="External"/><Relationship Id="rId194" Type="http://schemas.openxmlformats.org/officeDocument/2006/relationships/hyperlink" Target="https://www.sec.gov/Archives/edgar/data/0001501989/000119312515329662/d94853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2024-05-08T15:20:41Z</dcterms:created>
  <dcterms:modified xsi:type="dcterms:W3CDTF">2024-05-08T15:20:41Z</dcterms:modified>
</cp:coreProperties>
</file>