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4651x2_def14a_100-regcov_pg1"/>
        <w:bookmarkStart w:id="1" w:name="ny20064651x2_def14a.htm"/>
        <w:bookmarkStart w:id="2" w:name="ksny20064651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5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2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  ) </w:t>
      </w:r>
    </w:p>
    <w:tbl>
      <w:tblPr>
        <w:tblW w:w="6185" w:type="dxa"/>
        <w:jc w:val="left"/>
        <w:tblInd w:w="0" w:type="dxa"/>
        <w:tblLayout w:type="fixed"/>
        <w:tblCellMar>
          <w:top w:w="0" w:type="dxa"/>
          <w:left w:w="0" w:type="dxa"/>
          <w:bottom w:w="0" w:type="dxa"/>
          <w:right w:w="0" w:type="dxa"/>
        </w:tblCellMar>
      </w:tblPr>
      <w:tblGrid>
        <w:gridCol w:w="2150"/>
        <w:gridCol w:w="170"/>
        <w:gridCol w:w="170"/>
        <w:gridCol w:w="3695"/>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color w:val="000000"/>
              </w:rPr>
            </w:pPr>
            <w:r>
              <w:rPr>
                <w:color w:val="000000"/>
              </w:rPr>
              <w:t> ☐</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 240.14a-12 </w:t>
            </w:r>
          </w:p>
        </w:tc>
      </w:tr>
    </w:tbl>
    <w:tbl>
      <w:tblPr>
        <w:tblW w:w="5870" w:type="dxa"/>
        <w:jc w:val="left"/>
        <w:tblInd w:w="0" w:type="dxa"/>
        <w:tblLayout w:type="fixed"/>
        <w:tblCellMar>
          <w:top w:w="0" w:type="dxa"/>
          <w:left w:w="0" w:type="dxa"/>
          <w:bottom w:w="0" w:type="dxa"/>
          <w:right w:w="0" w:type="dxa"/>
        </w:tblCellMar>
      </w:tblPr>
      <w:tblGrid>
        <w:gridCol w:w="5870"/>
      </w:tblGrid>
      <w:tr>
        <w:trPr/>
        <w:tc>
          <w:tcPr>
            <w:tcW w:w="5870" w:type="dxa"/>
            <w:tcBorders/>
            <w:vAlign w:val="center"/>
          </w:tcPr>
          <w:p>
            <w:pPr>
              <w:pStyle w:val="TableContents"/>
              <w:bidi w:val="0"/>
              <w:spacing w:before="0" w:after="0"/>
              <w:jc w:val="left"/>
              <w:rPr/>
            </w:pPr>
            <w:r>
              <w:rPr/>
              <w:t> </w:t>
            </w:r>
          </w:p>
        </w:tc>
      </w:tr>
      <w:tr>
        <w:trPr/>
        <w:tc>
          <w:tcPr>
            <w:tcW w:w="58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CytomX Therapeutics, Inc. </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r>
      <w:tr>
        <w:trPr/>
        <w:tc>
          <w:tcPr>
            <w:tcW w:w="587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587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4651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3906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790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151 Oyster Point Boulevard, Suite 400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California 94080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17,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1:30 P.M. PACIFIC TIME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2026 Annual Meeting of Stockholders of CytomX Therapeutics, Inc., a Delaware corporation (the “Company” or “CytomX”). The 2026 Annual Meeting of Stockholders will be held on June 17, 2026, at 1:30 p.m., Pacific Time. The 2026 Annual Meeting of Stockholders will be convened and held entirely online to support and facilitate stockholder participation. You will be able to attend and participate online in the 2026 Annual Meeting of Stockholders by visiting www.virtualshareholdermeeting.com/CTMX2026, where you will be able to listen to the meeting live, submit questions, and vote.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Annual Meeting of Stockholders is being convened to conduct the following business: </w:t>
      </w:r>
    </w:p>
    <w:tbl>
      <w:tblPr>
        <w:tblW w:w="7450" w:type="dxa"/>
        <w:jc w:val="left"/>
        <w:tblInd w:w="0" w:type="dxa"/>
        <w:tblLayout w:type="fixed"/>
        <w:tblCellMar>
          <w:top w:w="0" w:type="dxa"/>
          <w:left w:w="0" w:type="dxa"/>
          <w:bottom w:w="0" w:type="dxa"/>
          <w:right w:w="0" w:type="dxa"/>
        </w:tblCellMar>
      </w:tblPr>
      <w:tblGrid>
        <w:gridCol w:w="200"/>
        <w:gridCol w:w="72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two directors with terms to expire at the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selection of Ernst &amp; Young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approve an amendment to CytomX’s Amended and Restated Certificate of Incorporation to increase the number of authorized shares of common stock from 300,000,000 shares to 600,000,000 shares;</w:t>
            </w:r>
          </w:p>
        </w:tc>
      </w:tr>
    </w:tbl>
    <w:tbl>
      <w:tblPr>
        <w:tblW w:w="7825" w:type="dxa"/>
        <w:jc w:val="left"/>
        <w:tblInd w:w="0" w:type="dxa"/>
        <w:tblLayout w:type="fixed"/>
        <w:tblCellMar>
          <w:top w:w="0" w:type="dxa"/>
          <w:left w:w="0" w:type="dxa"/>
          <w:bottom w:w="0" w:type="dxa"/>
          <w:right w:w="0" w:type="dxa"/>
        </w:tblCellMar>
      </w:tblPr>
      <w:tblGrid>
        <w:gridCol w:w="200"/>
        <w:gridCol w:w="762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CytomX’s Amended and Restated 2015 Equity Incentive Plan; </w:t>
            </w:r>
          </w:p>
        </w:tc>
      </w:tr>
    </w:tbl>
    <w:tbl>
      <w:tblPr>
        <w:tblW w:w="8095" w:type="dxa"/>
        <w:jc w:val="left"/>
        <w:tblInd w:w="0" w:type="dxa"/>
        <w:tblLayout w:type="fixed"/>
        <w:tblCellMar>
          <w:top w:w="0" w:type="dxa"/>
          <w:left w:w="0" w:type="dxa"/>
          <w:bottom w:w="0" w:type="dxa"/>
          <w:right w:w="0" w:type="dxa"/>
        </w:tblCellMar>
      </w:tblPr>
      <w:tblGrid>
        <w:gridCol w:w="200"/>
        <w:gridCol w:w="789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CytomX’s Amended and Restated Employee Stock Purchase Plan;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of the Company’s named executive officers as disclosed in the Proxy Statement accompanying this Notice of Annual Meeting of Stockholders;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hold a non-binding advisory vote on the frequency of future advisory votes by stockholders on the compensation of the Company’s named executive officers; and</w:t>
            </w:r>
          </w:p>
        </w:tc>
      </w:tr>
    </w:tbl>
    <w:tbl>
      <w:tblPr>
        <w:tblW w:w="8290" w:type="dxa"/>
        <w:jc w:val="left"/>
        <w:tblInd w:w="0" w:type="dxa"/>
        <w:tblLayout w:type="fixed"/>
        <w:tblCellMar>
          <w:top w:w="0" w:type="dxa"/>
          <w:left w:w="0" w:type="dxa"/>
          <w:bottom w:w="0" w:type="dxa"/>
          <w:right w:w="0" w:type="dxa"/>
        </w:tblCellMar>
      </w:tblPr>
      <w:tblGrid>
        <w:gridCol w:w="200"/>
        <w:gridCol w:w="809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conduct any other business properly brought before the 2026 Annual Meeting of Stockholders.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of Annual Meeting of Stockholders. The record date for the 2026 Annual Meeting of Stockholders is April 20, 2026. Only stockholders of record at the close of business on that date are entitled to notice of, and to vote at, the 2026 Annual Meeting of Stockholders or any adjournment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that you vote as follows on the matters to be presented to stockholders at the 2026 Annual Meeting of Stockholders: </w:t>
      </w:r>
    </w:p>
    <w:tbl>
      <w:tblPr>
        <w:tblW w:w="7720" w:type="dxa"/>
        <w:jc w:val="left"/>
        <w:tblInd w:w="0" w:type="dxa"/>
        <w:tblLayout w:type="fixed"/>
        <w:tblCellMar>
          <w:top w:w="0" w:type="dxa"/>
          <w:left w:w="0" w:type="dxa"/>
          <w:bottom w:w="0" w:type="dxa"/>
          <w:right w:w="0" w:type="dxa"/>
        </w:tblCellMar>
      </w:tblPr>
      <w:tblGrid>
        <w:gridCol w:w="200"/>
        <w:gridCol w:w="752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election of the director nominees named in Proposal No. 1 of the Proxy Statement;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ratification of the selection of Ernst &amp; Young LLP, as the independent registered public accounting firm, as described in Proposal No. 2 of the Proxy Statement;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the approval of an amendment to our Amended and Restated Certificate of Incorporation to increase the number of authorized shares of common stock from 300,000,000 shares to 600,000,000 shares, as described in Proposal No. 3 of the Proxy Statement;</w:t>
            </w:r>
          </w:p>
        </w:tc>
      </w:tr>
    </w:tbl>
    <w:p>
      <w:pPr>
        <w:pStyle w:val="HorizontalLine"/>
        <w:bidi w:val="0"/>
        <w:spacing w:before="200" w:after="200"/>
        <w:jc w:val="left"/>
        <w:rPr/>
      </w:pPr>
      <w:r>
        <w:rPr/>
      </w:r>
    </w:p>
    <w:p>
      <w:pPr>
        <w:pStyle w:val="TextBody"/>
        <w:bidi w:val="0"/>
        <w:jc w:val="left"/>
        <w:rPr/>
      </w:pPr>
      <w:hyperlink w:anchor="TOC">
        <w:bookmarkStart w:id="4" w:name="ny20064651x2_def14a_101-notice_pg2"/>
        <w:bookmarkEnd w:id="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approval of the amendment to our Amended and Restated 2015 Equity Incentive Plan, as described in Proposal No. 4 of the Proxy Statement;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approval of the amendment to our Amended and Restated Employee Stock Purchase Plan, as described in Proposal No. 5 of the Proxy Statement;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the advisory vote to approve the compensation of the Company’s named executive officers, as described in Proposal No.6 of the Proxy Statement; and</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1 YEAR </w:t>
            </w:r>
            <w:r>
              <w:rPr>
                <w:rFonts w:ascii="Times New Roman;Times;serif" w:hAnsi="Times New Roman;Times;serif"/>
                <w:color w:val="000000"/>
                <w:sz w:val="20"/>
              </w:rPr>
              <w:t>for the non-binding advisory vote regarding the frequency of future advisory votes by stockholders on the compensation of the Company’s named executive officers, as described in Proposal No. 7 of the Proxy Statement.</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very important. Whether or not you attend the 2026 Annual Meeting of Stockholders (by logging into www.virtualshareholdermeeting.com/CTMX2026), it is important that your shares be represented. We encourage you to read the accompanying Proxy Statement and our Annual Report on Form 10-K for the year ended December 31, 2025, and submit your proxy on the Internet, by phone or by mail in accordance with the instructions in the Notice of Internet Availability of Proxy Materials. Please review the instructions on the proxy card or the information forwarded by your bank, broker or other holder of record regarding each of these voting options. If you receive more than one set of proxy materials or notice of internet availability because your shares are registered in different names or addresses, each proxy should be signed and submitted to ensure that all of your shares will be voted. Instructions on how to attend the meeting webcast, ask questions or vote your shares online will also be included with the Notice of Internet Availability of Proxy Materials, and are provided in the Proxy Statement accompanying this Notice of Annual Meeting of Stockholders.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behalf of the Board of Directors, thank you for your participation in this important annual process. </w:t>
      </w:r>
    </w:p>
    <w:tbl>
      <w:tblPr>
        <w:tblW w:w="3665" w:type="dxa"/>
        <w:jc w:val="left"/>
        <w:tblInd w:w="0" w:type="dxa"/>
        <w:tblLayout w:type="fixed"/>
        <w:tblCellMar>
          <w:top w:w="0" w:type="dxa"/>
          <w:left w:w="0" w:type="dxa"/>
          <w:bottom w:w="0" w:type="dxa"/>
          <w:right w:w="0" w:type="dxa"/>
        </w:tblCellMar>
      </w:tblPr>
      <w:tblGrid>
        <w:gridCol w:w="3110"/>
        <w:gridCol w:w="170"/>
        <w:gridCol w:w="170"/>
        <w:gridCol w:w="215"/>
      </w:tblGrid>
      <w:tr>
        <w:trPr/>
        <w:tc>
          <w:tcPr>
            <w:tcW w:w="31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1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 Christopher W. Ogden</w:t>
            </w:r>
            <w:r>
              <w:rPr>
                <w:rFonts w:ascii="Times New Roman;Times;serif" w:hAnsi="Times New Roman;Times;serif"/>
                <w:i/>
                <w:caps w:val="false"/>
                <w:smallCaps w:val="false"/>
                <w:color w:val="000000"/>
                <w:sz w:val="20"/>
              </w:rPr>
              <w:t xml:space="preserve"> </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W. Ogden </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Secretary </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California</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30, 2026</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 are cordially invited to attend the 2026 Annual Meeting of Stockholders by logging into www.virtualshareholdermeeting.com/CTMX2026 and entering the 16-digit control number included in your Notice of Internet Availability of Proxy Materials. Whether or not you expect to attend the 2026 Annual Meeting, please vote on the Internet, by phone or by mail as instructed in the Notice of Internet Availability of Proxy Materials, as promptly as possible in order to ensure your representation at the meeting. Even if you have voted by proxy prior to the meeting, you may still attend the meeting online and submit your vote prior to voting being closed at www.virtualshareholdermeeting.com/CTMX2026. Please note, however, that if your shares of record are held by a broker, bank or other nominee and you wish to vote at the 2026 Annual Meeting, you must obtain a proxy issued in your name from that record holder. </w:t>
      </w:r>
    </w:p>
    <w:p>
      <w:pPr>
        <w:pStyle w:val="HorizontalLine"/>
        <w:bidi w:val="0"/>
        <w:spacing w:before="200" w:after="200"/>
        <w:jc w:val="left"/>
        <w:rPr/>
      </w:pPr>
      <w:r>
        <w:rPr/>
      </w:r>
    </w:p>
    <w:p>
      <w:pPr>
        <w:pStyle w:val="TextBody"/>
        <w:bidi w:val="0"/>
        <w:jc w:val="left"/>
        <w:rPr/>
      </w:pPr>
      <w:hyperlink w:anchor="TOC">
        <w:bookmarkStart w:id="5" w:name="ny20064651x2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525"/>
        <w:gridCol w:w="170"/>
        <w:gridCol w:w="170"/>
        <w:gridCol w:w="340"/>
      </w:tblGrid>
      <w:tr>
        <w:trPr/>
        <w:tc>
          <w:tcPr>
            <w:tcW w:w="95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0"/>
              <w:jc w:val="left"/>
              <w:rPr/>
            </w:pPr>
            <w:r>
              <w:rPr/>
              <w:t> </w:t>
            </w:r>
          </w:p>
        </w:tc>
      </w:tr>
      <w:tr>
        <w:trPr/>
        <w:tc>
          <w:tcPr>
            <w:tcW w:w="9525"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THESE PROXY MATERIALS AND VOTING PROCEDURES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1</w:t>
              </w:r>
            </w:hyperlink>
            <w:hyperlink w:anchor="tQAA">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9</w:t>
              </w:r>
            </w:hyperlink>
            <w:hyperlink w:anchor="tPROP1">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2: RATIFICATION OF SELECTION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11</w:t>
              </w:r>
            </w:hyperlink>
            <w:hyperlink w:anchor="tPROP2">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3: APPROVAL OF AN AMENDMENT TO OUR AMENDED AND RESTATED CERTIFICATE OF INCORPORATION TO INCREASE THE NUMBER OF SHARES OF AUTHORIZED COMMON STOCK FROM 300,000,000 SHARES TO 600,000,000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13</w:t>
              </w:r>
            </w:hyperlink>
            <w:hyperlink w:anchor="tPROP3">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200" w:right="0" w:hanging="200"/>
              <w:jc w:val="left"/>
              <w:rPr/>
            </w:pPr>
            <w:hyperlink w:anchor="tPROP4">
              <w:r>
                <w:rPr>
                  <w:rStyle w:val="InternetLink"/>
                  <w:rFonts w:ascii="Times New Roman;Times;serif" w:hAnsi="Times New Roman;Times;serif"/>
                  <w:color w:val="000000"/>
                  <w:sz w:val="20"/>
                </w:rPr>
                <w:t>PROPOSAL 4: APPROVAL OF THE AMENDMENT TO OUR AMENDED AND RESTATED 2015 EQUITY INCENTIVE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16</w:t>
              </w:r>
            </w:hyperlink>
            <w:hyperlink w:anchor="tPROP4">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200" w:right="0" w:hanging="200"/>
              <w:jc w:val="left"/>
              <w:rPr/>
            </w:pPr>
            <w:hyperlink w:anchor="tPROP5">
              <w:r>
                <w:rPr>
                  <w:rStyle w:val="InternetLink"/>
                  <w:rFonts w:ascii="Times New Roman;Times;serif" w:hAnsi="Times New Roman;Times;serif"/>
                  <w:color w:val="000000"/>
                  <w:sz w:val="20"/>
                </w:rPr>
                <w:t>PROPOSAL 5: APPROVAL OF THE AMENDMENT TO OUR AMENDED AND RESTATED EMPLOYEE STOCK PURCHASE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27</w:t>
              </w:r>
            </w:hyperlink>
          </w:p>
        </w:tc>
      </w:tr>
      <w:tr>
        <w:trPr/>
        <w:tc>
          <w:tcPr>
            <w:tcW w:w="9525" w:type="dxa"/>
            <w:tcBorders/>
            <w:shd w:fill="CCEEFF" w:val="clear"/>
            <w:vAlign w:val="center"/>
          </w:tcPr>
          <w:p>
            <w:pPr>
              <w:pStyle w:val="TableContents"/>
              <w:bidi w:val="0"/>
              <w:spacing w:before="0" w:after="283"/>
              <w:ind w:left="200" w:right="0" w:hanging="200"/>
              <w:jc w:val="left"/>
              <w:rPr/>
            </w:pPr>
            <w:hyperlink w:anchor="tPROP6">
              <w:r>
                <w:rPr>
                  <w:rStyle w:val="InternetLink"/>
                  <w:rFonts w:ascii="Times New Roman;Times;serif" w:hAnsi="Times New Roman;Times;serif"/>
                  <w:color w:val="000000"/>
                  <w:sz w:val="20"/>
                </w:rPr>
                <w:t>PROPOSAL 6: NON-BINDING, ADVISORY VOTE TO APPROVE THE COMPENSATION OF OUR NAMED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32</w:t>
              </w:r>
            </w:hyperlink>
            <w:hyperlink w:anchor="tPROP6">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200" w:right="0" w:hanging="200"/>
              <w:jc w:val="left"/>
              <w:rPr/>
            </w:pPr>
            <w:hyperlink w:anchor="tPROP7">
              <w:r>
                <w:rPr>
                  <w:rStyle w:val="InternetLink"/>
                  <w:rFonts w:ascii="Times New Roman;Times;serif" w:hAnsi="Times New Roman;Times;serif"/>
                  <w:color w:val="000000"/>
                  <w:sz w:val="20"/>
                </w:rPr>
                <w:t>PROPOSAL 7: ADVISORY VOTE ON THE FREQUENCY OF FUTURE ADVISORY VOTES BY STOCKHOLDERS TO APPROVE THE COMPENSATION OF OUR NAMED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PROP7">
              <w:r>
                <w:rPr>
                  <w:rStyle w:val="InternetLink"/>
                  <w:rFonts w:ascii="Times New Roman;Times;serif" w:hAnsi="Times New Roman;Times;serif"/>
                  <w:color w:val="000000"/>
                  <w:sz w:val="20"/>
                </w:rPr>
                <w:t>33</w:t>
              </w:r>
            </w:hyperlink>
            <w:hyperlink w:anchor="tPROP7">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34</w:t>
              </w:r>
            </w:hyperlink>
            <w:hyperlink w:anchor="tSOC">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36</w:t>
              </w:r>
            </w:hyperlink>
            <w:hyperlink w:anchor="tCRR">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0" w:right="0" w:hanging="0"/>
              <w:jc w:val="left"/>
              <w:rPr/>
            </w:pPr>
            <w:hyperlink w:anchor="tBDC">
              <w:r>
                <w:rPr>
                  <w:rStyle w:val="InternetLink"/>
                  <w:rFonts w:ascii="Times New Roman;Times;serif" w:hAnsi="Times New Roman;Times;serif"/>
                  <w:color w:val="000000"/>
                  <w:sz w:val="20"/>
                </w:rPr>
                <w:t>BOARD OF DIRECTORS AND 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BDC">
              <w:r>
                <w:rPr>
                  <w:rStyle w:val="InternetLink"/>
                  <w:rFonts w:ascii="Times New Roman;Times;serif" w:hAnsi="Times New Roman;Times;serif"/>
                  <w:color w:val="000000"/>
                  <w:sz w:val="20"/>
                </w:rPr>
                <w:t>37</w:t>
              </w:r>
            </w:hyperlink>
            <w:hyperlink w:anchor="tBDC">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47</w:t>
              </w:r>
            </w:hyperlink>
            <w:hyperlink w:anchor="tDC">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0" w:right="0" w:hanging="0"/>
              <w:jc w:val="left"/>
              <w:rPr/>
            </w:pPr>
            <w:hyperlink w:anchor="tEOS">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EOS">
              <w:r>
                <w:rPr>
                  <w:rStyle w:val="InternetLink"/>
                  <w:rFonts w:ascii="Times New Roman;Times;serif" w:hAnsi="Times New Roman;Times;serif"/>
                  <w:color w:val="000000"/>
                  <w:sz w:val="20"/>
                </w:rPr>
                <w:t>49</w:t>
              </w:r>
            </w:hyperlink>
            <w:hyperlink w:anchor="tEOS">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50</w:t>
              </w:r>
            </w:hyperlink>
            <w:hyperlink w:anchor="tEC">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0" w:right="0" w:hanging="0"/>
              <w:jc w:val="left"/>
              <w:rPr/>
            </w:pPr>
            <w:hyperlink w:anchor="tECTS">
              <w:r>
                <w:rPr>
                  <w:rStyle w:val="InternetLink"/>
                  <w:rFonts w:ascii="Times New Roman;Times;serif" w:hAnsi="Times New Roman;Times;serif"/>
                  <w:color w:val="000000"/>
                  <w:sz w:val="20"/>
                </w:rPr>
                <w:t>EXECUTIVE COMPENSATION TABLES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ECTS">
              <w:r>
                <w:rPr>
                  <w:rStyle w:val="InternetLink"/>
                  <w:rFonts w:ascii="Times New Roman;Times;serif" w:hAnsi="Times New Roman;Times;serif"/>
                  <w:color w:val="000000"/>
                  <w:sz w:val="20"/>
                </w:rPr>
                <w:t>53</w:t>
              </w:r>
            </w:hyperlink>
            <w:hyperlink w:anchor="tECTS">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56</w:t>
              </w:r>
            </w:hyperlink>
            <w:hyperlink w:anchor="tPVP">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0" w:right="0" w:hanging="0"/>
              <w:jc w:val="left"/>
              <w:rPr/>
            </w:pPr>
            <w:hyperlink w:anchor="tECPI">
              <w:r>
                <w:rPr>
                  <w:rStyle w:val="InternetLink"/>
                  <w:rFonts w:ascii="Times New Roman;Times;serif" w:hAnsi="Times New Roman;Times;serif"/>
                  <w:color w:val="000000"/>
                  <w:sz w:val="20"/>
                </w:rPr>
                <w:t>EQUITY COMPENSATION PLAN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ECPI">
              <w:r>
                <w:rPr>
                  <w:rStyle w:val="InternetLink"/>
                  <w:rFonts w:ascii="Times New Roman;Times;serif" w:hAnsi="Times New Roman;Times;serif"/>
                  <w:color w:val="000000"/>
                  <w:sz w:val="20"/>
                </w:rPr>
                <w:t>59</w:t>
              </w:r>
            </w:hyperlink>
            <w:hyperlink w:anchor="tECPI">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60</w:t>
              </w:r>
            </w:hyperlink>
            <w:hyperlink w:anchor="tRAC">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61</w:t>
              </w:r>
            </w:hyperlink>
            <w:hyperlink w:anchor="tOM">
              <w:r>
                <w:rPr>
                  <w:rStyle w:val="InternetLink"/>
                  <w:rFonts w:ascii="Times New Roman;Times;serif" w:hAnsi="Times New Roman;Times;serif"/>
                  <w:color w:val="000000"/>
                  <w:sz w:val="20"/>
                </w:rPr>
                <w:t xml:space="preserve"> </w:t>
              </w:r>
            </w:hyperlink>
          </w:p>
        </w:tc>
      </w:tr>
      <w:tr>
        <w:trPr/>
        <w:tc>
          <w:tcPr>
            <w:tcW w:w="9525" w:type="dxa"/>
            <w:tcBorders/>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61</w:t>
              </w:r>
            </w:hyperlink>
            <w:hyperlink w:anchor="tAI">
              <w:r>
                <w:rPr>
                  <w:rStyle w:val="InternetLink"/>
                  <w:rFonts w:ascii="Times New Roman;Times;serif" w:hAnsi="Times New Roman;Times;serif"/>
                  <w:color w:val="000000"/>
                  <w:sz w:val="20"/>
                </w:rPr>
                <w:t xml:space="preserve"> </w:t>
              </w:r>
            </w:hyperlink>
          </w:p>
        </w:tc>
      </w:tr>
      <w:tr>
        <w:trPr/>
        <w:tc>
          <w:tcPr>
            <w:tcW w:w="9525" w:type="dxa"/>
            <w:tcBorders/>
            <w:shd w:fill="CCEEFF" w:val="clear"/>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color w:val="000000"/>
                  <w:sz w:val="20"/>
                </w:rPr>
                <w:t xml:space="preserve">Appendix A – Amendment to Amended and Restated Certificate of Incorporation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color w:val="000000"/>
                  <w:sz w:val="20"/>
                </w:rPr>
                <w:t>A-1</w:t>
              </w:r>
            </w:hyperlink>
          </w:p>
        </w:tc>
      </w:tr>
      <w:tr>
        <w:trPr/>
        <w:tc>
          <w:tcPr>
            <w:tcW w:w="9525" w:type="dxa"/>
            <w:tcBorders/>
            <w:vAlign w:val="center"/>
          </w:tcPr>
          <w:p>
            <w:pPr>
              <w:pStyle w:val="TableContents"/>
              <w:bidi w:val="0"/>
              <w:spacing w:before="0" w:after="283"/>
              <w:ind w:left="0" w:right="0" w:hanging="0"/>
              <w:jc w:val="left"/>
              <w:rPr/>
            </w:pPr>
            <w:hyperlink w:anchor="tAPPB">
              <w:r>
                <w:rPr>
                  <w:rStyle w:val="InternetLink"/>
                  <w:rFonts w:ascii="Times New Roman;Times;serif" w:hAnsi="Times New Roman;Times;serif"/>
                  <w:color w:val="000000"/>
                  <w:sz w:val="20"/>
                </w:rPr>
                <w:t xml:space="preserve">Appendix B – Amendment to Amended and Restated 2015 Equity Incentive Plan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ind w:left="0" w:right="0" w:hanging="0"/>
              <w:jc w:val="left"/>
              <w:rPr/>
            </w:pPr>
            <w:hyperlink w:anchor="tAPPB">
              <w:r>
                <w:rPr>
                  <w:rStyle w:val="InternetLink"/>
                  <w:rFonts w:ascii="Times New Roman;Times;serif" w:hAnsi="Times New Roman;Times;serif"/>
                  <w:color w:val="000000"/>
                  <w:sz w:val="20"/>
                </w:rPr>
                <w:t>B-1</w:t>
              </w:r>
            </w:hyperlink>
          </w:p>
        </w:tc>
      </w:tr>
      <w:tr>
        <w:trPr/>
        <w:tc>
          <w:tcPr>
            <w:tcW w:w="9525" w:type="dxa"/>
            <w:tcBorders/>
            <w:shd w:fill="CCEEFF" w:val="clear"/>
            <w:vAlign w:val="center"/>
          </w:tcPr>
          <w:p>
            <w:pPr>
              <w:pStyle w:val="TableContents"/>
              <w:bidi w:val="0"/>
              <w:spacing w:before="0" w:after="283"/>
              <w:ind w:left="0" w:right="0" w:hanging="0"/>
              <w:jc w:val="left"/>
              <w:rPr/>
            </w:pPr>
            <w:hyperlink w:anchor="tAPPC">
              <w:r>
                <w:rPr>
                  <w:rStyle w:val="InternetLink"/>
                  <w:rFonts w:ascii="Times New Roman;Times;serif" w:hAnsi="Times New Roman;Times;serif"/>
                  <w:color w:val="000000"/>
                  <w:sz w:val="20"/>
                </w:rPr>
                <w:t>Appendix C – Amendment to Amended and Restated Employee Stock Purchase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283"/>
              <w:ind w:left="0" w:right="0" w:hanging="0"/>
              <w:jc w:val="left"/>
              <w:rPr/>
            </w:pPr>
            <w:hyperlink w:anchor="tAPPC">
              <w:r>
                <w:rPr>
                  <w:rStyle w:val="InternetLink"/>
                  <w:rFonts w:ascii="Times New Roman;Times;serif" w:hAnsi="Times New Roman;Times;serif"/>
                  <w:color w:val="000000"/>
                  <w:sz w:val="20"/>
                </w:rPr>
                <w:t>C-1</w:t>
              </w:r>
            </w:hyperlink>
          </w:p>
        </w:tc>
      </w:tr>
      <w:tr>
        <w:trPr/>
        <w:tc>
          <w:tcPr>
            <w:tcW w:w="95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64651x2_def14a_103-qa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bookmarkStart w:id="9" w:name="tQAA"/>
      <w:bookmarkEnd w:id="9"/>
      <w:r>
        <w:rPr>
          <w:color w:val="000000"/>
        </w:rPr>
        <w:drawing>
          <wp:inline distT="0" distB="0" distL="0" distR="0">
            <wp:extent cx="139065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790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t xml:space="preserve">151 Oyster Point Boulevard, Suite 400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California 94080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NOTICE OF ANNUAL MEETING OF STOCKHOLDERS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TO BE HELD ON JUNE 17, 2026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 1:30 P.M. PACIFIC TIME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QUESTIONS AND ANSWERS ABOUT THESE PROXY MATERIALS AND VOTING PROCEDURES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sent you a Notice of Internet Availability of Proxy Materials because the board of directors of CytomX Therapeutics, Inc. (the “Board”) is soliciting your proxy to vote at our 2026 Annual Meeting of Stockholders to be held on June 17, 2026 at 1:30 p.m., Pacific Time. The meeting will be held virtually, via a live webcast at www.virtualshareholdermeeting.com/CTMX2026. To attend the live webcast, you will need your unique 16-digit control number provided on the Notice of Internet Availability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invite you to attend the annual meeting to vote on the proposals described in this Proxy Statement. However, you do not need to attend the meeting to vote your shares. Instead, you may vote by proxy over the Internet or by phone by following the instructions provided in the notice or, if you request printed copies of the proxy materials by mail, you may vote by mail.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rules adopted by the Securities and Exchange Commission (the “SEC”), we have elected to provide access to our Annual Meeting materials, which include this Proxy Statement and our Annual Report on Form 10-K for the year ended December 31, 2025 (the “Form 10-K”), over the internet in lieu of mailing printed copies. We will begin mailing the Notice of Internet Availability to our stockholders of record as of April 20, 2026 (the “Record Date”) for the first time on or about April 28, 2026. The Notice of Internet Availability will contain instructions on how to access and review the 2026 Annual Meeting materials, how to access the live webcast of the 2026 Annual Meeting of Stockholders, and will also contain instructions on how to request a printed copy of the 2026 Annual Meeting materials. In addition, we have provided brokers, dealers, banks, voting trustees and their nominees, at our expense, with additional copies of our proxy materials and the Form 10-K so that our record-holders can supply these materials to the beneficial owners of shares of our common stock as of the Record Date. The Form 10-K is also available in the “Financial &amp; Filings” section of our website at http://ir.cytomx.com/financial-information/annual-reports.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Proxy Statement, “CytomX,” the “Company,” “we” or “us” refer to CytomX Therapeutics, Inc., a Delaware corporation.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April 20, 2026 will be entitled to vote at the annual meeting. On this Record Date, there were 217,702,919 shares of common stock outstanding and entitled to vote.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of Record: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April 20, 2026, your shares were registered directly in your name with our transfer agent, Computershare Trust Company, N.A., then you are a stockholder of record. The notice will be sent to you by mail and via the Internet directly by us. As a stockholder of record, you may vote online during the live webcast of the meeting at www.virtualshareholdermeeting.com/CTMX2026, or vote by proxy. Whether or not you plan to attend the annual meeting online, we urge you to vote on the Internet or by phone as instructed in the notice or by proxy by mail by requesting a paper copy of the proxy materials as instructed in the notice to ensure your vote is counted.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 Shares Registered in the Name of a Broker, Bank or Other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April 20, 2026, your shares were held in an account at a brokerage firm, bank or other agent, then you are the beneficial owner of shares held in “street name” and the notice is being forwarded to you by that organization.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64651x2_def14a_103-qa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organization holding your account is considered the stockholder of record for purposes of voting at the annual meeting. As a beneficial owner, you have the right to direct your broker, bank or other agent on how to vote the shares in your account. Your brokerage firm, bank or other agent will not be able to vote in the election of directors, the amendment to our Amended and Restated 2015 Equity Incentive Plan, the amendment to our Amended and Restated Employee Stock Purchase Plan, the non-binding advisory vote to approve the compensation of our named executive officers and the non-binding advisory vote on the frequency of future advisory votes to approve executive compensation unless they have your voting instructions, so it is very important that you indicate your voting instructions to the institution holding your shares. You are also invited to attend the annual meeting online, as instructed in this Proxy Statement. However, since you are not the stockholder of record, you may not vote your shares online during the annual meeting unless you request and obtain a valid proxy from your broker, bank or other agent.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seven matters scheduled for a vote: </w:t>
      </w:r>
    </w:p>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To elect two directors with terms to expire at the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To ratify the selection of Ernst &amp; Young LLP as our independent registered public accounting firm for our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 To approve the amendment to our Amended and Restated Certificate of Incorporation to increase the number of authorized shares of common stock from 300,000,000 shares to 600,000,000 shares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4: To approve an amendment to increase the number of shares under our Amended and Restated 2015 Equity Incentive Plan.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Proposal 5: To approve an amendment to increase the number of shares under our Amended and Restated Employee Stock Purchase Plan.</w:t>
            </w:r>
          </w:p>
        </w:tc>
      </w:tr>
    </w:tbl>
    <w:tbl>
      <w:tblPr>
        <w:tblW w:w="8620" w:type="dxa"/>
        <w:jc w:val="left"/>
        <w:tblInd w:w="0" w:type="dxa"/>
        <w:tblLayout w:type="fixed"/>
        <w:tblCellMar>
          <w:top w:w="0" w:type="dxa"/>
          <w:left w:w="0" w:type="dxa"/>
          <w:bottom w:w="0" w:type="dxa"/>
          <w:right w:w="0" w:type="dxa"/>
        </w:tblCellMar>
      </w:tblPr>
      <w:tblGrid>
        <w:gridCol w:w="140"/>
        <w:gridCol w:w="8480"/>
      </w:tblGrid>
      <w:tr>
        <w:trPr/>
        <w:tc>
          <w:tcPr>
            <w:tcW w:w="14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A non-binding advisory vote to approve the compensation of our named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Proposal 7: A non-binding advisory vote on the frequency of future advisory votes by stockholders to approve the compensation of our named executive officers.</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proxy materials distributed?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rules adopted by the SEC, we are sending the notice to our stockholders of record and beneficial owners as of April 20, 2026. Stockholders will have the ability to access the proxy materials, including this Proxy Statement and our Annual Report on Form 10-K for the fiscal year ended December 31, 2025, on the Internet at www.proxyvote.com or to request a printed or electronic set of the proxy materials at no charge. Instructions on how to access the proxy materials over the Internet and how to request a printed copy may be found on the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stockholder may request to receive proxy materials in printed form by mail or electronically by email on an ongoing basis. Choosing to receive future proxy materials by email will save us the cost of printing and mailing documents to stockholders and will reduce the impact of annual meetings on the environment. A stockholder who chooses to receive future proxy materials by email will receive an email prior to next year’s annual meeting with instructions containing a link to those materials and a link to the proxy voting website. A stockholder’s election to receive proxy materials by email will remain in effect until the stockholder terminates it.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Proposal 1, you may either vote “For” or “Against” or abstain from voting with respect to each nominee to the Board. </w:t>
            </w:r>
          </w:p>
        </w:tc>
      </w:tr>
    </w:tbl>
    <w:tbl>
      <w:tblPr>
        <w:tblW w:w="6595" w:type="dxa"/>
        <w:jc w:val="left"/>
        <w:tblInd w:w="0" w:type="dxa"/>
        <w:tblLayout w:type="fixed"/>
        <w:tblCellMar>
          <w:top w:w="0" w:type="dxa"/>
          <w:left w:w="0" w:type="dxa"/>
          <w:bottom w:w="0" w:type="dxa"/>
          <w:right w:w="0" w:type="dxa"/>
        </w:tblCellMar>
      </w:tblPr>
      <w:tblGrid>
        <w:gridCol w:w="140"/>
        <w:gridCol w:w="6455"/>
      </w:tblGrid>
      <w:tr>
        <w:trPr/>
        <w:tc>
          <w:tcPr>
            <w:tcW w:w="14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2, you may either vote “For” or “Against” or abstain from voting.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Proposal 3, you may either vote “For” or “Against” or abstain from voting.</w:t>
            </w:r>
          </w:p>
        </w:tc>
      </w:tr>
    </w:tbl>
    <w:tbl>
      <w:tblPr>
        <w:tblW w:w="6595" w:type="dxa"/>
        <w:jc w:val="left"/>
        <w:tblInd w:w="0" w:type="dxa"/>
        <w:tblLayout w:type="fixed"/>
        <w:tblCellMar>
          <w:top w:w="0" w:type="dxa"/>
          <w:left w:w="0" w:type="dxa"/>
          <w:bottom w:w="0" w:type="dxa"/>
          <w:right w:w="0" w:type="dxa"/>
        </w:tblCellMar>
      </w:tblPr>
      <w:tblGrid>
        <w:gridCol w:w="140"/>
        <w:gridCol w:w="6455"/>
      </w:tblGrid>
      <w:tr>
        <w:trPr/>
        <w:tc>
          <w:tcPr>
            <w:tcW w:w="14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4, you may either vote “For” or “Against” or abstain from voting. </w:t>
            </w:r>
          </w:p>
        </w:tc>
      </w:tr>
    </w:tbl>
    <w:tbl>
      <w:tblPr>
        <w:tblW w:w="6595" w:type="dxa"/>
        <w:jc w:val="left"/>
        <w:tblInd w:w="0" w:type="dxa"/>
        <w:tblLayout w:type="fixed"/>
        <w:tblCellMar>
          <w:top w:w="0" w:type="dxa"/>
          <w:left w:w="0" w:type="dxa"/>
          <w:bottom w:w="0" w:type="dxa"/>
          <w:right w:w="0" w:type="dxa"/>
        </w:tblCellMar>
      </w:tblPr>
      <w:tblGrid>
        <w:gridCol w:w="140"/>
        <w:gridCol w:w="6455"/>
      </w:tblGrid>
      <w:tr>
        <w:trPr/>
        <w:tc>
          <w:tcPr>
            <w:tcW w:w="14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5, you may either vote “For” or “Against” or abstain from voting. </w:t>
            </w:r>
          </w:p>
        </w:tc>
      </w:tr>
    </w:tbl>
    <w:tbl>
      <w:tblPr>
        <w:tblW w:w="6595" w:type="dxa"/>
        <w:jc w:val="left"/>
        <w:tblInd w:w="0" w:type="dxa"/>
        <w:tblLayout w:type="fixed"/>
        <w:tblCellMar>
          <w:top w:w="0" w:type="dxa"/>
          <w:left w:w="0" w:type="dxa"/>
          <w:bottom w:w="0" w:type="dxa"/>
          <w:right w:w="0" w:type="dxa"/>
        </w:tblCellMar>
      </w:tblPr>
      <w:tblGrid>
        <w:gridCol w:w="140"/>
        <w:gridCol w:w="6455"/>
      </w:tblGrid>
      <w:tr>
        <w:trPr/>
        <w:tc>
          <w:tcPr>
            <w:tcW w:w="14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6, you may either vote “For” or “Against” or abstain from voting. </w:t>
            </w:r>
          </w:p>
        </w:tc>
      </w:tr>
    </w:tbl>
    <w:tbl>
      <w:tblPr>
        <w:tblW w:w="7405" w:type="dxa"/>
        <w:jc w:val="left"/>
        <w:tblInd w:w="0" w:type="dxa"/>
        <w:tblLayout w:type="fixed"/>
        <w:tblCellMar>
          <w:top w:w="0" w:type="dxa"/>
          <w:left w:w="0" w:type="dxa"/>
          <w:bottom w:w="0" w:type="dxa"/>
          <w:right w:w="0" w:type="dxa"/>
        </w:tblCellMar>
      </w:tblPr>
      <w:tblGrid>
        <w:gridCol w:w="140"/>
        <w:gridCol w:w="7265"/>
      </w:tblGrid>
      <w:tr>
        <w:trPr/>
        <w:tc>
          <w:tcPr>
            <w:tcW w:w="14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Proposal 7, you may vote for “1 Year,” “2 Years” or “3 Years” or abstain from voting.</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1" w:name="ny20064651x2_def14a_103-qa_pg3"/>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of Record: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as of April 20, 2026, you may vote by attending the annual meeting online at www.virtualshareholdermeeting.com/CTMX2026 and following the instructions posted on the webcast portal. You may also vote by proxy over the Internet or by phone by following the instructions provided in the Notice of Internet Availability of Proxy Materials or, if you request printed copies of the proxy materials by mail, you may vote by mail. If your proxy is properly executed in time to be voted at the annual meeting, the shares represented by the proxy will be voted in accordance with the instructions you provide. Whether or not you plan to attend the annual meeting online, we urge you to vote by proxy to ensure your vote is counted. You may still attend the annual meeting online and vote online at www.virtualshareholdermeeting.com/CTMX2026 if you have already voted by proxy, so long as you do so before voting closes.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To vote online during the annual meeting</w:t>
            </w:r>
            <w:r>
              <w:rPr>
                <w:rFonts w:ascii="Times New Roman;Times;serif" w:hAnsi="Times New Roman;Times;serif"/>
                <w:color w:val="000000"/>
                <w:sz w:val="20"/>
              </w:rPr>
              <w:t xml:space="preserve">, visit www.virtualshareholdermeeting.com/CTMX2026 and have ready your 16-digit control number that was included in your Notice of Internet Availability of Proxy Materials or included in the instructions that accompanied your proxy materials. Shares held in your name as the stockholder of record may be voted electronically during the annual meeting. Shares for which you are the beneficial owner but not the stockholder of record may also be voted electronically during the annual meeting.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To vote on the Internet prior to the annual meeting</w:t>
            </w:r>
            <w:r>
              <w:rPr>
                <w:rFonts w:ascii="Times New Roman;Times;serif" w:hAnsi="Times New Roman;Times;serif"/>
                <w:color w:val="000000"/>
                <w:sz w:val="20"/>
              </w:rPr>
              <w:t xml:space="preserve">, go to www.proxyvote.com to complete an electronic proxy card. You will be asked to provide the 16-digit control number from the notice and follow the instructions. Your vote must be received by 11:59 p.m., Eastern Time, on June 16, 2026 to be counted.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To vote by phone</w:t>
            </w:r>
            <w:r>
              <w:rPr>
                <w:rFonts w:ascii="Times New Roman;Times;serif" w:hAnsi="Times New Roman;Times;serif"/>
                <w:color w:val="000000"/>
                <w:sz w:val="20"/>
              </w:rPr>
              <w:t xml:space="preserve">, request a paper or email copy of the proxy materials by following the instructions on the notice and call the number provided with the proxy materials to transmit your voting instructions. Your vote must be received by 11:59 p.m., Eastern Time, on June 16, 2026 to be counted.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To vote by mail</w:t>
            </w:r>
            <w:r>
              <w:rPr>
                <w:rFonts w:ascii="Times New Roman;Times;serif" w:hAnsi="Times New Roman;Times;serif"/>
                <w:color w:val="000000"/>
                <w:sz w:val="20"/>
              </w:rPr>
              <w:t xml:space="preserve">, request a paper copy of the proxy materials by following the instructions on the notice and complete, sign and date the proxy card enclosed with the paper copy of the proxy materials and return it promptly in the envelope provided. If you return your signed proxy card to us before the annual meeting, we will vote your shares as you direct.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 Shares Registered in the Name of a Broker, Bank or Other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notice and voting instructions from that organization rather than from us. Simply follow the instructions to ensure that your vote is counted. To vote online at the annual meeting, you must obtain a valid proxy from your broker, bank or other agent. Follow the instructions from your broker, bank or other agent included with the notice, or contact your broker, bank or other agent to request a proxy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common stock you owned as of April 20, 2026.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take any action at the meeting, other than to adjourn the meeting. The presence, online or by proxy duly authorized, of the holders of a majority of the outstanding shares of stock entitled to vote will constitute a quorum. On April 20, 2026, there were 217,702,919 shares of common stock outstanding and entitled to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2" w:name="ny20064651x2_def14a_103-qa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 the quorum only if you submit a valid proxy or vote online at the annual meeting. Abstentions and broker non-votes will be counted toward the quorum requirement. If there is no quorum, the chairman of the annual meeting or the holders of a majority of the shares casting votes at the annual meeting may adjourn the annual meeting to another date.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but do not make specific choices?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you return a proxy card without marking any voting selections, your shares will be voted as follows: </w:t>
      </w:r>
    </w:p>
    <w:tbl>
      <w:tblPr>
        <w:tblW w:w="5110" w:type="dxa"/>
        <w:jc w:val="left"/>
        <w:tblInd w:w="0" w:type="dxa"/>
        <w:tblLayout w:type="fixed"/>
        <w:tblCellMar>
          <w:top w:w="0" w:type="dxa"/>
          <w:left w:w="0" w:type="dxa"/>
          <w:bottom w:w="0" w:type="dxa"/>
          <w:right w:w="0" w:type="dxa"/>
        </w:tblCellMar>
      </w:tblPr>
      <w:tblGrid>
        <w:gridCol w:w="200"/>
        <w:gridCol w:w="491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“For” the election of two nominees for director.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“For” the ratification of the Audit Committee’s selection of Ernst &amp; Young LLP as our independent registered public accounting firm for our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Proposal 3: “For” the amendment to our Amended and Restated Certificate of Incorporation to increase the number of authorized shares of common stock from 300,000,000 shares to 600,000,000 shares.</w:t>
            </w:r>
          </w:p>
        </w:tc>
      </w:tr>
    </w:tbl>
    <w:tbl>
      <w:tblPr>
        <w:tblW w:w="9070" w:type="dxa"/>
        <w:jc w:val="left"/>
        <w:tblInd w:w="0" w:type="dxa"/>
        <w:tblLayout w:type="fixed"/>
        <w:tblCellMar>
          <w:top w:w="0" w:type="dxa"/>
          <w:left w:w="0" w:type="dxa"/>
          <w:bottom w:w="0" w:type="dxa"/>
          <w:right w:w="0" w:type="dxa"/>
        </w:tblCellMar>
      </w:tblPr>
      <w:tblGrid>
        <w:gridCol w:w="200"/>
        <w:gridCol w:w="887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88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4: “For” the approval of the amendment to our Amended and Restated 2015 Equity Incentive Plan. </w:t>
            </w:r>
          </w:p>
        </w:tc>
      </w:tr>
    </w:tbl>
    <w:tbl>
      <w:tblPr>
        <w:tblW w:w="9340" w:type="dxa"/>
        <w:jc w:val="left"/>
        <w:tblInd w:w="0" w:type="dxa"/>
        <w:tblLayout w:type="fixed"/>
        <w:tblCellMar>
          <w:top w:w="0" w:type="dxa"/>
          <w:left w:w="0" w:type="dxa"/>
          <w:bottom w:w="0" w:type="dxa"/>
          <w:right w:w="0" w:type="dxa"/>
        </w:tblCellMar>
      </w:tblPr>
      <w:tblGrid>
        <w:gridCol w:w="200"/>
        <w:gridCol w:w="914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5: “For” the approval of the amendment to our Amended and Restated Employee Stock Purchase Plan. </w:t>
            </w:r>
          </w:p>
        </w:tc>
      </w:tr>
    </w:tbl>
    <w:tbl>
      <w:tblPr>
        <w:tblW w:w="9340" w:type="dxa"/>
        <w:jc w:val="left"/>
        <w:tblInd w:w="0" w:type="dxa"/>
        <w:tblLayout w:type="fixed"/>
        <w:tblCellMar>
          <w:top w:w="0" w:type="dxa"/>
          <w:left w:w="0" w:type="dxa"/>
          <w:bottom w:w="0" w:type="dxa"/>
          <w:right w:w="0" w:type="dxa"/>
        </w:tblCellMar>
      </w:tblPr>
      <w:tblGrid>
        <w:gridCol w:w="200"/>
        <w:gridCol w:w="914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“For” the non-binding, advisory vote to approve the compensation of our named executive officers.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Proposal 7: “1 Year” for the non-binding advisory vote regarding the future advisory votes by the stockholders to approve the compensation of our named executive officers.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other matter is properly presented at the meeting, your proxy (one of the individuals named on your proxy card) will vote your shares using their best judgment.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your shares are held by your broker, bank or other agent as your nominee, or in “street name,” and you will need to obtain a proxy form from the organization that holds your shares and follow the instructions included on that form regarding how to instruct the organization to vote your shares. If you do not give instructions to your broker, bank or other agent, they can vote your shares with respect to “discretionary” items but not with respect to “non-discretionary” items. Discretionary items are proposals considered routine under the rules of various national securities exchanges, and, in the absence of your voting instructions, your broker, bank or other agent may vote your shares held in street name on such proposals. Non-discretionary items are proposals considered non-routine under the rules of various national securities exchanges, and, in the absence of your voting instructions, your broker, bank or other agent may not vote your shares held in street name on such proposals and the shares will be treated as broker non-votes.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Which ballot measures are considered “routine” or “non-routine”?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Proposal 1 (the election of directors), Proposal 4 (amendment to our Amended and Restated 2015 Equity Incentive Plan), Proposal 5 (amendment to our Amended and Restated Employee Stock Purchase Plan), Proposal 6 (non-binding advisory vote to approve the compensation of our named executive officers) and Proposal 7 (non-binding advisory vote on the frequency of future advisory votes to approve executive compensation) are considered non-routine under applicable rules. A broker or other nominee cannot vote without instructions on non-routine matters, and therefore there may be broker non-votes on Proposals 1, 4, 5, 6 and 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Proposal 2 (the ratification of the selection of Ernst &amp; Young LLP as our independent registered public accounting firm for the year ending December 31, 2026) and Proposal 3 (amendment of our Amended and Restated Certificate of Incorporation) are considered routine under applicable rules. A broker or other nominee may generally vote on routine matters, and therefore no broker non-votes are expected to exist in connection with Proposals 2 and 3.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annual meeting, who will count: </w:t>
      </w:r>
    </w:p>
    <w:tbl>
      <w:tblPr>
        <w:tblW w:w="7510" w:type="dxa"/>
        <w:jc w:val="left"/>
        <w:tblInd w:w="0" w:type="dxa"/>
        <w:tblLayout w:type="fixed"/>
        <w:tblCellMar>
          <w:top w:w="0" w:type="dxa"/>
          <w:left w:w="0" w:type="dxa"/>
          <w:bottom w:w="0" w:type="dxa"/>
          <w:right w:w="0" w:type="dxa"/>
        </w:tblCellMar>
      </w:tblPr>
      <w:tblGrid>
        <w:gridCol w:w="140"/>
        <w:gridCol w:w="7370"/>
      </w:tblGrid>
      <w:tr>
        <w:trPr/>
        <w:tc>
          <w:tcPr>
            <w:tcW w:w="14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Proposals 1, 2, 3, 4, 5 and 6, “For” votes, “Against” votes and abstentions. </w:t>
            </w:r>
          </w:p>
        </w:tc>
      </w:tr>
    </w:tbl>
    <w:tbl>
      <w:tblPr>
        <w:tblW w:w="7075" w:type="dxa"/>
        <w:jc w:val="left"/>
        <w:tblInd w:w="0" w:type="dxa"/>
        <w:tblLayout w:type="fixed"/>
        <w:tblCellMar>
          <w:top w:w="0" w:type="dxa"/>
          <w:left w:w="0" w:type="dxa"/>
          <w:bottom w:w="0" w:type="dxa"/>
          <w:right w:w="0" w:type="dxa"/>
        </w:tblCellMar>
      </w:tblPr>
      <w:tblGrid>
        <w:gridCol w:w="140"/>
        <w:gridCol w:w="6935"/>
      </w:tblGrid>
      <w:tr>
        <w:trPr/>
        <w:tc>
          <w:tcPr>
            <w:tcW w:w="14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Proposal 7, “1 Year,” “2 Years” and “3 Years” votes and abstentions. </w:t>
            </w:r>
          </w:p>
        </w:tc>
      </w:tr>
    </w:tbl>
    <w:tbl>
      <w:tblPr>
        <w:tblW w:w="6085" w:type="dxa"/>
        <w:jc w:val="left"/>
        <w:tblInd w:w="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Additionally, with respect to Proposal 1, 4, 5, 6 and 7, broker non-votes.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3" w:name="ny20064651x2_def14a_103-qa_pg5"/>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serve as inspector of elections?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Farooq Nomani, our Senior Director and Corporate Counsel, will serve as the inspector of elections.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Proposal 1, electing two members of the Board, each director must receive a “For” vote from a majority of the votes cast either online or by proxy at the annual meeting and that are entitled to vote on the election of directors. A majority of votes cast shall mean that the number of shares voted “For” the director’s election exceeds 50% of the number of votes cast with respect to that director’s election, with votes cast including votes “Against” in each case and excluding abstentions and broker non-votes with respect to that director’s election.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Proposal 2, ratifying the Audit Committee’s selection of Ernst &amp; Young LLP as our independent registered public accounting firm for our fiscal year ending December 31, 2026, the proposal must receive a “For” vote from the majority of the votes cast either online or by proxy at the annual meeting and that are entitled to vote on the proposal, with votes cast including votes “Against” and excluding abstentions. This is a routine proposal and therefore we do not expect any broker non-votes.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Proposal 3, approving the amendment to our Amended and Restated Certificate of Incorporation to increase the number of authorized shares of common stock from 300,000,000 shares to 600,000,000 shares, the proposal must receive a “For” vote from the majority of the votes cast either online or by proxy at the annual meeting and that are entitled to vote on the proposal, with votes cast including votes “Against” and excluding abstentions. This is a routine proposal and therefore we do not expect any broker non-votes.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Proposal 4, approving the amendment of our Amended and Restated 2015 Equity Inventive Plan, the proposal must receive a “For” vote from the majority of the votes cast either online or by proxy at the annual meeting and that are entitled to vote on the proposal, with votes cast including votes “Against” and excluding abstentions and broker non-votes.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Proposal 5, approving the amendment of our Amended and Restated Employee Stock Purchase Plan, the proposal must receive a “For” vote from the majority of the votes cast either online or by proxy at the annual meeting and that are entitled to vote on the proposal, with votes cast including votes “Against” and excluding abstentions and broker non-votes.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Proposal 6, being the non-binding advisory vote to approve the compensation of our named executive officers, the proposal must receive a “For” vote from the majority of the votes cast either online or by proxy at the annual meeting and that are entitled to vote on the proposal, with votes cast including votes “Against” and excluding abstentions and broker non-votes. While the vote on this resolution is advisory and not binding on us, our Compensation Committee and our Board will consider the outcome of the vote on this resolution when considering future executive compensation decisions.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Proposal 7, being the non-binding advisory vote on the frequency of future advisory votes on executive compensation, the advisory vote frequency alternative (“1 Year”, “2 Years” or “3 Years”) receiving the highest number of “For” votes from the majority of the votes cast either online or by proxy at the annual meeting and entitled to vote on the proposal will be approved, with votes cast excluding abstentions and broker non-votes. If none of the frequency alternatives receives a majority of the votes cast, we will consider the highest number of votes cast by the stockholders to be the frequency that has been selected by the stockholders. However, this proposal is advisory and nonbinding upon us.</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We have retained Georgeson LLC to assist in the solicitation of proxies for a fee of approximately $15,000 plus associated costs and expenses. In addition to the notice and the proxy materials, our directors and employees may also solicit proxies online, by telephone or by other means of communication. We will not pay our directors and employees any additional compensation for soliciting proxies. We may also reimburse brokerage firms, banks and other agents for the cost of forwarding the notice and any other proxy materials to beneficial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4" w:name="ny20064651x2_def14a_103-qa_pg6"/>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notice, your shares are registered in more than one name or are registered in different accounts. Please vote by proxy according to each notice to ensure that all of your shares are voted.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annual meeting. If you are a stockholder of record, you may revoke your proxy in any one of three ways: </w:t>
      </w:r>
    </w:p>
    <w:tbl>
      <w:tblPr>
        <w:tblW w:w="7585" w:type="dxa"/>
        <w:jc w:val="left"/>
        <w:tblInd w:w="0" w:type="dxa"/>
        <w:tblLayout w:type="fixed"/>
        <w:tblCellMar>
          <w:top w:w="0" w:type="dxa"/>
          <w:left w:w="0" w:type="dxa"/>
          <w:bottom w:w="0" w:type="dxa"/>
          <w:right w:w="0" w:type="dxa"/>
        </w:tblCellMar>
      </w:tblPr>
      <w:tblGrid>
        <w:gridCol w:w="200"/>
        <w:gridCol w:w="73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duly executed proxy card with a later date or time than the previously submitted proxy;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written notice that you are revoking your proxy to our Secretary, care of CytomX Therapeutics, Inc., at 151 Oyster Point Boulevard, Suite 400, South San Francisco, CA 94080; or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later-dated vote on the Internet or by phone or a ballot cast online at the annual meeting by following the instructions at www.virtualshareholdermeeting.com/CTMX2026 (simply attending our virtual annual meeting will not, by itself, revoke your proxy).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you may revoke your proxy by submitting new instructions to your broker, bank or other agent, or if you have received a proxy from your broker, bank or other agent giving you the right to vote your shares at the annual meeting, by attending our virtual annual meeting by visiting www.virtualshareholdermeeting.com/CTMX2026 with your 16-digit control number (available in your notice and proxy card) and following the instructions to vote online.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virtual/online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year’s annual meeting will be held entirely online to support and facilitate stockholder participation. Stockholders of record as of April 20, 2026, will be able to attend and participate in the annual meeting online by accessing www.virtualshareholdermeeting.com/CTMX2026. To join the annual meeting, you will need to have your 16-digit control number, which is included on your Notice of Internet Availability of Proxy Materials and your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annual meeting online, we recommend that you also vote by proxy as described herein so that your vote will be counted if you decide not to attend the annual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Access to the audio webcast of the annual meeting. </w:t>
      </w:r>
      <w:r>
        <w:rPr>
          <w:rFonts w:ascii="Times New Roman;Times;serif" w:hAnsi="Times New Roman;Times;serif"/>
          <w:b w:val="false"/>
          <w:i w:val="false"/>
          <w:caps w:val="false"/>
          <w:smallCaps w:val="false"/>
          <w:color w:val="000000"/>
          <w:sz w:val="20"/>
        </w:rPr>
        <w:t xml:space="preserve">The live audio webcast of the annual meeting will begin promptly at 1:30 p.m., Pacific Time on June 17, 2026. Online access to the audio webcast will open approximately thirty minutes prior to the start of the annual meeting to allow time for you to log in and test the computer audio system. We encourage our stockholders to access the annual meeting prior to the start time.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Log in Instructions. </w:t>
      </w:r>
      <w:r>
        <w:rPr>
          <w:rFonts w:ascii="Times New Roman;Times;serif" w:hAnsi="Times New Roman;Times;serif"/>
          <w:b w:val="false"/>
          <w:i w:val="false"/>
          <w:caps w:val="false"/>
          <w:smallCaps w:val="false"/>
          <w:color w:val="000000"/>
          <w:sz w:val="20"/>
        </w:rPr>
        <w:t xml:space="preserve">To attend the online annual meeting, log in at www.virtualshareholdermeeting.com/CTMX2026. Stockholders will need their unique 16-digit control number, which appears on the Notice of Internet Availability of Proxy Materials and the instructions that accompanied the proxy materials. In the event that you do not have a control number, please contact your broker, bank, or other nominee as soon as possible and no later than May 30, 2026, so that you can be provided with a control number and gain access to the annual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Submitting questions at the virtual annual meeting. </w:t>
      </w:r>
      <w:r>
        <w:rPr>
          <w:rFonts w:ascii="Times New Roman;Times;serif" w:hAnsi="Times New Roman;Times;serif"/>
          <w:b w:val="false"/>
          <w:i w:val="false"/>
          <w:caps w:val="false"/>
          <w:smallCaps w:val="false"/>
          <w:color w:val="000000"/>
          <w:sz w:val="20"/>
        </w:rPr>
        <w:t xml:space="preserve">As part of the annual meeting, we will hold a live question and answer session, during which we intend to answer questions submitted during the meeting in accordance with the annual meeting’s rules of conduct that are pertinent to the Company and the meeting matters, as time permits. Questions and answers will be grouped by topic and substantially similar questions will be grouped and answered once. The annual meeting’s rules of conduct will be posted on the Company website approximately 2 weeks prior to the date of the annual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Technical Assistance. </w:t>
      </w:r>
      <w:r>
        <w:rPr>
          <w:rFonts w:ascii="Times New Roman;Times;serif" w:hAnsi="Times New Roman;Times;serif"/>
          <w:b w:val="false"/>
          <w:i w:val="false"/>
          <w:caps w:val="false"/>
          <w:smallCaps w:val="false"/>
          <w:color w:val="000000"/>
          <w:sz w:val="20"/>
        </w:rPr>
        <w:t xml:space="preserve">Beginning 30 minutes prior to the start of and during the virtual annual meeting, we will have a support team ready to assist stockholders with any technical difficulties they may have accessing or hearing the virtual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encounter any difficulties accessing the virtual meeting during the check-in or meeting time, you may call our support team at the numbers available on www.virtualshareholdermeeting.com/CTMX2026.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Availability of live webcast to team members and other constituents. </w:t>
      </w:r>
      <w:r>
        <w:rPr>
          <w:rFonts w:ascii="Times New Roman;Times;serif" w:hAnsi="Times New Roman;Times;serif"/>
          <w:b w:val="false"/>
          <w:i w:val="false"/>
          <w:caps w:val="false"/>
          <w:smallCaps w:val="false"/>
          <w:color w:val="000000"/>
          <w:sz w:val="20"/>
        </w:rPr>
        <w:t xml:space="preserve">The live audio webcast will be available to not only our stockholders but also our team members and other constituents.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5" w:name="ny20064651x2_def14a_103-qa_pg7"/>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due for next year’s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 14a-8 under the Securities Exchange Act of 1934, as amended (the “Exchange Act”), some stockholder proposals may be eligible for inclusion in our proxy statement for our 2027 Annual Meeting of Stockholders. Any such proposal must be submitted in writing by December 29, 2026, to our Secretary, care of CytomX Therapeutics, Inc., at 151 Oyster Point Boulevard, Suite 400, South San Francisco, CA 94080, the address of our principal executive offices. If we change the date of our 2027 Annual Meeting of Stockholders by more than 30 days from the date of the 2026 Annual Meeting of Stockholders, the deadline shall be a reasonable time before we begin to print and send our proxy materials. Stockholders interested in submitting such a proposal are advised to contact knowledgeable counsel with regard to the detailed requirements of the applicable securities laws and our bylaws. The submission of a stockholder proposal does not guarantee that it will be included in our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bylaws also establish an advance notice procedure for stockholders who wish to present a proposal before an annual meeting of stockholders but do not intend for the proposal to be included in our proxy statement. Our bylaws provide that if you wish to submit a proposal that is not to be included in next year’s proxy statement or nominate a director, a timely written notice of a stockholder proposal must be delivered to, or mailed and received by, our Secretary, care of CytomX Therapeutics, Inc., at 151 Oyster Point Boulevard, Suite 400, South San Francisco, CA 94080, no earlier than February 17, 2027 and no later than the close of business on March 19, 2027, which notice must contain the information specified in our bylaws. If we change the date of our 2027 Annual Meeting of Stockholders by more than 30 days before, or more than 60 days after, the one-year anniversary of the 2026 Annual Meeting of Stockholders, then the written notice of a stockholder proposal that is not intended to be included in our proxy statement must be delivered, or mailed and received, not later than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our 2027 Annual Meeting of Stockholders or, if later,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following the day on which certain public disclosure as described in our bylaws of the meeting date is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satisfying the foregoing requirements under our current bylaws, stockholders who intend to solicit proxies in support of director nominees other than the Company’s nominees for our annual meeting to be held in 2027 must provide notice that sets forth the information required by Rule 14a-19 under the Exchange Act no later than 5:00 p.m., Eastern Time, on April 18, 2027, including providing a statement that such stockholder intends to solicit the holders of shares representing at least 67% of the voting power of the Company’s shares entitled to vote on the election of directors in support of director nominees other than the Company’s nominees. If our 2027 annual meeting is changed by more than 30 calendar days from the first anniversary of our 2026 annual meeting, stockholders must comply with the additional requirements of Rule 14a-19(b) under the Exchange Act no later than the later of 60 calendar days prior to the date of the 2027 annual meeting or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calendar day following the day on which public announcement of the date of the 2027 annual meeting is first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file a proxy statement and WHITE proxy card with the SEC in connection with our solicitation of proxies for our 2027 Annual Meeting of Stockholders. Stockholders may obtain our proxy statement (and any amendments and supplements thereto) and other documents for our 2027 Annual Meeting of Stockholders as and when filed by us with the SEC without charge from the SEC’s website at: www.sec.gov.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“householding” and how does it affect 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procedure approved by the SEC called “householding.” Under this procedure, stockholders who have the same address may receive only one copy of our annual report, proxy statement or Notice of Internet Availability of Proxy Materials, unless one or more of these stockholders notifies us that they wish to receive individual copies of such documents. This process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our common stock, once you receive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separate copies of our annual report, proxy statement or Notice of Internet Availability of Proxy Materials, please notify your broker, bank or other agent, and direct your written request to CytomX Therapeutics, Inc., Secretary, at 151 Oyster Point Boulevard, Suite 400, South San Francisco, CA 94080 or contact our Secretary at (650) 515-3185. Upon written or oral request to us, we will promptly deliver a separate copy of the annual report to security holders, proxy statement, or Notice of Internet Availability of Proxy Materials, as applicable, to a security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6" w:name="ny20064651x2_def14a_103-qa_pg8"/>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at a shared address to which a single copy of the documents was delivered. Stockholders who currently receive multiple copies of our annual report, proxy statement or Notice of Internet Availability of Proxy Materials at their address and would like to request householding of their communications should contact their broker, bank or other agent.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during the live webcast of the annual meeting. Final voting results will be published in a Current Report on Form 8-K filed with the SEC within four business days following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7" w:name="ny20064651x2_def14a_104-prop1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PROP1"/>
      <w:bookmarkEnd w:id="18"/>
      <w:r>
        <w:rPr>
          <w:rFonts w:ascii="Times New Roman;Times;serif" w:hAnsi="Times New Roman;Times;serif"/>
          <w:b/>
          <w:color w:val="000000"/>
          <w:sz w:val="20"/>
        </w:rPr>
        <w:t xml:space="preserve">PROPOSAL 1: 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eight directors and is divided into three classes, designated as Class I, Class II and Class III. Under our Amended and Restated Certificate of Incorporation, our Board is authorized to assign its members in office to each class and each class has a term of three years. There are currently two directors in Class II, Matthew P. Young, and Elaine V. Jones Ph.D., whose terms of office are scheduled to expire at the 2026 Annual Meeting of Stockholders. Both, Mr. Young and Dr. Jones have been nominated for election at the 2026 Annual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vacancies on our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Any director elected to fill a vacancy shall hold office for the remainder of the unexpired term in which the vacancy occurred or newly created directorship was created and until such director’s successor shall have been elected and qualified.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are elected by a majority of the votes cast at the annual meeting and entitled to vote on the election of directors. A majority of votes cast shall mean that the number of shares voted “For” a director’s election exceeds 50% of the number of votes cast with respect to that director’s election, with votes cast including votes “Against” in each case and excluding abstentions and broker non-votes with respect to that director’s election. Shares represented by executed proxies will be voted for the election of the nominees named below, unless the “Against” or “Abstain” voting selection has been marked on the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either of Mr. Young or Dr. Jones become unavailable for election as a result of an unexpected occurrence, shares that would otherwise be voted for such director will be voted for the election of a substitute nominee proposed by the Nominating and Corporate Governance Committee and nominated by the Board. Mr. Young and Dr. Jones have agreed to serve if elected. Our management has no reason to believe that either Mr. Young or Dr. Jones will be unable to serve. If elected at the annual meeting, both Mr. Young and Dr. Jones will serve until the earliest of the 2029 Annual Meeting of Stockholders, or their respective successor is elected and qualified, or until their respective death, resignation or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brief biographies of Mr. Young and Dr. Jones, the nominees for director, and a discussion of their specific experience, qualifications, attributes or skills that led the Nominating and Corporate Governance Committee of the Board to recommend each of them for director, as of the date of this proxy statement. </w:t>
      </w:r>
    </w:p>
    <w:tbl>
      <w:tblPr>
        <w:tblW w:w="4250" w:type="dxa"/>
        <w:jc w:val="left"/>
        <w:tblInd w:w="0" w:type="dxa"/>
        <w:tblLayout w:type="fixed"/>
        <w:tblCellMar>
          <w:top w:w="0" w:type="dxa"/>
          <w:left w:w="0" w:type="dxa"/>
          <w:bottom w:w="0" w:type="dxa"/>
          <w:right w:w="0" w:type="dxa"/>
        </w:tblCellMar>
      </w:tblPr>
      <w:tblGrid>
        <w:gridCol w:w="1790"/>
        <w:gridCol w:w="170"/>
        <w:gridCol w:w="170"/>
        <w:gridCol w:w="1355"/>
        <w:gridCol w:w="170"/>
        <w:gridCol w:w="170"/>
        <w:gridCol w:w="425"/>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P. Young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Elaine V. Jones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r>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Matthew P. Young has served as a member of our Board since September 2015. Mr. Young currently serves as a Managing Director at Longitude Capital, a position he has held since August 2022. Before that, Mr. Young was serving as Chief Operating Officer and Chief Financial Officer of GRAIL from October 2019 to December 2021. Prior to joining GRAIL, Mr. Young had served as Executive Vice President and Chief Financial Officer of Jazz Pharmaceuticals (“Jazz”), a role he held since February 2015. He previously had served as Senior Vice President and Chief Financial Officer of Jazz since March 2014 and as Senior Vice President, Corporate Development of Jazz since April 2013. Prior to joining Jazz, Mr. Young worked in investment banking for approximately 20 years. From February 2009 to April 2013, he served as a Managing Director in global healthcare of Barclays Capital Inc., an investment banking firm, where his role included acting as the co-head of life sciences at Barclays Capital. From 2007 to 2008, Mr. Young served as a Managing Director of Citigroup Global Markets Inc., an investment banking firm, and, from 2003 to 2007, as a Managing Director of Lehman Brothers Inc., an investment banking firm. In 2015, he joined the board of directors of PRA Health Sciences Inc., a contract research company, a position he held until July 2021. Mr. Young currently serves on the board of directors of the privately-held biopharmaceutical companies OrsoBio, Inc., Alpha-9 Oncology, Inc. and AllIn Bio. Mr. Young received a B.S. in economics and a M.B.A. from the Wharton School of the University of Pennsylvania. We believe that Mr. Young is qualified to serve on our Board due to his extensive management experience, significant experience in the life sciences industry and financial expertise.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Elaine V. Jones, Ph.D., has served as a member of our Board since May 2019. Dr. Jones retired in April 2019 from her role as Vice President, Worldwide Business Development and Senior Partner at Pfizer Ventures, the venture capital arm of Pfizer Inc. After joining Pfizer Ventures as Executive Director in 2008, Dr. Jones was responsible for making and managing venture investments for Pfizer as well as serving in board roles for several therapeutic companies. Prior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19" w:name="ny20064651x2_def14a_104-prop1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Dr. Jones held the position of General Partner at EuclidSR Partners, a venture firm specializing in private investment in private and public equity within the health sciences, healthcare, biopharmaceutical sectors, until 2008. Dr. Jones began her investment career at S.R. One, the corporate investment fund of GlaxoSmithKline, which she joined in 1999. Prior to this, Dr. Jones served as Director of Scientific Licensing at SmithKline Beecham and as a research scientist in the research and development division of SmithKline Beecham Pharmaceutical. During her venture career, Dr. Jones has served on the boards of more than 20 early to mid-stage biotechnology, therapeutic and pharmaceutical companies. She has served on the board of HBM Healthcare Investments AG, a publicly-traded Swiss Investment Company since June 2018. She has also served on the board of NextCure, Inc., a publicly-traded biopharmaceutical company, since December 2015. Dr. Jones also currently serves on the boards of privately held biopharmaceutical companies and has served on the board of the Novartis Venture Fund since 2020. Dr. Jones previously served as a member of the board of directors of Gritstone Oncology, a publicly-traded biopharmaceutical company, from September 2019 to April 2025. Dr. Jones holds a B.S. in biology from Juniata College and a Ph.D. in microbiology from the University of Pittsburgh. We believe that Dr. Jones is qualified to serve on our Board due to her broad knowledge of the life sciences industry and significant experience in pharmaceutical drug discovery and business development.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ELECTION OF EACH OF THE NAMED NOMINEES.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0" w:name="ny20064651x2_def14a_105-prop2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PROP2"/>
      <w:bookmarkEnd w:id="21"/>
      <w:r>
        <w:rPr>
          <w:rFonts w:ascii="Times New Roman;Times;serif" w:hAnsi="Times New Roman;Times;serif"/>
          <w:b/>
          <w:color w:val="000000"/>
          <w:sz w:val="20"/>
        </w:rPr>
        <w:t xml:space="preserve">PROPOSAL 2: RATIFICATION OF SELECTION OF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of our Board has selected Ernst &amp; Young LLP as our independent registered public accounting firm for the fiscal year ending December 31, 2026, and has further directed that management submit the selection of our independent registered public accounting firm for ratification by the stockholders at the annual meeting. Ernst &amp; Young LLP has audited our financial statements for each of our fiscal years since the fiscal year ended December 31, 2017. Representatives of Ernst &amp; Young LLP are expected to be present at the virtual annual meeting. During the webcast, they will have an opportunity to make a statement if they so desire and will be available to respond to appropriate questions submitted online.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our bylaws nor other governing documents or law require stockholder ratification of the selection of Ernst &amp; Young LLP as our independent registered public accounting firm. However, the Audit Committee is submitting the selection of Ernst &amp; Young LLP to the stockholders for ratification as a matter of good corporate practice. If the stockholders fail to ratify the selection, the Audit Committee will reconsider whether or not to retain Ernst &amp; Young LLP. Even if the selection is ratified, the Audit Committee, in its discretion, may direct the appointment of a different independent registered public accounting firm at any time during the year if the Audit Committee determines that such a change would be in our best interests and our stockholders’ best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either online or by proxy at the annual meeting and that are entitled to vote on this proposal will be required to ratify the selection of Ernst &amp; Young LLP for our fiscal year ending December 31, 2026, with votes cast including votes “Against” and excluding abstentions. Abstentions will not be counted as votes cast and will have no effect on the outcome of this proposal. This is a routine proposal and therefore no broker non-votes are expected to exist in connection with this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Independent registered public accounting firm fees and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the approximate fees billed by Ernst &amp; Young LLP during the years ended December 31, 2025 and 2024. The Audit Committee approved all of the fees described below. </w:t>
      </w:r>
    </w:p>
    <w:tbl>
      <w:tblPr>
        <w:tblW w:w="4355" w:type="dxa"/>
        <w:jc w:val="left"/>
        <w:tblInd w:w="0" w:type="dxa"/>
        <w:tblLayout w:type="fixed"/>
        <w:tblCellMar>
          <w:top w:w="0" w:type="dxa"/>
          <w:left w:w="0" w:type="dxa"/>
          <w:bottom w:w="0" w:type="dxa"/>
          <w:right w:w="0" w:type="dxa"/>
        </w:tblCellMar>
      </w:tblPr>
      <w:tblGrid>
        <w:gridCol w:w="1835"/>
        <w:gridCol w:w="170"/>
        <w:gridCol w:w="170"/>
        <w:gridCol w:w="875"/>
        <w:gridCol w:w="170"/>
        <w:gridCol w:w="170"/>
        <w:gridCol w:w="965"/>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1,852,050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1,806,100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75,718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73,583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1,927,768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1,879,683</w:t>
            </w:r>
          </w:p>
        </w:tc>
      </w:tr>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Audit fees of Ernst &amp; Young LLP for the years ended December 31, 2025 and 2024 were for professional services rendered for the audits of our financial statements, including accounting consultation, reviews of quarterly financial statements and professional services rendered in connection with our registration statements. </w:t>
            </w:r>
          </w:p>
        </w:tc>
      </w:tr>
    </w:tbl>
    <w:tbl>
      <w:tblPr>
        <w:tblW w:w="7090" w:type="dxa"/>
        <w:jc w:val="left"/>
        <w:tblInd w:w="0" w:type="dxa"/>
        <w:tblLayout w:type="fixed"/>
        <w:tblCellMar>
          <w:top w:w="0" w:type="dxa"/>
          <w:left w:w="0" w:type="dxa"/>
          <w:bottom w:w="0" w:type="dxa"/>
          <w:right w:w="0" w:type="dxa"/>
        </w:tblCellMar>
      </w:tblPr>
      <w:tblGrid>
        <w:gridCol w:w="260"/>
        <w:gridCol w:w="68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8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category consists of fees for services provided for tax consultation and compliance services.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category consists of fees for professional services rendered that are reasonably related to the performance of the audit or review of our financial statements.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policies and procedures for the pre-approval of audit and non-audit services provided by our independent registered public accounting firm, Ernst &amp; Young LLP. The policy generally requires pre-approval for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2" w:name="ny20064651x2_def14a_105-prop2_pg2"/>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will review both audit and non-audit services performed by Ernst &amp; Young LLP and the fees charged for such services on at least an annual basis. Among other things, the Audit Committee will review non-audit services proposed to be provided by Ernst &amp; Young LLP and pre-approve such services only if they are compatible with maintaining Ernst &amp; Young LLP’s status as an independent registered public accounting firm. All services provided by Ernst &amp; Young LLP in 2025 and 2024 were pre-approved by our Board or the Audit Committee after review of each of the services proposed for approval.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RATIFICATION OF THE SELECTION OF ERNST &amp; YOUNG LLP AS OUR INDEPENDENT REGISTERED PUBLIC ACCOUNTING FIRM FOR THE FISCAL YEAR ENDING DECEMBER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3" w:name="ny20064651x2_def14a_106-prop3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PROP3"/>
      <w:bookmarkEnd w:id="24"/>
      <w:r>
        <w:rPr>
          <w:rFonts w:ascii="Times New Roman;Times;serif" w:hAnsi="Times New Roman;Times;serif"/>
          <w:b/>
          <w:color w:val="000000"/>
          <w:sz w:val="20"/>
        </w:rPr>
        <w:t xml:space="preserve">PROPOSAL 3: APPROVAL OF AN AMENDMENT TO OUR AMENDED AND RESTATED CERTIFICATE OF INCORPORATION TO INCREASE THE NUMBER OF SHARES OF AUTHORIZED COMMON STOCK FROM 300,000,000 TO 600,000,000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an amendment to Article Four, Section A of our Amended and Restated Certificate of Incorporation to increase the total number of authorized shares of common stock, par value $0.00001 per share, from 300,000,000 shares to 600,000,000 shares (the “Charter Amendment”). The Charter Amendment will not change the number of authorized shares of preferred stock, which will remain at 10,000,000 shares. If approved, the total number of shares of all classes of capital stock that the Company is authorized to issue will increase from 310,000,000 shares to 610,000,000 shares.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Current Utilization of Authorized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March 31, 2026, information regarding our authorized, issued and outstanding, reserved, and available shares of common stock: </w:t>
      </w:r>
    </w:p>
    <w:tbl>
      <w:tblPr>
        <w:tblW w:w="10205" w:type="dxa"/>
        <w:jc w:val="left"/>
        <w:tblInd w:w="0" w:type="dxa"/>
        <w:tblLayout w:type="fixed"/>
        <w:tblCellMar>
          <w:top w:w="0" w:type="dxa"/>
          <w:left w:w="0" w:type="dxa"/>
          <w:bottom w:w="0" w:type="dxa"/>
          <w:right w:w="0" w:type="dxa"/>
        </w:tblCellMar>
      </w:tblPr>
      <w:tblGrid>
        <w:gridCol w:w="8695"/>
        <w:gridCol w:w="170"/>
        <w:gridCol w:w="170"/>
        <w:gridCol w:w="1170"/>
      </w:tblGrid>
      <w:tr>
        <w:trPr/>
        <w:tc>
          <w:tcPr>
            <w:tcW w:w="8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r>
      <w:tr>
        <w:trPr/>
        <w:tc>
          <w:tcPr>
            <w:tcW w:w="86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8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shares of common stock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300,000,000 </w:t>
            </w:r>
          </w:p>
        </w:tc>
      </w:tr>
      <w:tr>
        <w:trPr/>
        <w:tc>
          <w:tcPr>
            <w:tcW w:w="8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of common stock issued and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217,693,878 </w:t>
            </w:r>
          </w:p>
        </w:tc>
      </w:tr>
      <w:tr>
        <w:trPr/>
        <w:tc>
          <w:tcPr>
            <w:tcW w:w="869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issuable upon exercise of outstanding stock options, having a weighted average exercise price of $5.15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18,876,388 </w:t>
            </w:r>
          </w:p>
        </w:tc>
      </w:tr>
      <w:tr>
        <w:trPr/>
        <w:tc>
          <w:tcPr>
            <w:tcW w:w="869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issuable upon vesting and settlement of outstanding restricted stock units and performance stock units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3,413,313 </w:t>
            </w:r>
          </w:p>
        </w:tc>
      </w:tr>
      <w:tr>
        <w:trPr/>
        <w:tc>
          <w:tcPr>
            <w:tcW w:w="8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reserved for future issuance under our Amended and Restated 2015 Equity Incentive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1,711,325 </w:t>
            </w:r>
          </w:p>
        </w:tc>
      </w:tr>
      <w:tr>
        <w:trPr/>
        <w:tc>
          <w:tcPr>
            <w:tcW w:w="869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reserved for future issuance under our Amended and Restated Employee Stock Purchase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348,824 </w:t>
            </w:r>
          </w:p>
        </w:tc>
      </w:tr>
      <w:tr>
        <w:trPr/>
        <w:tc>
          <w:tcPr>
            <w:tcW w:w="8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issuable upon exercise of pre-funded warrants issued in the March 2026 offering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1,179,245 </w:t>
            </w:r>
          </w:p>
        </w:tc>
      </w:tr>
      <w:tr>
        <w:trPr/>
        <w:tc>
          <w:tcPr>
            <w:tcW w:w="8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issuable upon exercise of Tranche Warrants (exercise price of $3.77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5,769,231 </w:t>
            </w:r>
          </w:p>
        </w:tc>
      </w:tr>
      <w:tr>
        <w:trPr/>
        <w:tc>
          <w:tcPr>
            <w:tcW w:w="8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shares issued, outstanding, and reserved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248,992,204 </w:t>
            </w:r>
          </w:p>
        </w:tc>
      </w:tr>
      <w:tr>
        <w:trPr/>
        <w:tc>
          <w:tcPr>
            <w:tcW w:w="8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shares of common stock available for future issuance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82,306,122</w:t>
            </w:r>
          </w:p>
        </w:tc>
      </w:tr>
      <w:tr>
        <w:trPr/>
        <w:tc>
          <w:tcPr>
            <w:tcW w:w="8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82,306,122 shares of authorized common stock remained available for future issuance. The Charter Amendment will not change the number of authorized shares of preferred stock. As of March 31, 2026, 10,000,000 shares of preferred stock, par value $0.00001 per share, were authorized, and no shares of preferred stock were issued and outstanding.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Charter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2026, the Board determined that the Charter Amendment was advisable and in the best interests of the Company and its stockholders and unanimously approved the Charter Amendment, subject to stockholder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additional authorized shares of common stock are necessary to provide the Company with the flexibility to respond to future opportunities and needs. In particular, the Board considered the following factors in recommending the Charter Amendment: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Future capital-raising or financing transactions.</w:t>
            </w:r>
            <w:r>
              <w:rPr>
                <w:rFonts w:ascii="Times New Roman;Times;serif" w:hAnsi="Times New Roman;Times;serif"/>
                <w:color w:val="000000"/>
                <w:sz w:val="20"/>
              </w:rPr>
              <w:t xml:space="preserve"> The Company’s product candidates are in various stages of clinical and preclinical development, and the Company may need to raise additional capital in the future through public or private offerings of common stock or securities convertible into or exchangeable for common stock. Maintaining a sufficient reserve of authorized shares allows the Company to pursue such transactions on a timely basis and on favorable terms.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Strategic transactions.</w:t>
            </w:r>
            <w:r>
              <w:rPr>
                <w:rFonts w:ascii="Times New Roman;Times;serif" w:hAnsi="Times New Roman;Times;serif"/>
                <w:color w:val="000000"/>
                <w:sz w:val="20"/>
              </w:rPr>
              <w:t xml:space="preserve"> The additional authorized shares would provide the Company with the flexibility to pursue potential strategic transactions, including mergers, acquisitions, collaborations, licensing arrangements, and other business combinations, using shares of common stock as consideration.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Pipeline development.</w:t>
            </w:r>
            <w:r>
              <w:rPr>
                <w:rFonts w:ascii="Times New Roman;Times;serif" w:hAnsi="Times New Roman;Times;serif"/>
                <w:color w:val="000000"/>
                <w:sz w:val="20"/>
              </w:rPr>
              <w:t xml:space="preserve"> The Company’s long-term growth strategy depends on the continued development and advancement of its pipeline of product candidates, which may require significant capital investment.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5" w:name="ny20064651x2_def14a_106-prop3_pg2"/>
        <w:bookmarkEnd w:id="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Equity compensation.</w:t>
            </w:r>
            <w:r>
              <w:rPr>
                <w:rFonts w:ascii="Times New Roman;Times;serif" w:hAnsi="Times New Roman;Times;serif"/>
                <w:color w:val="000000"/>
                <w:sz w:val="20"/>
              </w:rPr>
              <w:t xml:space="preserve"> The Company operates in a highly competitive market for talent in the biotechnology industry. The ability to grant equity awards under the Company’s equity compensation plans is critical to attracting and retaining qualified employees, officers, and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General corporate purposes.</w:t>
            </w:r>
            <w:r>
              <w:rPr>
                <w:rFonts w:ascii="Times New Roman;Times;serif" w:hAnsi="Times New Roman;Times;serif"/>
                <w:color w:val="000000"/>
                <w:sz w:val="20"/>
              </w:rPr>
              <w:t xml:space="preserve"> The additional authorized shares could also be used for stock splits, stock dividends, and other general corporate purposes.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currently has no specific plans, arrangements, or agreements to issue any of the proposed additional authorized shares of common stock, other than shares that may be issued under the Company’s existing equity compensation plans in the ordinary course. As a general matter, the Board would be able to issue the additional authorized shares at its discretion from time to time without further action or approval of the Company’s stockholders, except as may be required by applicable law or the rules and listing requirements of the Nasdaq Stock Market or any other applicable securities exchange. For example, the Nasdaq Stock Market listing rules generally require stockholder approval for issuances of common stock in connection with certain acquisitions, private placements, or equity compensation arrangements that exceed specified thresholds.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Charter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Charter Amendment is approved, the additional 300,000,000 authorized shares of common stock will be identical in all respects to the shares of common stock currently authorized and outstanding. Holders of our common stock do not currently have, and will not have as a result of the Charter Amendment, preemptive, subscription, redemption, or conversion rights. The Charter Amendment will not change the number of shares of common stock or preferred stock currently outstanding, nor will it have any immediate dilutive effect or change the rights of current holders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to the extent that the additional authorized shares of common stock are issued in the future, they may decrease existing stockholders’ percentage equity ownership and, depending on the price at which they are issued, could be dilutive to the voting power of existing stockholders and may dilute earnings and book value on a per share basis. Because our stockholders do not have preemptive rights, current stockholders would not have a prior right to purchase any new issuance of capital stock in order to maintain their proportionate ownership of our common stock.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availability of additional shares of common stock for issuance could, under certain circumstances, discourage or make any efforts to obtain control of the Company more difficult. For example, the Board could, without further stockholder approval, issue shares of common stock in a public or private offering, including to persons allied with the Board, which could dilute the stock ownership or voting power of parties seeking to obtain control of the Company. The increase in authorized shares of common stock could also have the effect of rendering more difficult or discouraging a merger, tender offer, or proxy contest, the assumption of control by a holder of a large block of our stock, or the removal of incumbent management. The Board is not aware of any actual or contemplated attempt to acquire control of the Company, and the Charter Amendment is not being presented with the intent that it be used to prevent or discourage any acquisition attempt. However, nothing would prevent the Board from taking any actions that it deems consistent with its fiduciary duties.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will not have any appraisal or dissenters’ rights under the Delaware General Corporation Law in connection with the Charter Amendment.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Text of the Charter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Charter Amendment is approved by our stockholders, Article Four, Section A of our Amended and Restated Certificate of Incorporation would be amended and restated in its entirety to read as follows: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A. The Company is authorized to issue two classes of stock to be designated, respectively, Common Stock and Preferred Stock. The total number of shares that the Company is authorized to issue is 610,000,000 shares, 600,000,000 shares of which shall be Common Stock (the “Common Stock”), and 10,000,000 shares of which shall be Preferred Stock (the “Preferred Stock”). The Common Stock shall have a par value of $0.00001 per share and the Preferred Stock shall have a par value of $0.00001 per share.”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proposed Certificate of Amendment is attached to this Proxy Statement as Appendix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6" w:name="ny20064651x2_def14a_106-prop3_pg3"/>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Timing of the Charter Amendment; Right to Abandon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Charter Amendment is approved by our stockholders, the amendment will become effective immediately upon the filing of a Certificate of Amendment to our Amended and Restated Certificate of Incorporation with the Secretary of State of the State of Delaware, which we expect to file promptly after the annual meeting. Notwithstanding stockholder approval of the Charter Amendment, at any time prior to the effectiveness of the filing of the Certificate of Amendment with the Secretary of State of the State of Delaware, the Board may abandon the Charter Amendment without further action by the stockholders. If the Charter Amendment is not approved by our stockholders, the number of authorized shares of common stock will remain unchanged at 300,000,000.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of Non-Approval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do not approve the Charter Amendment, our authorized shares of common stock will remain at 300,000,000 shares, of which only 82,306,122 shares remained available for future issuance as of March 31, 2026. The Company’s long-term growth strategy may require the issuance of additional shares beyond those currently available. Without sufficient authorized shares, the Company could face the following risks: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Board may be unable to pursue capital-raising transactions, strategic acquisitions, or other corporate opportunities on a timely basis, potentially causing the Company to miss time-sensitive opportunities that could be in the best interests of the Company and its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face substantial challenges in hiring and retaining employees at all levels, including members of its executive leadership team, if sufficient shares are not available for equity compensation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be required to seek stockholder approval on a transaction-by-transaction basis before issuing shares, which could result in significant delays and additional costs.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either online or by proxy at the annual meeting and that are entitled to vote on the proposal will be required to approve the Charter Amendment, with votes cast including votes “Against” and excluding abstentions. This is a routine proposal and therefore we do not expect any broker non-votes.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THAT STOCKHOLDERS VOTE “FOR” THE RESOLUTION TO AMEND OUR AMENDED AND RESTATED CERTIFICATE OF INCORPORATION TO INCREASE THE NUMBER OF SHARES OF AUTHORIZED COMMON STOCK FROM 300,000,000 SHARES TO 600,000,000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27" w:name="ny20064651x2_def14a_107-prop4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PROP4"/>
      <w:bookmarkEnd w:id="28"/>
      <w:r>
        <w:rPr>
          <w:rFonts w:ascii="Times New Roman;Times;serif" w:hAnsi="Times New Roman;Times;serif"/>
          <w:b/>
          <w:color w:val="000000"/>
          <w:sz w:val="20"/>
        </w:rPr>
        <w:t xml:space="preserve">PROPOSAL 4: APPROVAL OF THE AMENDMENT OF OUR AMENDED AND RESTATED 2015 EQUITY INCENTIVE PLAN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an amendment to our Amended and Restated 2015 Equity Incentive Plan (the “Amended and Restated 2015 Plan”) to increase the number of shares authorized for issuance thereunder by 6,500,000 million shares, thereby increasing the available share reserve from 1,711,325 shares to 8,211,325 shares. Our Board, upon recommendation of our Compensation Committee, approved the amendment in March 2026, subject to stockholder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No. 4 is approved by our stockholders, the increase in the number of shares available for issuance under our Amended and Restated 2015 Plan will become effective as of the date of the Annual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proposed amendment is attached to this Proxy Statement as Appendix B.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You Should Vote to Approve the Increase in shares under our Amended and Restated 2015 Plan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Our Current Reserve of Shares may be Insufficient to Meet our Needs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2025, we had 1,711,325 shares available for issuance under our Amended and Restated 2015 Plan. Our Compensation Committee has determined that these reserves would be insufficient to meet our operational needs over the next 1-2 year period and we are therefore requesting 6,500,000 additional shares to be approved for issuance under our Amended and Restated 2015 Plan. The increase in our share reserve allows us more flexibility in our equity grant practices and ensures that we retain an important compensation tool for all service providers, not just newly hired employees.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Awards Are an Important Part of Our Compensation Philosophy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that the issuance of equity awards is a key element underlying our ability to attract, retain and motivate key personnel, non-employee directors, employees, consultants, and advisors because of the competition for highly trained and experienced individuals among biotechnology and pharmaceutical companies, especially in the greater San Francisco Bay Area. Therefore, the Board believes that the increase in shares under our Amended and Restated 2015 Plan is in the best interests of our business and our stockholders and recommends a vote in favor of this Proposal No. 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this Proposal No. 4 by our stockholders will allow us to grant equity awards under the Amended and Restated 2015 Plan at levels we determine to be appropriate, competitive and aligned with industry standards to attract, motivate and retain talent. The Amended and Restated 2015 Plan allows us to utilize equity awards as long-term incentives to secure and retain the services of our employees, non-employee directors, consultants and advisors, consistent with our compensation philosophy and common compensation practice for our industry in the greater San Francisco Bay Area. To date, equity awards have been a key aspect of our program to attract and retain key employees and non-employee directors. We believe the use of equity awards strongly aligns the interests of our employees with those of our stockholders by placing a considerable proportion of our employees’ total compensation “at risk” because it is contingent on the appreciation in value of our common stock. In addition, we believe equity awards encourage employee ownership of our common stock and promote retention through the reward of long-term Company performance.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We Carefully Manage the Use of Equity Awards and the Size of our Share Reserve Increase Request is Reasonable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philosophy reflects broad-based eligibility for equity awards, and we generally grant equity awards to all of our employees and non-employee directors and certain consultants and advisors. However, we recognize that equity awards dilute existing stockholders, and, therefore, we are mindful about responsibly managing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and non-employee directors. The tables below show certain historical overhang and burn rate percentages.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29" w:name="ny20064651x2_def14a_107-prop4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Determination of Number of Additional Shares to Request for the Amended and Restated 2015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its determination to approve the amendment to the Amended and Restated 2015 Plan, our Compensation Committee reviewed an analysis prepared by Aon, its compensation consultant, which included an analysis of our historic and estimated prospective share usage needs and the potential dilutive impact of the Amended and Restated 2015 Plan.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Specifically, our Compensation Committee considered: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Market Competitiveness</w:t>
            </w:r>
            <w:r>
              <w:rPr>
                <w:rFonts w:ascii="Times New Roman;Times;serif" w:hAnsi="Times New Roman;Times;serif"/>
                <w:color w:val="000000"/>
                <w:sz w:val="20"/>
              </w:rPr>
              <w:t xml:space="preserve">. The Amended and Restated 2015 Plan plays an important role in our effort to align the interests of participants and stockholders. Moreover, in our industry, equity awards are an important tool in recruiting, retaining and motivating highly skilled and critical employee talent, upon whose efforts our success is dependent.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Estimated Equity Usage and Share Pool Duration</w:t>
            </w:r>
            <w:r>
              <w:rPr>
                <w:rFonts w:ascii="Times New Roman;Times;serif" w:hAnsi="Times New Roman;Times;serif"/>
                <w:color w:val="000000"/>
                <w:sz w:val="20"/>
              </w:rPr>
              <w:t xml:space="preserve">. Our Compensation Committee considered our historic burn rate levels in determining how long the Amended and Restated 2015 Plan share authorization could potentially last. We expect the share authorization under the Amended and Restated 2015 Plan, as amended, to provide us with enough shares for awards for approximately a 1-2 year period, with actual timing dependent on a variety of factors, including the price of our shares and hiring activity during the next few years, and rates of forfeiture of outstanding awards, and noting that future circumstances may require us to change our current equity grant practices. We cannot predict our future equity grant practices, the future price of our shares or future hiring activity with any degree of certainty at this time, and the share reserve under the Amended and Restated 2015 Plan, as amended, could last for a shorter or longer period of time.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External Factors</w:t>
            </w:r>
            <w:r>
              <w:rPr>
                <w:rFonts w:ascii="Times New Roman;Times;serif" w:hAnsi="Times New Roman;Times;serif"/>
                <w:color w:val="000000"/>
                <w:sz w:val="20"/>
              </w:rPr>
              <w:t xml:space="preserve">. Further to Aon’s analysis, which is based on generally accepted evaluation methodologies, the Compensation Committee and our Board concluded that the number of additional shares being requested under the Amended and Restated 2015 Plan is generally within accepted standards as measured by an analysis of its dilutive impact relative to industry standards. </w:t>
            </w:r>
          </w:p>
        </w:tc>
      </w:tr>
    </w:tbl>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Historic Use of Equity Awards and Outstanding Awards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Overhang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certain additional information regarding our equity incentive program and reflects all outstanding equity awards as of March 31, 2026. The Amended and Restated 2015 Plan is the only equity incentive plan we currently have in place under which we can grant awards (other than the shares available for purchase under the ESPP). </w:t>
      </w:r>
    </w:p>
    <w:tbl>
      <w:tblPr>
        <w:tblW w:w="9995" w:type="dxa"/>
        <w:jc w:val="left"/>
        <w:tblInd w:w="0" w:type="dxa"/>
        <w:tblLayout w:type="fixed"/>
        <w:tblCellMar>
          <w:top w:w="0" w:type="dxa"/>
          <w:left w:w="0" w:type="dxa"/>
          <w:bottom w:w="0" w:type="dxa"/>
          <w:right w:w="0" w:type="dxa"/>
        </w:tblCellMar>
      </w:tblPr>
      <w:tblGrid>
        <w:gridCol w:w="8480"/>
        <w:gridCol w:w="170"/>
        <w:gridCol w:w="170"/>
        <w:gridCol w:w="1175"/>
      </w:tblGrid>
      <w:tr>
        <w:trPr/>
        <w:tc>
          <w:tcPr>
            <w:tcW w:w="84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r>
        <w:trPr/>
        <w:tc>
          <w:tcPr>
            <w:tcW w:w="8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outstanding 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18,876,388 </w:t>
            </w:r>
          </w:p>
        </w:tc>
      </w:tr>
      <w:tr>
        <w:trPr/>
        <w:tc>
          <w:tcPr>
            <w:tcW w:w="8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outstanding RSUs, and PSUs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3,413,313 </w:t>
            </w:r>
          </w:p>
        </w:tc>
      </w:tr>
      <w:tr>
        <w:trPr/>
        <w:tc>
          <w:tcPr>
            <w:tcW w:w="8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exercise price of outstanding 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5.15 </w:t>
            </w:r>
          </w:p>
        </w:tc>
      </w:tr>
      <w:tr>
        <w:trPr/>
        <w:tc>
          <w:tcPr>
            <w:tcW w:w="8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term in years of outstanding 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 </w:t>
            </w:r>
          </w:p>
        </w:tc>
      </w:tr>
      <w:tr>
        <w:trPr/>
        <w:tc>
          <w:tcPr>
            <w:tcW w:w="848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available for grant under the Amended and Restated 2015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1,711,325 </w:t>
            </w:r>
          </w:p>
        </w:tc>
      </w:tr>
      <w:tr>
        <w:trPr/>
        <w:tc>
          <w:tcPr>
            <w:tcW w:w="848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available for grant under other equity incentive plans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217,693,878 </w:t>
            </w:r>
          </w:p>
        </w:tc>
      </w:tr>
      <w:tr>
        <w:trPr/>
        <w:tc>
          <w:tcPr>
            <w:tcW w:w="8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Per-share closing price of common stock as reported on the Nasdaq Global Select Market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r>
      <w:tr>
        <w:trPr/>
        <w:tc>
          <w:tcPr>
            <w:tcW w:w="8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3670" w:type="dxa"/>
        <w:jc w:val="left"/>
        <w:tblInd w:w="0" w:type="dxa"/>
        <w:tblLayout w:type="fixed"/>
        <w:tblCellMar>
          <w:top w:w="0" w:type="dxa"/>
          <w:left w:w="0" w:type="dxa"/>
          <w:bottom w:w="0" w:type="dxa"/>
          <w:right w:w="0" w:type="dxa"/>
        </w:tblCellMar>
      </w:tblPr>
      <w:tblGrid>
        <w:gridCol w:w="260"/>
        <w:gridCol w:w="34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Assuming attainment of the performance goals. </w:t>
            </w:r>
          </w:p>
        </w:tc>
      </w:tr>
    </w:tbl>
    <w:tbl>
      <w:tblPr>
        <w:tblW w:w="6640" w:type="dxa"/>
        <w:jc w:val="left"/>
        <w:tblInd w:w="0" w:type="dxa"/>
        <w:tblLayout w:type="fixed"/>
        <w:tblCellMar>
          <w:top w:w="0" w:type="dxa"/>
          <w:left w:w="0" w:type="dxa"/>
          <w:bottom w:w="0" w:type="dxa"/>
          <w:right w:w="0" w:type="dxa"/>
        </w:tblCellMar>
      </w:tblPr>
      <w:tblGrid>
        <w:gridCol w:w="260"/>
        <w:gridCol w:w="63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the 348,824 shares available for issuance under our ESPP as of March 31, 2026.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Burn Rate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its determination to approve the increase in shares under our Amended and Restated 2015 Plan, the Board was primarily motivated by a desire to ensure the Company has an available pool of shares from which to grant long-term equity-based incentive awards, which the Board believes is a primary incentive and retention mechanism for our employees, consultants, and directors. The Board considered key factors in making its determination including our historical grant rates, the shares remaining available for issuance under the Amended and Restated 2015 Plan and the potential dilution associated with the amendment to the Amended and Restated 2015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0" w:name="ny20064651x2_def14a_107-prop4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review included a consideration of the following key metrics, factors, and philosophies: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fiscal year 2025, we granted equity awards covering 7,127,838 shares of our common stock. On average, over the fiscal 2023 - 2025 period, we granted 5,003,195 shares annually. The amounts included for performance stock unit (“PSU”) awards are based on the awards that vested within each year upon the achievement of certain “target” performance goals. </w:t>
            </w:r>
          </w:p>
        </w:tc>
      </w:tr>
    </w:tbl>
    <w:tbl>
      <w:tblPr>
        <w:tblW w:w="7570" w:type="dxa"/>
        <w:jc w:val="left"/>
        <w:tblInd w:w="0" w:type="dxa"/>
        <w:tblLayout w:type="fixed"/>
        <w:tblCellMar>
          <w:top w:w="0" w:type="dxa"/>
          <w:left w:w="0" w:type="dxa"/>
          <w:bottom w:w="0" w:type="dxa"/>
          <w:right w:w="0" w:type="dxa"/>
        </w:tblCellMar>
      </w:tblPr>
      <w:tblGrid>
        <w:gridCol w:w="140"/>
        <w:gridCol w:w="7430"/>
      </w:tblGrid>
      <w:tr>
        <w:trPr/>
        <w:tc>
          <w:tcPr>
            <w:tcW w:w="140" w:type="dxa"/>
            <w:tcBorders/>
            <w:vAlign w:val="center"/>
          </w:tcPr>
          <w:p>
            <w:pPr>
              <w:pStyle w:val="TableContents"/>
              <w:bidi w:val="0"/>
              <w:spacing w:before="0" w:after="0"/>
              <w:jc w:val="left"/>
              <w:rPr>
                <w:color w:val="000000"/>
              </w:rPr>
            </w:pPr>
            <w:r>
              <w:rPr>
                <w:color w:val="000000"/>
              </w:rPr>
              <w:t>•</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three-year average burn rate was approximately 4.8%, as shown in the following table.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detailed information regarding the activity under our equity incentive plans for fiscal years 2023-2025: </w:t>
      </w:r>
    </w:p>
    <w:tbl>
      <w:tblPr>
        <w:tblW w:w="10205" w:type="dxa"/>
        <w:jc w:val="left"/>
        <w:tblInd w:w="0" w:type="dxa"/>
        <w:tblLayout w:type="fixed"/>
        <w:tblCellMar>
          <w:top w:w="0" w:type="dxa"/>
          <w:left w:w="0" w:type="dxa"/>
          <w:bottom w:w="0" w:type="dxa"/>
          <w:right w:w="0" w:type="dxa"/>
        </w:tblCellMar>
      </w:tblPr>
      <w:tblGrid>
        <w:gridCol w:w="4750"/>
        <w:gridCol w:w="170"/>
        <w:gridCol w:w="170"/>
        <w:gridCol w:w="980"/>
        <w:gridCol w:w="170"/>
        <w:gridCol w:w="170"/>
        <w:gridCol w:w="980"/>
        <w:gridCol w:w="170"/>
        <w:gridCol w:w="170"/>
        <w:gridCol w:w="1085"/>
        <w:gridCol w:w="170"/>
        <w:gridCol w:w="170"/>
        <w:gridCol w:w="1050"/>
      </w:tblGrid>
      <w:tr>
        <w:trPr/>
        <w:tc>
          <w:tcPr>
            <w:tcW w:w="47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left"/>
              <w:rPr/>
            </w:pPr>
            <w:r>
              <w:rPr/>
              <w:t> </w:t>
            </w:r>
          </w:p>
        </w:tc>
      </w:tr>
      <w:tr>
        <w:trPr/>
        <w:tc>
          <w:tcPr>
            <w:tcW w:w="47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tc>
      </w:tr>
      <w:tr>
        <w:trPr/>
        <w:tc>
          <w:tcPr>
            <w:tcW w:w="475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stock options granted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1,938,573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4,653,805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2,993,793 </w:t>
            </w:r>
          </w:p>
        </w:tc>
      </w:tr>
      <w:tr>
        <w:trPr/>
        <w:tc>
          <w:tcPr>
            <w:tcW w:w="475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RSUs granted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724,342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1,259,833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2,060,683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1,348,286 </w:t>
            </w:r>
          </w:p>
        </w:tc>
      </w:tr>
      <w:tr>
        <w:trPr/>
        <w:tc>
          <w:tcPr>
            <w:tcW w:w="475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performance-based stock unit granted</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413,350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661,117 </w:t>
            </w:r>
          </w:p>
        </w:tc>
      </w:tr>
      <w:tr>
        <w:trPr/>
        <w:tc>
          <w:tcPr>
            <w:tcW w:w="4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Performance-based stock units earned and 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203,333 </w:t>
            </w:r>
          </w:p>
        </w:tc>
      </w:tr>
      <w:tr>
        <w:trPr/>
        <w:tc>
          <w:tcPr>
            <w:tcW w:w="475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RSUs and PSUs granted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1,484,342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2,069,833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2,474,033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2,009,403 </w:t>
            </w:r>
          </w:p>
        </w:tc>
      </w:tr>
      <w:tr>
        <w:trPr/>
        <w:tc>
          <w:tcPr>
            <w:tcW w:w="4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2,882,915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3,763,833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6,989,488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4,545,412 </w:t>
            </w:r>
          </w:p>
        </w:tc>
      </w:tr>
      <w:tr>
        <w:trPr/>
        <w:tc>
          <w:tcPr>
            <w:tcW w:w="475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Weighted-average number of shares of common stock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66,655,971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77,516,177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137,935,873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94,036,007 </w:t>
            </w:r>
          </w:p>
        </w:tc>
      </w:tr>
      <w:tr>
        <w:trPr/>
        <w:tc>
          <w:tcPr>
            <w:tcW w:w="4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Burn Rate</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r>
      <w:tr>
        <w:trPr/>
        <w:tc>
          <w:tcPr>
            <w:tcW w:w="47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left"/>
              <w:rPr/>
            </w:pPr>
            <w:r>
              <w:rPr/>
              <w:t> </w:t>
            </w:r>
          </w:p>
        </w:tc>
      </w:tr>
    </w:tbl>
    <w:tbl>
      <w:tblPr>
        <w:tblW w:w="4660" w:type="dxa"/>
        <w:jc w:val="left"/>
        <w:tblInd w:w="0" w:type="dxa"/>
        <w:tblLayout w:type="fixed"/>
        <w:tblCellMar>
          <w:top w:w="0" w:type="dxa"/>
          <w:left w:w="0" w:type="dxa"/>
          <w:bottom w:w="0" w:type="dxa"/>
          <w:right w:w="0" w:type="dxa"/>
        </w:tblCellMar>
      </w:tblPr>
      <w:tblGrid>
        <w:gridCol w:w="260"/>
        <w:gridCol w:w="44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4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Assuming attainment of the performance goals at target levels.</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Burn rate is calculated as the sum of options and RSUs granted and performance stock units that are earned and vested divided by the weighted-average number of shares of common stock outstanding.</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Requested Additional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adjustment for certain changes in our capitalization, if this Proposal No. 4 is approved by our stockholders, then under the Amended and Restated 2015 Plan, as amended, we will have a total of approximately 8,211,325 shares available for grant after our Annual Meeting (based on 6,500,000 million newly registered shares and the 1,711,325 shares that were available as of March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our request for 6,500,000 million new shares under the Amended and Restated 2015 Plan is necessary for us to remain competitive in the greater San Francisco Bay Area marketplace and support our equity grant practices to align the interests of our employees, consultants and non-employee directors with our stockholders. We anticipate the available pool of shares in the Amended and Restated 2015 Plan, as amended, will be sufficient for our equity awards for approximately the next 1-2 year period after considering our present average share usage rate, and that such pool of shares is necessary to provide a predictable amount of available equity awards for attracting, retaining, and motivating employees, non-employee directors, consultants and advisors.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Amended and Restated 2015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material features of the Amended and Restated 2015 Plan, as amended, are described below. The following description of the Amended and Restated 2015 Plan, as amended, is a summary only and is qualified in its entirety by reference to the complete text of the Amended and Restated 2015 Plan, as amended. Shareholders are urged to read the actual text of the Amended and Restated 2015 Plan, as amended, in its entirety, which is appended as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to the copy of this Proxy Statement filed with the SEC, which may be accessed from the SEC’s website at www.sec.gov.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and Restated 2015 Plan is designed to align the interests of our employees, directors and consultants with those of the Company’s stockholders by increasing their proprietary interests in the Company’s growth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1" w:name="ny20064651x2_def14a_107-prop4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success, to advance the interests of the Company by attracting and retaining employees, directors, officers, and other service providers, and to motivate such persons to act in the long-term best interests of the Company and its stockholders.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Types of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Amended and Restated 2015 Plan provide for the grant of incentive stock options, non-statutory stock options, share awards in the form of bonus shares, restricted shares, or restricted share unit awards, share appreciation rights, and performance units that may be settled in cash, stock, or a combination thereof.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Shares Available for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adjustment for certain changes in our capitalization, if this Proposal 4 is approved, the aggregate number of shares of our common stock that may be issued pursuant to awards granted under the Amended and Restated 2015 Plan (the “Share Reserve”), will be increased by 6,500,000 million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shares of common stock underlying an award (whether granted under the Amended and Restated 2015 Plan or our 2019 Employment Inducement Incentive Plan),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shall again be available under the Amended and Restated 2015 Plan, other than grants of incentive stock options under the Amended and Restated 2015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subject to an award under the Amended and Restated 2015 Plan or the 2019 Plan may not be made available for issuance under the Amended and Restated 2015 Plan if such shares are: (i) shares that were subject to a share-settled SAR and were not issued upon the net settlement or net exercise of such SAR, (ii) shares used to pay the exercise price of an option, (iii) shares delivered or withheld by us to pay withholding taxes related to an award under the Amended and Restated 2015 Plan or the 2019 Plan, or (iv) shares repurchased on the open market with the proceeds of an option exercise.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Share Reserve shall not be reduced by (i) the number of shares subject to substitute awards (defined as an award granted under this Amended and Restated 2015 Plan upon the assumption of, or in substitution for, outstanding equity awards previously granted by a company or other entity in connection with a corporate transaction), or (ii) available shares under a stockholder approved plan of the company or other entity which was a party to a corporate transaction with the Company (as appropriately adjusted to reflect such corporate transaction) which become subject to awards granted under the Amended and Restated 2015 Plan (subject to applicable stock exchange requirements).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Eligibility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our officers, employees, non-employee directors, consultants, agents, and independent contractors are eligible to participate in the Amended and Restated 2015 Plan and may receive all types of awards other than incentive stock options. Incentive stock options may be granted under the Amended and Restated 2015 Plan only to our employees (including officers) and employees of our subsidiaries. As of March 31, 2026, 5 officers, 64 employees, 7 non-employee directors, 0 consultants, 0 agents and 85 independent contractors were eligible for awards under the Amended and Restated 2015 Plan.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Administration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and Restated 2015 Plan is administered by a committee (the “Committee”) designated by the Board or a subcommittee thereof, consisting of two or more members of the Board, each of whom is intended to be (i) “Non-Employee Director” within the meaning of Rule 16b-3 under the Exchange Act, and (ii) “independent” within the meaning of the rules of the Nasdaq Stock Exchange of any other stock exchange on which shares are then traded. The Committee may delegate some or all of its power and authority hereunder to the Board or, subject to applicable law, to the Chief Executive Officer and President or such other executive officer as the Committee deems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determine the recipients, the form, amount and timing of each award to such recipients, the number of shares, exercise price or base price associated with the award, the time and conditions of exercise or settlement of the award and all other terms and conditions of the award, including, without limitation, the form of agreement evidencing the award. The Committee may, in its sole discretion and for any reason at any time, take action such that (i) any or all outstanding options and SARs shall become exercisable in part or in full, (ii) all or a portion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2" w:name="ny20064651x2_def14a_107-prop4_pg5"/>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restriction period applicable to any outstanding restricted shares or restricted share units shall lapse, (iii) all or a portion of the performance period applicable to any outstanding award shall lapse and (iv) the performance measures (if any) applicable to any outstanding award shall be deemed to be satisfied at the target or any other level.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Repricing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Amended and Restated 2015 Plan, the Committee may </w:t>
      </w:r>
      <w:r>
        <w:rPr>
          <w:rFonts w:ascii="Times New Roman;Times;serif" w:hAnsi="Times New Roman;Times;serif"/>
          <w:b/>
          <w:color w:val="000000"/>
          <w:sz w:val="20"/>
        </w:rPr>
        <w:t>not</w:t>
      </w:r>
      <w:r>
        <w:rPr>
          <w:rFonts w:ascii="Times New Roman;Times;serif" w:hAnsi="Times New Roman;Times;serif"/>
          <w:color w:val="000000"/>
          <w:sz w:val="20"/>
        </w:rPr>
        <w:t xml:space="preserve"> amend or replace any previously granted stock option or share appreciation right in a transaction that constitutes a repricing within the meaning of the rules of the Nasdaq Stock Exchange or any other stock exchange on which the shares are then traded, without the prior approval of the Company’s stockholders.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Dividends and Dividend Equivalents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and Restated 2015 Plan provides that dividends or dividend equivalents may be paid or credited with respect to any shares of our common stock subject to an award (other than a stock option or share appreciation right), as determined by the Board and contained in the applicable award agreement; provided, however, that (i) no dividends or dividend equivalents may be paid with respect to any such shares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options may be granted under the Amended and Restated 2015 Plan pursuant to stock option agreements. The Amended and Restated 2015 Plan permits the grant of stock options that are intended to qualify as incentive stock options, or ISOs, and non-statutory stock options, or NSOs.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exercise price of NSOs may not be less than 100% of the fair market value of the common stock subject to the stock option on the date of grant. The exercise price of ISOs may not be less than 100% of the fair market value of the common stock subject to the stock option on the date of grant and, in some cases (see “</w:t>
      </w:r>
      <w:r>
        <w:rPr>
          <w:rFonts w:ascii="Times New Roman;Times;serif" w:hAnsi="Times New Roman;Times;serif"/>
          <w:i/>
          <w:color w:val="000000"/>
          <w:sz w:val="20"/>
        </w:rPr>
        <w:t>Limitations on Incentive Stock Options</w:t>
      </w:r>
      <w:r>
        <w:rPr>
          <w:rFonts w:ascii="Times New Roman;Times;serif" w:hAnsi="Times New Roman;Times;serif"/>
          <w:color w:val="000000"/>
          <w:sz w:val="20"/>
        </w:rPr>
        <w:t xml:space="preserve">” below), may not be less than 110% of such fair market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Stock options granted under the Amended and Restated 2015 Plan may not be exercised later than ten years after the grant date and, in some cases (see “</w:t>
      </w:r>
      <w:r>
        <w:rPr>
          <w:rFonts w:ascii="Times New Roman;Times;serif" w:hAnsi="Times New Roman;Times;serif"/>
          <w:i/>
          <w:color w:val="000000"/>
          <w:sz w:val="20"/>
        </w:rPr>
        <w:t>Limitations on Incentive Stock Options</w:t>
      </w:r>
      <w:r>
        <w:rPr>
          <w:rFonts w:ascii="Times New Roman;Times;serif" w:hAnsi="Times New Roman;Times;serif"/>
          <w:color w:val="000000"/>
          <w:sz w:val="20"/>
        </w:rPr>
        <w:t xml:space="preserve">” below), may not exceed five years. All terms relating to the exercise, cancellation, or other disposition of an option or share appreciation right (i) upon a termination of employment with or service to the Company of the holder of such option or share appreciation right, whether by reason of disability, retirement, death, or any other reason, or (ii) during a paid or unpaid leave of absence, shall be determined by the Committee and set forth in the applicable award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Acceptable forms of consideration for the purchase of our common stock pursuant to the exercise of a stock option under the Amended and Restated 2015 Plan may include (i) cash, (ii) delivery (either actual delivery or by attestation procedures established by the Company) of shares having a fair market value, determined as of the date of exercise, equal to the aggregate purchase price payable by reason of such exercise, (iii) authorizing the Company to withhold whole shares which would otherwise be delivered having an aggregate fair market value, determined as of the date of exercise, equal to the amount necessary to satisfy such obligation, (iv) in cash by a broker-dealer acceptable to the company to whom the optionee has submitted an irrevocable notice of exercise, or (v) a combination of (i) through (iii).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options granted under the Amended and Restated 2015 Plan may become exercisable in cumulative increments, or “vest,” as determined by the Committee at the rate specified in the stock option agreement. Shares covered by different stock options granted under the Amended and Restated 2015 Plan may be subject to different vesting schedules as the Committee may determine. The Committee also has flexibility to provide for accelerated vesting of stock options in certain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Generally, an optionee may not transfer a stock option other than by will or the laws of descent and distribution or pursuant to beneficiary designation procedures approved by the Company or, to the extent expressly permitted in the option agreement, to a family member or a trust or entity established by the holder for estate planning purposes or a charitable organization designated by the holder, in each case, without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3" w:name="ny20064651x2_def14a_107-prop4_pg6"/>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Limitations on Incentive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fair market value, determined at the time of grant, of shares of our common stock with respect to ISOs that are exercisable for the first time by an optionee during any calendar year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or that of any affiliate unless the following conditions are satisfied: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exercise price of the ISO must be at least 110% of the fair market value of the common stock subject to the ISO on the date of grant; and </w:t>
            </w:r>
          </w:p>
        </w:tc>
      </w:tr>
    </w:tbl>
    <w:tbl>
      <w:tblPr>
        <w:tblW w:w="5800" w:type="dxa"/>
        <w:jc w:val="left"/>
        <w:tblInd w:w="0" w:type="dxa"/>
        <w:tblLayout w:type="fixed"/>
        <w:tblCellMar>
          <w:top w:w="0" w:type="dxa"/>
          <w:left w:w="0" w:type="dxa"/>
          <w:bottom w:w="0" w:type="dxa"/>
          <w:right w:w="0" w:type="dxa"/>
        </w:tblCellMar>
      </w:tblPr>
      <w:tblGrid>
        <w:gridCol w:w="140"/>
        <w:gridCol w:w="5660"/>
      </w:tblGrid>
      <w:tr>
        <w:trPr/>
        <w:tc>
          <w:tcPr>
            <w:tcW w:w="14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 of the ISO must not exceed five years from the date of grant.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adjustment for certain changes in our capitalization, the aggregate maximum number of shares of our common stock that may be issued pursuant to the exercise of ISOs granted under the Amended and Restated 2015 Plan is 25,000,000 shares.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Share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share awards may be granted under the Amended and Restated 2015 Plan pursuant to restricted share award agreements. Shares of our common stock acquired under a restricted share award may be subject to forfeiture to or repurchase by us in accordance with a vesting schedule, which may include performance measures, to be determined by the Committee. Rights to acquire shares of our common stock under a restricted share award may be transferred only upon such terms and conditions as are set forth in the restricted share award agreement. Any dividends paid on restricted shares will be subject to the same vesting conditions as apply to the shares subject to the restricted share award.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Share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share unit awards may be granted under the Amended and Restated 2015 Plan pursuant to restricted share unit award agreements. A restricted share unit award may be settled by the delivery of shares of our common stock, in cash, in a combination thereof. Restricted share unit awards may be subject to vesting in accordance with a vesting schedule, subject to the holder’s continuous employment or service with the Company during a specified period, or the satisfaction of specified performance measures during a performance period. The award agreement shall specify whether the holder is entitled to receive, on a current or deferred basis, dividend equivalents, provided that any additional shares credited by reason of such dividend equivalents will be subject to all of the same terms and conditions of the underlying restricted share unit award.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 Appreciation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 appreciation rights may be granted under the Amended and Restated 2015 Plan pursuant to share appreciation right agreements. Each share appreciation right is denominated in common stock share equivalents. The strike price of each share appreciation right will be determined by the Committee, but will in no event be less than 100% of the fair market value of the common stock subject to the share appreciation right on the date of grant (unless in the award is a “Substitute Award”). The Committee may also impose restrictions or conditions upon the vesting of share appreciation rights that it deems appropriate.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and Restated 2015 Plan allows us to grant performance unit awards. Performance unit awards may be granted, vest or be exercised based upon the attainment during a specified period of time of specified performance goals. The length of any performance period, the performance goals to be achieved during the performance period, and the measure of whether and to what degree such performance goals have been attained will be determined by the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granting a performance award, the Committee will set a period of time, or a performance period, over which the performance measures should be attained. The criteria or objectives that comprise the performance measures may be expressed on an absolute or relative basis and may include comparisons based on current internal targets, the past performance of the Company (including the performance of one or more subsidiaries, divisions, or operating units) or the past or current performance of other companies (or a combination of such past and current performance). In addition to the ratios specifically enumerated above, performance goals may include comparisons relating to capital (including,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4" w:name="ny20064651x2_def14a_107-prop4_pg7"/>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but not limited to, the cost of capital), shareholders’ equity, shares outstanding, assets or net assets, sales, or any combination thereof. The applicable performance measures may be applied on a pre-or post-tax basis. The performance goals may consist of any objective or subjective corporate-wide or subsidiary, division, operating unit or individual measures, whether or not listed in this Proposal No. 4. Performance goals shall be subject to such other special rules and conditions as the Committee may establish at any time.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Bonus Share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has the discretion to grant Bonus Share Awards, which shall not be subject to any vesting conditions or performance measures. Upon the grant of a Bonus Share Award, subject to the Company’s right to require payment of any taxes in accordance with Section 5.5 of the Amended and Restated 2015 Plan, a certificate or certificates evidencing ownership of the requisite number of shares shall be delivered to the holder of such award.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Clawback/Recovery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awards granted under the Amended and Restated 2015 Plan will be subject to recoupment in accordance with the Company’s current clawback policy, as well as any clawback policy we adopt pursuant to applicable law and listing requirements. In addition, our Board may impose such other clawback, recovery or recoupment provisions in any stock award agreement as it determines necessary or appropriate.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Changes to Capital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equity restructuring that causes the per share value of the shares to change after the effectiveness of an initial public offering, such as a stock dividend, stock split, spinoff, rights offering or recapitalization through an extraordinary dividend, the number and class of securities available under the Amended and Restated 2015 Plan, the terms of each outstanding option and share appreciation right, the terms of each outstanding restricted share award and restricted share unit award, and the terms of each performance unit award shall be appropriately adjusted by the Committee, such adjustments to be made in the case of outstanding options and share appreciation rights without an increase in the aggregate purchase price or base price and in accordance with Section 409A of the Code.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(as defined in the Amended and Restated 2015 Plan and described below), our Board will have the discretion to take one or more of the following actions with respect to outstanding stock awards: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accelerate the vesting (and, if applicable, the exercisability) of outstanding options and share appreciation rights and provide for its termination prior to the effective time of the transaction;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arrange for the lapse, in whole or in part, of any reacquisition or repurchase rights held by us with respect to restricted share awards and restricted share unit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arrange for the lapse of the performance period applicable to any outstanding award, or deem that the performance measures satisfied at the target or any other level;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 that shares of the corporation or other entity resulting from such change in control, or a parent thereof, be substituted for some or all of the shares subject to an outstanding award, with an appropriate or equitable adjustment to such award, as determined by the Board;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 outstanding awards, in whole or in part, to be surrendered to the Company by the holder and to be immediately cancelled by the Company, and to provide for the holder to receive (A) a cash payment in an amount equal to (i) in the case of an option or an share appreciation right, the number of shares then subject to the portion of such option or share appreciation right surrendered multiplied by the excess, if any, of the fair market value of a share as of the date of the change in control, over the purchase price or base price per share subject to such option or share appreciation right, (ii) in the case of a share award, the number of shares then subject to the portion of such award surrendered multiplied by the fair market value of a share as of the date of the change in control, and (iii) in the case of a performance unit award, the value of the performance units then subject to the portion of such award surrendered; (B) shares of the corporation or other entity resulting from such change in control, or a parent thereof, having a fair market value not less than the amount determined under clause (A) above; or (C) a combination of the payment of cash pursuant to clause (A) above and the issuance of shares pursuant to clause (B) above arrange for the lapse, in whole or in part, of any reacquisition or repurchase rights held by us with respect to restricted share awards and restricted share unit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5" w:name="ny20064651x2_def14a_107-prop4_pg8"/>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Amended and Restated 2015 Plan, a “change in control” generally means any one of the following events: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acquisition by any individual, entity, or group of beneficial ownership of 50% or more of either the then-outstanding shares of the Company or the combined voting power of the then-outstanding voting securities of the Company entitled to vote generally in the election of directors, but excluding, for this purpose any such acquisition by the Company or any of its subsidiaries, or any employee benefit plan (or related trust) of the Company or its subsidiaries, or any corporation with respect to which, following such acquisition, more than 50% of, respectively, the then outstanding shares of such corporation and the combined voting power of the then outstanding voting securities of such corporation entitled to vote generally in the election of all or substantially all directors is then beneficially owned, directly or indirectly, by the individuals and entities who were the beneficial owners, respectively, of Shares and voting securities of the Company immediately prior to such acquisition in substantially the same proportion as their ownership, immediately prior to such acquisition, of the then outstanding Shares of the Company or the combined voting power of the then outstanding voting securities of the Company entitled to vote generally in the election of directors, as the case may be;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a reorganization, merger, or consolidation of the Company, in each case, with respect to which all or substantially all of the individuals and entities who were the respective beneficial owners of shares and voting securities of the Company immediately prior to such reorganization, merger or consolidation do not, following such reorganization, merger or consolidation, beneficially own, directly or indirectly, more than 50% of, respectively, the then outstanding Shares and the combined voting power of the then outstanding voting securities entitled to vote generally in the election of directors, as the case may be, of the corporation resulting from such reorganization, merger or consolidation;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any twenty-four (24) month period, individuals who, as of the beginning of such period, constitute the Board (the “Incumbent Directors”)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or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88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complete liquidation or dissolution of the Company or of the sale or other disposition of all or substantially all of the assets of the Company.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 event shall a change in control include the initial public offering or any bona fide primary or secondary public offering following the occurrence of the initial public offering.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Plan Amendments and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will have the authority to amend or terminate the Amended and Restated 2015 Plan at any time. However, except as otherwise provided in the Amended and Restated 2015 Plan, no amendment or termination of the Amended and Restated 2015 Plan may materially impair any rights under awards already granted to a participant unless agreed to by the affected participant. We will obtain shareholder approval of any amendment to the Amended and Restated 2015 Plan as required by applicable law and listing requirements. No ISOs may be granted under the Amended and Restated 2015 Plan after the tenth anniversary of the earlier of (i) the date the Amended and Restated 2015 Plan was adopted by our Board of Directors or (ii) the date that the Amended and Restated 2015 Plan is approved by our shareholders.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below is a summary only and does not purport to be complete. The information is based upon current federal income tax rules and therefore is subject to change when those rules change. Because the tax consequences to any recipient may depend on his or her particular situation, each recipient should consult the recipient’s tax adviser regarding the federal, state, local, and other tax consequences of the grant or exercise of an award or the disposition of stock acquired as a result of an award. The Amended and Restated 2015 Plan is not qualified under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6" w:name="ny20064651x2_def14a_107-prop4_pg9"/>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of Section 401(a) of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Nonstatutory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Generally, there is no taxation upon the grant of an NSO if the stock option is granted with an exercise price equal to the fair market value of the underlying stock on the grant date. On exercise, an optionee will recognize ordinary income equal to the excess, if any, of the fair market value on the date of exercise of the stock over the exercise price. If the optionee is employed by us or one of our affiliates, that income will be subject to withholding taxes. The optionee’s tax basis in those shares will be equal to their fair market value on the date of exercise of the stock option, and the optionee’s capital gain holding period for those shares will begin on that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requirement of reasonableness, the provisions of Section 162(m) of the Code, and the satisfaction of a tax reporting obligation, we will generally be entitled to a tax deduction equal to the taxable ordinary income realized by the optionee.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Incentive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and Restated 2015 Plan provides for the grant of stock options that qualify as “incentive stock options,” as defined in Section 422 of the Code. Under the Code, an optionee generally is not subject to ordinary income tax upon the grant or exercise of an ISO. If the optionee holds a share received 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holder’s tax basis in that share will be long-term capital gain or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however, an optionee disposes of a share acquired on exercise of an ISO before the end of the required holding period, which is referred to as a disqualifying disposition, the optionee generally will recognize ordinary income in the year of the disqualifying disposition equal to the excess, if any, of the fair market value of the share on the date the ISO was exercised over the exercise price. However, if the sales proceeds are less than the fair market value of the share on the date of exercise of the stock option, the amount of ordinary income recognized by the optionee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alternative minimum tax, the amount by which the fair market value of a share of stock acquired on exercise of an ISO exceeds the exercise price of that stock option generally will be an adjustment included in the optionee’s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on exercise of an ISO is increased by the amount of the adjustment taken into account with respect to that share for alternative minimum tax purposes in the year the stock option is exercised.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not allowed an income tax deduction with respect to the grant or exercise of an ISO or the disposition of a share acquired on exercise of an ISO after the required holding period. If there is a disqualifying disposition of a share, however, we are allowed a deduction in an amount equal to the ordinary income includible in income by the optionee, subject to Section 162(m) of the Code and provided that amount constitutes an ordinary and necessary business expense for us and is reasonable in amount, and either the employee includes that amount in income or we timely satisfy our reporting requirements with respect to that amount.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Share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Generally, the recipient of a restricted share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37" w:name="ny20064651x2_def14a_107-prop4_pg10"/>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recipient’s basis for the determination of gain or loss upon the subsequent disposition of shares acquired from stock awards will be the amount paid for such shares plus any ordinary income recognized either when the stock is received or when the stock becomes vested.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requirement of reasonableness, the provisions of Section 162(m) of the Code, and the satisfaction of a tax reporting obligation, we will generally be entitled to a tax deduction equal to the taxable ordinary income realized by the recipient of the stock award.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Share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Generally, the recipient of a stock unit structured to conform to the requirements of Section 409A of the Code or an exception to Section 409A of the Code will recognize ordinary income at the time the stock is delivered equal to the excess, if any, of the fair market value of the shares of our common stock received over any amount paid by the recipient in exchange for the shares of our common stock. To conform to the requirements of Section 409A of the Code, the shares of our common stock subject to a stock unit award may generally only be delivered upon one of the following events: a fixed calendar date (or dates), separation from service, death, disability or a change in control. If delivery occurs on another date, unless the stock units otherwise comply with or qualify for an exception to the requirements of Section 409A of the Code, in addition to the tax treatment described above, the recipient will owe an additional 20% federal tax and interest on any taxes owed.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recipient’s basis for the determination of gain or loss upon the subsequent disposition of shares acquired from stock units will be the amount paid for such shares plus any ordinary income recognized when the stock is delivered. Subject to the requirement of reasonableness, the provisions of Section 162(m) of the Code, and the satisfaction of a tax reporting obligation, we will generally be entitled to a tax deduction equal to the taxable ordinary income realized by the recipient of the stock award.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 Appreciation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grant under the Amended and Restated 2015 Plan share appreciation rights separate from any other award or in tandem with other awards under the Amended and Restated 2015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 the share appreciation rights are granted with a strike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a tax reporting obligation, we will generally be entitled to a tax deduction equal to the taxable ordinary income realized by the recipient of the share appreciation right.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Section 162(m)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Compensation of persons who are “covered employees” of the Company is subject to the tax deduction limits of Section 162(m) of the Code. The exemption from Section 162(m)’s deduction limit for performance-based compensation has been repealed, effective for taxable years beginning after December 31, 2017, such that compensation paid to our covered employees in excess of $1 million will not be deductible unless it qualifies for transition relief applicable to certain arrangements in place as of November 2, 2017 and which is not modified in any material respect on or after such date.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described in this paragraph with respect to our non-employee directors, the Company cannot currently determine the benefits or number of shares subject to awards that may be granted in the future to executive officers, directors, and employees under the Amended and Restated 2015 Plan. We do not presently have any current plans, proposals or arrangements, written or otherwise, to issue any of the newly available authorized shares under the Amended and Restated 2015 Plan. Our non-employee directors are, however, entitled to receive automatic annual awards of 38,000 stock options each under our director compensation program, as described below under “Director Compensation.” As a result, we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38" w:name="ny20064651x2_def14a_107-prop4_pg1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anticipate an aggregate of 266,000 stock options will be granted on the date of the Annual Meeting to our non-employee directors pursuant to the fiscal year 2026 non-employee director compensation program will be granted under the Amended and Restated 2015 Plan, assuming approval of this Proposal No. 4.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Awards Granted Under the Amended and Restated 2015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of the individuals and various groups indicated, the total number of shares of our common stock subject to equity awards that have been granted under the Amended and Restated 2015 Plan since its inception through March 31, 2026. </w:t>
      </w:r>
    </w:p>
    <w:tbl>
      <w:tblPr>
        <w:tblW w:w="10205" w:type="dxa"/>
        <w:jc w:val="left"/>
        <w:tblInd w:w="0" w:type="dxa"/>
        <w:tblLayout w:type="fixed"/>
        <w:tblCellMar>
          <w:top w:w="0" w:type="dxa"/>
          <w:left w:w="0" w:type="dxa"/>
          <w:bottom w:w="0" w:type="dxa"/>
          <w:right w:w="0" w:type="dxa"/>
        </w:tblCellMar>
      </w:tblPr>
      <w:tblGrid>
        <w:gridCol w:w="5323"/>
        <w:gridCol w:w="170"/>
        <w:gridCol w:w="170"/>
        <w:gridCol w:w="1305"/>
        <w:gridCol w:w="170"/>
        <w:gridCol w:w="170"/>
        <w:gridCol w:w="1255"/>
        <w:gridCol w:w="170"/>
        <w:gridCol w:w="170"/>
        <w:gridCol w:w="1302"/>
      </w:tblGrid>
      <w:tr>
        <w:trPr/>
        <w:tc>
          <w:tcPr>
            <w:tcW w:w="53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0"/>
              <w:jc w:val="left"/>
              <w:rPr/>
            </w:pPr>
            <w:r>
              <w:rPr/>
              <w:t> </w:t>
            </w:r>
          </w:p>
        </w:tc>
      </w:tr>
      <w:tr>
        <w:trPr/>
        <w:tc>
          <w:tcPr>
            <w:tcW w:w="53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PSU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53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Sean A. McCarthy, Chief Executive Officer and Chairman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5"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7,066,754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5"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855,000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 </w:t>
            </w:r>
          </w:p>
        </w:tc>
      </w:tr>
      <w:tr>
        <w:trPr/>
        <w:tc>
          <w:tcPr>
            <w:tcW w:w="532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Christopher (Chris) W. Ogden, Senior Vice President and 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1,144,325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281,288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202,900 </w:t>
            </w:r>
          </w:p>
        </w:tc>
      </w:tr>
      <w:tr>
        <w:trPr/>
        <w:tc>
          <w:tcPr>
            <w:tcW w:w="53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Marcia Belvin, Senior Vice President and Chief Scientific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5"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1,365,540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5"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301,250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213,150 </w:t>
            </w:r>
          </w:p>
        </w:tc>
      </w:tr>
      <w:tr>
        <w:trPr/>
        <w:tc>
          <w:tcPr>
            <w:tcW w:w="532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Yu-Waye Chu, Senior Vice President and 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863,000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214,750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118,750 </w:t>
            </w:r>
          </w:p>
        </w:tc>
      </w:tr>
      <w:tr>
        <w:trPr/>
        <w:tc>
          <w:tcPr>
            <w:tcW w:w="53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Rachael Lester, Senior Vice President and Chief Business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5"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700,000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5"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 </w:t>
            </w:r>
          </w:p>
        </w:tc>
      </w:tr>
      <w:tr>
        <w:trPr/>
        <w:tc>
          <w:tcPr>
            <w:tcW w:w="53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11,139,619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1,672,288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1,584,800 </w:t>
            </w:r>
          </w:p>
        </w:tc>
      </w:tr>
      <w:tr>
        <w:trPr/>
        <w:tc>
          <w:tcPr>
            <w:tcW w:w="53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5"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1,348,000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5" w:type="dxa"/>
            <w:tcBorders/>
            <w:shd w:fill="CCEEFF" w:val="clear"/>
            <w:vAlign w:val="center"/>
          </w:tcPr>
          <w:p>
            <w:pPr>
              <w:pStyle w:val="TableContents"/>
              <w:bidi w:val="0"/>
              <w:spacing w:before="0" w:after="283"/>
              <w:ind w:left="2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219" w:right="0" w:hanging="0"/>
              <w:jc w:val="left"/>
              <w:rPr>
                <w:color w:val="000000"/>
              </w:rPr>
            </w:pPr>
            <w:r>
              <w:rPr>
                <w:color w:val="000000"/>
              </w:rPr>
              <w:t xml:space="preserve">— </w:t>
            </w:r>
          </w:p>
        </w:tc>
      </w:tr>
      <w:tr>
        <w:trPr/>
        <w:tc>
          <w:tcPr>
            <w:tcW w:w="53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nominee for election as a director</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1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283"/>
              <w:ind w:left="2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219" w:right="0" w:hanging="0"/>
              <w:jc w:val="left"/>
              <w:rPr>
                <w:color w:val="000000"/>
              </w:rPr>
            </w:pPr>
            <w:r>
              <w:rPr>
                <w:color w:val="000000"/>
              </w:rPr>
              <w:t xml:space="preserve">— </w:t>
            </w:r>
          </w:p>
        </w:tc>
      </w:tr>
      <w:tr>
        <w:trPr/>
        <w:tc>
          <w:tcPr>
            <w:tcW w:w="53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Each associate of any executive officers, current directors or director nominees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5"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5" w:type="dxa"/>
            <w:tcBorders/>
            <w:shd w:fill="CCEEFF" w:val="clear"/>
            <w:vAlign w:val="center"/>
          </w:tcPr>
          <w:p>
            <w:pPr>
              <w:pStyle w:val="TableContents"/>
              <w:bidi w:val="0"/>
              <w:spacing w:before="0" w:after="283"/>
              <w:ind w:left="2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219" w:right="0" w:hanging="0"/>
              <w:jc w:val="left"/>
              <w:rPr>
                <w:color w:val="000000"/>
              </w:rPr>
            </w:pPr>
            <w:r>
              <w:rPr>
                <w:color w:val="000000"/>
              </w:rPr>
              <w:t xml:space="preserve">— </w:t>
            </w:r>
          </w:p>
        </w:tc>
      </w:tr>
      <w:tr>
        <w:trPr/>
        <w:tc>
          <w:tcPr>
            <w:tcW w:w="532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of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1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283"/>
              <w:ind w:left="2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219" w:right="0" w:hanging="0"/>
              <w:jc w:val="left"/>
              <w:rPr>
                <w:color w:val="000000"/>
              </w:rPr>
            </w:pPr>
            <w:r>
              <w:rPr>
                <w:color w:val="000000"/>
              </w:rPr>
              <w:t xml:space="preserve">— </w:t>
            </w:r>
          </w:p>
        </w:tc>
      </w:tr>
      <w:tr>
        <w:trPr/>
        <w:tc>
          <w:tcPr>
            <w:tcW w:w="53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employees, including all current officers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5"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19,260,723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5"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5,214,992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1,133,550</w:t>
            </w:r>
          </w:p>
        </w:tc>
      </w:tr>
      <w:tr>
        <w:trPr/>
        <w:tc>
          <w:tcPr>
            <w:tcW w:w="53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underlying performance-based awards granted under the Amended and Restated 2015 Plan are included at the target level of achievement.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Our non-employee directors receive automatic annual awards of stock option under our director compensation program, as described below under “Director Compensation.” The table above does not reflect the awards to be granted on the date of the Annual Meeting to our non-employee directors pursuant to the fiscal year 2026 Director Compensation Program.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and Board of Directors Recommendation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Approval of Proposal No. 4</w:t>
      </w:r>
      <w:r>
        <w:rPr>
          <w:rFonts w:ascii="Times New Roman;Times;serif" w:hAnsi="Times New Roman;Times;serif"/>
          <w:b w:val="false"/>
          <w:color w:val="000000"/>
          <w:sz w:val="20"/>
        </w:rPr>
        <w:t xml:space="preserve">: The affirmative vote of a majority of the votes cast either online or by proxy at the annual meeting and that are entitled to vote on the proposal will be required to approve the amendment to our Amended and Restated Plan, with votes cast including votes “Against” and excluding abstentions and broker non-votes. Brokers are not authorized to vote on this proposal without instruction from the beneficial owners. Abstentions and broker non-votes will have no effect on this proposal. If this Proposal 4 is approved by our shareholders, the amendment to increase shares under our Amended and Restated 2015 Plan will become effective as of the date of the Annual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THAT STOCKHOLDERS VOTE “FOR” THE RESOLUTION TO APPROVE THE AMENDMENT TO OUR AMENDED AND RESTATED 2015 EQUITY INCENTIVE PLAN.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39" w:name="ny20064651x2_def14a_108-prop5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PROP5"/>
      <w:bookmarkEnd w:id="40"/>
      <w:r>
        <w:rPr>
          <w:rFonts w:ascii="Times New Roman;Times;serif" w:hAnsi="Times New Roman;Times;serif"/>
          <w:b/>
          <w:color w:val="000000"/>
          <w:sz w:val="20"/>
        </w:rPr>
        <w:t xml:space="preserve">PROPOSAL 5: APPROVAL OF THE AMENDMENT TO OUR AMENDED AND RESTATED EMPLOYEE STOCK PURCHASE PLAN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an amendment to our Amended and Restated Employee Stock Purchase Plan (the “ESPP”) to increase the number of shares authorized for issuance thereunder by 1,000,000 shares, thereby increasing the aggregate number of shares reserved for issuance under the ESPP from 2,370,046 shares to 3,370,546 shares. Our Board, upon recommendation of our Compensation Committee, approved the amendment in March 2026, subject to stockholder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March 31, 2026, 348,824 shares of our common stock remained available for issuance under the ESPP. The proposed increase in the number of shares available for issuance under the ESPP by 1,000,000 shares represents approximately 0.46% of our outstanding common stock as of March 31, 2026. The ESPP serves as an important component of our employee compensation program, as it helps to attract and retain employees by providing eligible employees with the opportunity to become Company stockholders at favorable prices and participate in the Company’s success, aligning the interests of participating employees with those of stockholders. The Board believes the continuation of a robust ESPP program positively impacts our ability to attract and retain talent and promote stock ownership by employees.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No. 5 is approved by our stockholders, the increase in the number of shares available for issuance under our ESPP will become effective as of the date of the Annual Meeting. If this Proposal No. 5 is not approved by our stockholders, the amendment will not become effective and the ESPP will continue in effect without the increase in the number of shares available for issuance.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proposed amendment is attached to this Proxy Statement as Appendix C.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Historical Equity Metrics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number of shares of common stock to request for approval to reserve for issuance under the amended ESPP, a number of factors were considered, including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the ESPP had approximately 348,824 shares available for future issuance. If this amendment to the ESPP is not approved, we estimate that we would have enough shares remaining under the ESPP to continue making awards for approximately 2 years, assuming we continue to operate the ESPP consistent with our historical usage and expected practices, and noting that future circumstances may require us to make changes to our expected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increasing the share reserve under the ESPP, we expect to be able to continue to provide our employees with the opportunity to purchase shares of our common stock under the ESPP for approximately 6 to 7 years, assuming employee participation in the ESPP is consistent with historical levels, and noting that future circumstances may require us to change our expected practices.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factors described above, and the fact that the ability to continue to offer an employee stock purchase plan is vital in our view to our ability to continue to attract and retain employees in the extremely competitive labor markets in which we compete, our Board has determined that the size of the share reserve under the ESPP is reasonable and appropriate at this time.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ESPP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ESPP was initially adopted by the Board on September 17, 2015, and approved by our stockholders on October 2, 2015. The Board approved an amendment and restatement of the ESPP on June 11, 2025 and most recently approved the amendment to the ESPP on March 18,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describes the material terms of the ESPP, as amended. This summary of the ESPP is not a complete description of all provisions of the ESPP and is qualified in its entirety by reference to the ESPP, as amended, which is attached hereto as Appendix C. Stockholders are encouraged to read the ESPP in its entirety.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and Share 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ESPP is intended to provide eligible employees of the Company and its participating subsidiaries with an opportunity to acquire shares of our common stock at a price below their market value and to pay for the purchases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1" w:name="ny20064651x2_def14a_108-prop5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through payroll deductions, thereby enabling the Company to attract, retain and motivate valued employees. The ESPP is intended to qualify for favorable tax treatment as an “employee stock purchase plan” under Section 423 of the Internal Revenue Code.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No. 5 is approved by our stockholders, subject to adjustment upon changes in capitalization of the Company, the maximum aggregate number of shares reserved for issuance under the ESPP will be increased by 1,000,000 shares to an aggregate of be 3,370,546 shares.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Administration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serves as the primary administrator of the ESPP (the “ESPP Administrator”).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ESPP Administrator will have the discretionary authority to determine the time and frequency of granting options under the ESPP, as well as the terms and conditions and the number of shares subject to each option, and to do everything necessary and appropriate to administer the ESPP, including, without limitation, interpreting the provisions of the ESPP (but any such interpretation shall not be inconsistent with provisions of Section 423 of the Code). All determinations and decisions by the ESPP Administrator regarding the ESPP will be final and binding on all participants. The ESPP shall be administered so as to ensure that all participants in the ESPP have the same rights and privileges. The ESPP Administrator may adopt rules or procedures relating to the operation and administration of the ESPP to accommodate the specific requirements of local laws and procedures.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Eligibility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full and part-time employees of the Company and its participating subsidiaries are eligible to participate in the ESPP. However, no employee is eligible to participate in the ESPP if, immediately after electing to participate, the employee would own stock of the Company (including stock such employee may purchase under outstanding options) representing 5% or more of the total combined voting power or value of all classes of stock of the Company. In addition, no employee is permitted to continue to participate under the ESPP, in any calendar year if their purchase rights would exceed $25,000 of the fair market value of such stock (determined at the time the right is granted) for that calendar year. The ESPP Administrator may, for offering periods that have not yet commenced, establish additional eligibility requirements, provided that they are consistent with Section 423 of the Internal Revenue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ESPP, each calendar year is divided into two six-month offering periods” commencing January 1 and July 1 of each year (or such other period designated by the ESPP Administrator, provided that in no event shall an offering period exceed twenty-seven (27) months). At the end of each such period, the Company will apply the amount contributed by the participant during that period to purchase shares of common stock for him or her. The purchase price will be equal to 85% of the lower of (a) the market price of common stock on the first business day of the applicable offering period or (b) the market price of common stock on the last business day of the offering period. No participant may purchase more than 6,000 shares in any one purchase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approximately 69 employees will be eligible to participate in the ESPP and the closing price for our common stock was $4.7.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Payroll Deductions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Eligible employees become participants in the ESPP by completing an election form authorizing payroll deductions and filing it with our stock administrator before the first day of the applicable offering period. The payroll deductions made for each participant may not be less than 1% and not more than 15% of the participant’s cash compensation (which shall mean solely the participant’s base pay), and may not exceed such percentage of the participant’s cash compensation as the participant designates. Payroll deductions commence with the first paycheck issued during the offering period and are deducted from subsequent paychecks throughout the offering period unless terminated as provided in the ESPP.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offering period, payroll deduction authorizations may not be increased or decreased, although a participant may change his or her payroll deduction for any subsequent offering period by properly completing and submitting an election change form in accordance with the procedures prescribed by the ESPP Administrator and a participant’s payroll contributions may be decreased to zero percent (0%) at any time during an offering period, to the extent necessary to comply with Section 3(b) of the ESPP (as described above) and Section 423(b)(8)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2" w:name="ny20064651x2_def14a_108-prop5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Option Grant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first day of each offering period, each participant automatically will be granted an option to acquire on the next following exercise date a number of full shares of common stock of the Company, determined by dividing the participant’s payroll deductions accumulated prior to such exercise date divided by the applicable purchase price. However, a participant cannot accrue rights to purchase more than $25,000 (or any other maximum that may be prescribed by the Code) in fair market value of stock for each calendar year in which an option is outstanding. All participants granted options under the ESPP will have the same rights and privileges consistent with the requirements set forth in Section 423 of the Code.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Purchase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of shares of our common stock acquired pursuant to enrolment in the ESPP will be 85% of the lower closing stock price on either the first or last business day (defined as the day on which the NASDAQ is open for trading) of the offering period.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Exercise of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applicable exercise date, each participant will be deemed to have exercised his or her option and the accumulated payroll deductions in the participant’s account will be applied to purchase the greatest number of whole shares of our common stock (rounded down to the nearest whole share) that can be purchased with such account balance at the applicable purchase price, which will be placed, in book-entry form, into a record keeping account in the name of the participant. However, no more than 6,000 shares of common stock may be purchased by a participant on any exercise date, or such lesser number as the ESPP Administrator may prescribe in accordance with Section 423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payroll deductions accumulated in a participant’s account that are not sufficient to purchase a full share will be retained in the participant’s account for the subsequent option period (subject to earlier withdrawal in accordance with the terms of the ESPP). Any other amounts of payroll deductions in a participant’s account that are not used for the purchase of shares of stock, whether because of the participant’s withdrawal, because the amount would enable the participant to purchase more than the 6,000 share maximum or for any other reason, will be returned to the participant, without interest, as soon as administratively practicable after such withdrawal, exercise date or other event, as applicable.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Withdrawal From the Employee Stock Purchase Plan; Termination of Employment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Participants may withdraw from the ESPP by properly completing and submitting to the Company a withdrawal form in accordance with the procedures prescribed by the ESPP Administrator, which must be submitted before the last date of the applicable offering period. As soon as practicable after withdrawal, payroll deductions cease and all amounts credited to the participant’s account are refunded in cash, without interest. A participant who has withdrawn from the ESPP cannot be a participant in future offering periods unless he or she re-enrolls pursuant to the ESPP’s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date that a participant’s employment terminates or the participant ceases to provide services to the Company or any participating subsidiary (which does not include any period following that date which the participant may be eligible for or in receipt of other payments from the Company including in lieu of notice or termination or severance pay or as wrongful dismissal damages) for any reason prior to an exercise date, the payroll deductions in the participant’s purchase account will be returned to him or her (or his or her beneficiary, in the case of the participant’s death) and his or her option will be automatically terminated. A participant may designate in writing a beneficiary who is to receive shares and cash in the event of the participant’s death subsequent to the purchase of shares, but prior to delivery. A participant may also designate a beneficiary to receive cash in his or her account in the event of such participant’s death prior to the last day of the offering period. Any other attempted assignment, except by will, and the laws of descent and distribution, may be treated as a withdrawal.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Adjustments Upon Change in Capitalization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change in our outstanding common stock by reason of a stock dividend, split-up, recapitalization, merger, consolidation, reorganization, or other capital change, the aggregate number and type of shares of stock available under the ESPP, the number and type of shares of stock granted under any outstanding options, the maximum number and type of shares of stock purchasable under any outstanding option, and the purchase price per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3" w:name="ny20064651x2_def14a_108-prop5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 of stock under any outstanding option will be appropriately adjusted, provided that the ESPP Administrator is satisfied that such adjustment will not constitute a modification of the rights granted under the ESPP or otherwise disqualify the ESPP as an employee stock purchase plan under the provisions of Section 423 of the Code.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Mergers/Corporate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proposed sale of all or substantially all of the assets of the Company, or the merger of the Company with or into another corporation, the successor corporation will be deemed to assume the ESPP, or provide an equivalent substitute, unless the Board determines, in the exercise of its sole discretion, that in lieu of such assumption or substitution to either terminate the ESPP and return to each participant the payroll deductions credited to such participant or to provide for the applicable offering period in progress to end on a date prior to the consummation of such sale or merger.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ESPP Amendment and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or ESPP Administrator may at any time and for any reason amend, modify, suspend, discontinue, or terminate the ESPP to any extent and in any manner it may deem advisable, subject to applicable laws, and provided, that no participant’s existing rights are adversely affected thereby. Stockholder approval shall be obtained, to the extent necessary to comply with Section 423 of the Code (or any other applicable law, regulation or stock exchange rule).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that may be purchased under the ESPP will depend on each employee’s voluntary election to participate, the rate of contributions by such employees and the purchase price of the shares issuable under the ESPP at future dates. Accordingly, it is not possible to determine the value of the future benefits which may be received by participants under the ESPP.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Existing ESPP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SEC rules, the following table sets forth, with respect to the groups named below, the number of shares of our common stock that were purchased under ESPP from its inception through March 31, 2026. </w:t>
      </w:r>
    </w:p>
    <w:tbl>
      <w:tblPr>
        <w:tblW w:w="8990" w:type="dxa"/>
        <w:jc w:val="left"/>
        <w:tblInd w:w="0" w:type="dxa"/>
        <w:tblLayout w:type="fixed"/>
        <w:tblCellMar>
          <w:top w:w="0" w:type="dxa"/>
          <w:left w:w="0" w:type="dxa"/>
          <w:bottom w:w="0" w:type="dxa"/>
          <w:right w:w="0" w:type="dxa"/>
        </w:tblCellMar>
      </w:tblPr>
      <w:tblGrid>
        <w:gridCol w:w="7025"/>
        <w:gridCol w:w="170"/>
        <w:gridCol w:w="170"/>
        <w:gridCol w:w="1625"/>
      </w:tblGrid>
      <w:tr>
        <w:trPr/>
        <w:tc>
          <w:tcPr>
            <w:tcW w:w="7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r>
        <w:trPr/>
        <w:tc>
          <w:tcPr>
            <w:tcW w:w="70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Purchased under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ESPP (#)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Chief Executive Officer and Chairman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10,282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(Chris) W. Ogden, Senior Vice President and 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12,000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Marcia Belvin, Senior Vice President and Chief Scientific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13,313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Yu-Waye Chu, Senior Vice President and 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8" w:right="0" w:hanging="0"/>
              <w:jc w:val="left"/>
              <w:rPr>
                <w:color w:val="000000"/>
              </w:rPr>
            </w:pPr>
            <w:r>
              <w:rPr>
                <w:color w:val="000000"/>
              </w:rPr>
              <w:t xml:space="preserve">—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Rachael Lester, Senior Vice President and Chief Business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08" w:right="0" w:hanging="0"/>
              <w:jc w:val="left"/>
              <w:rPr>
                <w:color w:val="000000"/>
              </w:rPr>
            </w:pPr>
            <w:r>
              <w:rPr>
                <w:color w:val="000000"/>
              </w:rPr>
              <w:t xml:space="preserve">—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35,595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08" w:right="0" w:hanging="0"/>
              <w:jc w:val="left"/>
              <w:rPr>
                <w:color w:val="000000"/>
              </w:rPr>
            </w:pPr>
            <w:r>
              <w:rPr>
                <w:color w:val="000000"/>
              </w:rPr>
              <w:t xml:space="preserve">—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nominee for election as a director</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8" w:right="0" w:hanging="0"/>
              <w:jc w:val="left"/>
              <w:rPr>
                <w:color w:val="000000"/>
              </w:rPr>
            </w:pPr>
            <w:r>
              <w:rPr>
                <w:color w:val="000000"/>
              </w:rPr>
              <w:t xml:space="preserve">—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executive officers, current directors or director nominees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08" w:right="0" w:hanging="0"/>
              <w:jc w:val="left"/>
              <w:rPr>
                <w:color w:val="000000"/>
              </w:rPr>
            </w:pPr>
            <w:r>
              <w:rPr>
                <w:color w:val="000000"/>
              </w:rPr>
              <w:t xml:space="preserve">—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of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8" w:right="0" w:hanging="0"/>
              <w:jc w:val="left"/>
              <w:rPr>
                <w:color w:val="000000"/>
              </w:rPr>
            </w:pPr>
            <w:r>
              <w:rPr>
                <w:color w:val="000000"/>
              </w:rPr>
              <w:t xml:space="preserve">—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employees, including all current officers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20"/>
              </w:rPr>
            </w:pPr>
            <w:r>
              <w:rPr>
                <w:rFonts w:ascii="Times New Roman;Times;serif" w:hAnsi="Times New Roman;Times;serif"/>
                <w:color w:val="000000"/>
                <w:sz w:val="20"/>
              </w:rPr>
              <w:t>1,986,127</w:t>
            </w:r>
          </w:p>
        </w:tc>
      </w:tr>
      <w:tr>
        <w:trPr/>
        <w:tc>
          <w:tcPr>
            <w:tcW w:w="70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No associate of any director, executive officer or director nominee has purchased shares under the ESPP, and no person has purchased 5% or more of all shares purchased under the ESPP.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brief description of the federal income tax treatment that will generally apply to the grant and exercise of rights under the ESPP, based on federal income tax laws currently in effect. The exact federal income tax treatment of options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4" w:name="ny20064651x2_def14a_108-prop5_pg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ESPP is intended to qualify as an “employee stock purchase plan” under Section 423 of the Internal Revenue Code for participants who are subject to U.S. income taxation. If the applicable holding period requirements are met, a participant does not recognize any taxable income at the time shares are purchased under the ESPP. Instead, taxable income is recognized by the participant when the shares purchased under the ESPP are sold or otherwise disposed of. Upon a sale or other disposition of the shares, the participant generally will be subject to tax in an amount that depends on how long the participant held the shares. If the shares are sold or otherwise disposed of at least 2 years from the first day of the applicable offering period and 1 year from the date of purchase, the participant will recognize ordinary income equal to the lesser of the excess of the fair market value of the shares at the time of such sale or disposition over the purchase price of the shares, or 15% of the fair market value of the shares on the first day of the offering period. Any additional gain will be treated as long-term capital gain. If the shares are sold or otherwise disposed of before the expiration of either of these holding periods, the participant will recognize ordinary income equal to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generally is not entitled to a deduction for amounts taxed as ordinary income or capital gain to a participant, except to the extent of ordinary income recognized by the participant upon a sale or disposition of shares prior to the expiration of the holding periods described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and Board of Directors Recommendation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Approval of Proposal No. 5</w:t>
      </w:r>
      <w:r>
        <w:rPr>
          <w:rFonts w:ascii="Times New Roman;Times;serif" w:hAnsi="Times New Roman;Times;serif"/>
          <w:b w:val="false"/>
          <w:color w:val="000000"/>
          <w:sz w:val="20"/>
        </w:rPr>
        <w:t xml:space="preserve">: The affirmative vote of a majority of the votes cast either online or by proxy at the annual meeting and that are entitled to vote on the proposal will be required to approve the amendment to our Amended and Restated Employee Stock Purchase Plan, with votes cast including votes “Against” and excluding abstentions and broker non-votes. Thus, the number of votes “FOR” must exceed the number of votes “AGAINST” for this proposal to pass. Brokers are not authorized to vote on this proposal without instruction from the beneficial owners. Abstentions and broker non-votes will have no effect on this proposal. If this Proposal 5 is approved by our shareholders, the amendment increasing the shares reserved for issuance under our Amended and Restated Employee Stock Purchase Plan will become effective as of the date of the Annual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THAT STOCKHOLDERS VOTE “FOR” THE RESOLUTION TO AMEND OUR AMENDED AND RESTATED EMPLOYEE STOCK PURCHASE PLAN.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5" w:name="ny20064651x2_def14a_109-prop6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PROP6"/>
      <w:bookmarkEnd w:id="46"/>
      <w:r>
        <w:rPr>
          <w:rFonts w:ascii="Times New Roman;Times;serif" w:hAnsi="Times New Roman;Times;serif"/>
          <w:b/>
          <w:color w:val="000000"/>
          <w:sz w:val="20"/>
        </w:rPr>
        <w:t xml:space="preserve">PROPOSAL 6: NON-BINDING, ADVISORY VOTE TO APPROVE THE COMPENSATION OF OUR NAMED EXECUTIVE OFFICERS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Dodd-Frank Wall Street Reform and Consumer Protection Act of 2010 (the “Dodd-Frank Act”) enables our stockholders to vote to approve, on an advisory, non-binding basis, the compensation of our named executive officers as disclosed in this Proxy Statement in accordance with the SEC’s rules, commonly known as a “Say-on-Pay” vote. Accordingly, we are seeking a non-binding, advisory vote to approve the compensation of our named executive officers as described in the “Executive Compensation” section of this Proxy Statement and the compensation tables and accompanying narrative disclosures that follow. At our 2025 annual meeting of stockholders, approximately 80% of the votes cast approved, on an advisory basis, the compensation of our named executive officers.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and the Board believe that the information provided in the “Executive Compensation” section of this Proxy Statement, compensation tables and accompanying narrative disclosures demonstrates that our executive compensation program is designed appropriately, emphasizes pay for performance and aligns management’s interests with our stockholders’ interests to support long-term value creation.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our Board recommends that stockholders vote “FOR” the following resolution: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RESOLVED, that stockholders of CytomX Therapeutics, Inc. (the “Company”) approve, on an advisory basis, the compensation of the Company’s named executive officers, as disclosed in the “Executive Compensation,” section, compensation tables and the accompanying narrative disclosures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the vote on this resolution is advisory and not binding on us, the Compensation Committee, or our Board, the Compensation Committee and our Board values thoughtful input from stockholders and will consider the outcome of the vote on this resolution when considering future executive compensation decisions. Our Board has adopted a policy of providing for annual advisory votes from stockholders on executive compensation. Unless our Board modifies its policy on the frequency of future Say-on-Pay advisory votes, the next Say-on-Pay advisory vote will be held at the 2027 annual meeting of stockholders.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THAT STOCKHOLDERS VOTE, ON A NON-BINDING ADVISORY BASIS, “FOR” THE RESOLUTION TO APPROVE THE COMPENSATION OF OUR NAMED EXECUTIVE OFFICERS.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47" w:name="ny20064651x2_def14a_110-prop7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PROP7"/>
      <w:bookmarkEnd w:id="48"/>
      <w:r>
        <w:rPr>
          <w:rFonts w:ascii="Times New Roman;Times;serif" w:hAnsi="Times New Roman;Times;serif"/>
          <w:b/>
          <w:color w:val="000000"/>
          <w:sz w:val="20"/>
        </w:rPr>
        <w:t xml:space="preserve">PROPOSAL 7: ADVISORY VOTE ON THE FREQUENCY OF FUTURE ADVISORY (“SAY-ON-PAY”) VOTES BY STOCKHOLDERS TO APPROVE THE COMPENSATION OF OUR NAMED EXECUTIVE OFFICERS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Dodd-Frank Act enables our stockholders to indicate how frequently they believe we should seek a non-binding advisory vote from stockholders to approve the compensation of our named executive officers. We are providing our stockholders with the choice of selecting a frequency of 1 year, 2 years or 3 years or abstaining from this advisory vote. The Board is also seeking an advisory “Say-on-Pay” vote from stockholders at the 2026 annual meeting of stockholders and expects to seek such vote every year. We believe that this frequency is appropriate because it will enable our stockholders to vote, on an advisory basis, on the most recent executive compensation information that is presented in each of our proxy statements, leading to a more meaningful and coherent communication between the Company and our stockholders on the compensation of our named executive officers. The Board’s current plan is further based on the premise that this recommendation could be modified if it becomes apparent that an annual frequency vote is not meaningful, is burdensome or is more frequent than indicated by best corporate governance practices.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these factors, the Board recommends that future advisory votes by stockholders on named executive officer compensation occur every year, until the next advisory vote on the frequency of future “Say-on-Pay” 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not being asked to approve or disapprove the Board’s recommendation, but rather to indicate their choice among the following frequency options: one year, two years or three years, or to abstain from voting on this item. If none of the frequency alternatives - one year, two years or three years - receives a majority of the votes cast, we will consider the highest number of votes cast by stockholders to be the frequency that has been selected by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we are asking stockholders to approve the following non-binding advisory resolution at the annual meeting: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RESOLVED, that the compensation of named executive officers of CytomX Therapeutics, Inc. (the “Company”) be submitted to an advisory vote by the Company’s stockholders every (a) 1 year, (b) 2 years, or (c) 3 years, with such alternative that receives the highest number of votes cast representing the vote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vote on this resolution is advisory, and therefore not binding on the Company, the Board or its Compensation Committee. The Board may decide that it is in the best interests of the Company and its stockholders to hold future advisory “Say-on-Pay” votes more or less frequently than the frequency indicated by stockholders in voting on this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THAT STOCKHOLDERS APPROVE, IN A NON-BINDING ADVISORY VOTE, THAT FUTURE ADVISORY VOTES BY STOCKHOLDERS TO APPROVE THE COMPENSATION OF OUR NAMED EXECUTIVE OFFICERS BE REQUESTED EVERY “</w:t>
      </w:r>
      <w:r>
        <w:rPr>
          <w:rFonts w:ascii="Times New Roman;Times;serif" w:hAnsi="Times New Roman;Times;serif"/>
          <w:b/>
          <w:i/>
          <w:color w:val="000000"/>
          <w:sz w:val="20"/>
        </w:rPr>
        <w:t>1 YEAR”.</w:t>
      </w:r>
      <w:r>
        <w:rPr>
          <w:rFonts w:ascii="Times New Roman;Times;serif" w:hAnsi="Times New Roman;Times;serif"/>
          <w:b/>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49" w:name="ny20064651x2_def14a_111-security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0" w:name="tSOC"/>
      <w:bookmarkEnd w:id="50"/>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ownership of our common stock as of April 20, 2026, by: (i) each of our directors; (ii) each of our named executive officers; (iii) all of our executive officers and directors as a group; and (iv) all those known by us to be beneficial owners of more than 5% of our common stock. On April 20, 2026, there were 217,702,919 shares of common stock outstanding and entitled to vote. Unless otherwise indicated below, the address for each beneficial owner listed is c/o CytomX Therapeutics, Inc., at 151 Oyster Point Boulevard, Suite 400, South San Francisco, California. </w:t>
      </w:r>
    </w:p>
    <w:tbl>
      <w:tblPr>
        <w:tblW w:w="8465" w:type="dxa"/>
        <w:jc w:val="left"/>
        <w:tblInd w:w="0" w:type="dxa"/>
        <w:tblLayout w:type="fixed"/>
        <w:tblCellMar>
          <w:top w:w="0" w:type="dxa"/>
          <w:left w:w="0" w:type="dxa"/>
          <w:bottom w:w="0" w:type="dxa"/>
          <w:right w:w="0" w:type="dxa"/>
        </w:tblCellMar>
      </w:tblPr>
      <w:tblGrid>
        <w:gridCol w:w="5105"/>
        <w:gridCol w:w="170"/>
        <w:gridCol w:w="170"/>
        <w:gridCol w:w="1355"/>
        <w:gridCol w:w="170"/>
        <w:gridCol w:w="170"/>
        <w:gridCol w:w="1325"/>
      </w:tblGrid>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w:t>
            </w:r>
          </w:p>
        </w:tc>
      </w:tr>
      <w:tr>
        <w:trPr/>
        <w:tc>
          <w:tcPr>
            <w:tcW w:w="5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Total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24,688,109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Venrock Healthcare Capital Partners III, L.P.</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15,561,500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Longitude Capital Partners V, LLC</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11,538,461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5.3%</w:t>
            </w: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Point72 Asset Management</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10,864,581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5.0%</w:t>
            </w: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4,868,461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Ogden</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673,772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Marcia Belvin, Ph.D</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1,067,559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Wayne Chu, M.D.</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582,642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Rachael Lester</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4,166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P. Young</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222,000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R. Meyers</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208,000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Elaine V. Jones, Ph.D.</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213,142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Halley Gilbert</w:t>
            </w:r>
            <w:r>
              <w:rPr>
                <w:rFonts w:ascii="Times New Roman;Times;serif" w:hAnsi="Times New Roman;Times;serif"/>
                <w:color w:val="000000"/>
                <w:position w:val="7"/>
                <w:sz w:val="16"/>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206,000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Mani Mohindru, Ph.D.</w:t>
            </w:r>
            <w:r>
              <w:rPr>
                <w:rFonts w:ascii="Times New Roman;Times;serif" w:hAnsi="Times New Roman;Times;serif"/>
                <w:color w:val="000000"/>
                <w:position w:val="7"/>
                <w:sz w:val="16"/>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186,000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Ashworth, Ph.D.</w:t>
            </w:r>
            <w:r>
              <w:rPr>
                <w:rFonts w:ascii="Times New Roman;Times;serif" w:hAnsi="Times New Roman;Times;serif"/>
                <w:color w:val="000000"/>
                <w:position w:val="7"/>
                <w:sz w:val="16"/>
                <w:sz w:val="20"/>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166,000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Zhen Su, M.D., M.B.A.</w:t>
            </w:r>
            <w:r>
              <w:rPr>
                <w:rFonts w:ascii="Times New Roman;Times;serif" w:hAnsi="Times New Roman;Times;serif"/>
                <w:color w:val="000000"/>
                <w:position w:val="7"/>
                <w:sz w:val="16"/>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130,888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(12 persons)</w:t>
            </w:r>
            <w:r>
              <w:rPr>
                <w:rFonts w:ascii="Times New Roman;Times;serif" w:hAnsi="Times New Roman;Times;serif"/>
                <w:color w:val="000000"/>
                <w:position w:val="7"/>
                <w:sz w:val="16"/>
                <w:sz w:val="20"/>
              </w:rPr>
              <w:t>(17)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8,528,630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r>
      <w:tr>
        <w:trPr/>
        <w:tc>
          <w:tcPr>
            <w:tcW w:w="5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3325" w:type="dxa"/>
        <w:jc w:val="left"/>
        <w:tblInd w:w="0" w:type="dxa"/>
        <w:tblLayout w:type="fixed"/>
        <w:tblCellMar>
          <w:top w:w="0" w:type="dxa"/>
          <w:left w:w="0" w:type="dxa"/>
          <w:bottom w:w="0" w:type="dxa"/>
          <w:right w:w="0" w:type="dxa"/>
        </w:tblCellMar>
      </w:tblPr>
      <w:tblGrid>
        <w:gridCol w:w="140"/>
        <w:gridCol w:w="31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Denotes ownership percentage less than 1%.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3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table is based upon information supplied by officers, directors and principal stockholders and Forms 3, Forms 4 and Schedules 13D and 13G filed with the SEC. Unless otherwise indicated in the footnotes to this table, we believe that each of the stockholders named in the table has sole voting and dispositive power with respect to the shares indicated as beneficially owned.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13G/A filed with the SEC on February 4, 2026 by FMR LLC. FMR LLC reports its address as 245 Summer Street, Boston, Massachusetts 02210.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13G/A filed with the SEC on November 14, 2025 by Venrock Healthcare Capital Partners III, L.P (“VHCP III”), VHCP Co-Investment Holdings III, LLC (“VHCP Co-Investment III”), Venrock Healthcare Capital Partners EG, L.P. (“VHCP EG”), VHCP Management III, LLC (“VHCP Management III”), VHCP Management EG, LLC (“VHCP Management EG”), Nimish Shah and Bong Y. Koh. 3,285,684 shares are held by VHCP III; 328,806 shares are held by VHCP Co-Investment III; 11,947,010 shares are held by VHCP EG. VHCP Management III is the general partner of VHCP III and the manager of VHCP Co-Investment III. VHCP Management EG is the general partner of VHCP EG. Messrs. Shah and Koh are the voting members of VHCP Management III and VHCP Management EG. VHCP III reported its address as follows: New York Office: 7 Bryant Park, 23rd Floor New York, NY 10018; Palo Alto Office: 3340 Hillview Avenue Palo Alto, CA 94304.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13G/A filed with the SEC on May 20, 2025, by Longitude Capital Partners V, LLC (“LCPV”), Longitude Venture Partners V, L.P. (“LPVP”), Patrick G. Enright and Juliet Tammenoms Bakker. All shares are beneficially owned by LVPV; LCPV is the general partner of LVPV and may be deemed to have voting, investment and dispositive power with respect to these securities; Patrick G. Enright and Juliet Tammenoms Bakker are the managing members of LCPV and may each be deemed to share voting, investment and dispositive power with respect to these shares. LCPV reports its address as 2740 Sand Hill Road, 2nd Floor, Menlo Park, CA 94025.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13G/A filed with the SEC on April 16, 2026 by Point72 Asset Management, L.P. (“Point72 Asset Management”), Point72 Capital Advisors, Inc. (“Point72 Capital Advisors Inc.”), and Steven A. Cohen (“Mr. Cohen”) (collectively, the “Reporting Persons”). Pursuant to an investment management agreement, Point72 Asset Management maintains investment and voting power with respect to the Company shares held by Point72 Associates, LLC, (“Point72 Associates”). Point72 Capital Advisors Inc. is the general partner of Point72 Asset Management. Mr. Cohen controls each of Point72 Asset Management and Point72 Capital Advisors Inc. The Reporting Persons report their address at 72 Cummings Point Road, Stamford, CT 06902.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816,373 shares of our common stock, and (b) 4,052,088 shares of our common stock issuable upon exercise of stock options exercisable within 60 days of April 20, 2026.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123,866 shares of our common stock, and (b) 549,906 shares of our common stock issuable upon exercise of stock options exercisable within 60 days of April 20, 2026.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164,927 shares of our common stock, and (b) 902,632 shares of our common stock issuable upon exercise of stock options exercisable within 60 days of April 20,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1" w:name="ny20064651x2_def14a_111-security_pg2"/>
        <w:bookmarkEnd w:id="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39,613 shares of our common stock, and (b) 543,029 shares of our common stock issuable upon exercise of stock options exercisable within 60 days of April 20, 2026. </w:t>
            </w:r>
          </w:p>
        </w:tc>
      </w:tr>
    </w:tbl>
    <w:tbl>
      <w:tblPr>
        <w:tblW w:w="9535" w:type="dxa"/>
        <w:jc w:val="left"/>
        <w:tblInd w:w="0" w:type="dxa"/>
        <w:tblLayout w:type="fixed"/>
        <w:tblCellMar>
          <w:top w:w="0" w:type="dxa"/>
          <w:left w:w="0" w:type="dxa"/>
          <w:bottom w:w="0" w:type="dxa"/>
          <w:right w:w="0" w:type="dxa"/>
        </w:tblCellMar>
      </w:tblPr>
      <w:tblGrid>
        <w:gridCol w:w="260"/>
        <w:gridCol w:w="92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4,166 shares of our common stock issuable upon exercise of stock options exercisable within 60 days of April 20, 2026. </w:t>
            </w:r>
          </w:p>
        </w:tc>
      </w:tr>
    </w:tbl>
    <w:tbl>
      <w:tblPr>
        <w:tblW w:w="9805" w:type="dxa"/>
        <w:jc w:val="left"/>
        <w:tblInd w:w="0" w:type="dxa"/>
        <w:tblLayout w:type="fixed"/>
        <w:tblCellMar>
          <w:top w:w="0" w:type="dxa"/>
          <w:left w:w="0" w:type="dxa"/>
          <w:bottom w:w="0" w:type="dxa"/>
          <w:right w:w="0" w:type="dxa"/>
        </w:tblCellMar>
      </w:tblPr>
      <w:tblGrid>
        <w:gridCol w:w="350"/>
        <w:gridCol w:w="94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222,000 shares of our common stock issuable upon exercise of stock options exercisable within 60 days of April 20, 2026. </w:t>
            </w:r>
          </w:p>
        </w:tc>
      </w:tr>
    </w:tbl>
    <w:tbl>
      <w:tblPr>
        <w:tblW w:w="9805" w:type="dxa"/>
        <w:jc w:val="left"/>
        <w:tblInd w:w="0" w:type="dxa"/>
        <w:tblLayout w:type="fixed"/>
        <w:tblCellMar>
          <w:top w:w="0" w:type="dxa"/>
          <w:left w:w="0" w:type="dxa"/>
          <w:bottom w:w="0" w:type="dxa"/>
          <w:right w:w="0" w:type="dxa"/>
        </w:tblCellMar>
      </w:tblPr>
      <w:tblGrid>
        <w:gridCol w:w="350"/>
        <w:gridCol w:w="94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208,000 shares of our common stock issuable upon exercise of stock options exercisable within 60 days of April 20, 2026.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5,142 shares of our common stock, and (b) 208,000 shares of our common stock issuable upon exercise of stock options exercisable within 60 days of April 20, 2026. </w:t>
            </w:r>
          </w:p>
        </w:tc>
      </w:tr>
    </w:tbl>
    <w:tbl>
      <w:tblPr>
        <w:tblW w:w="9805" w:type="dxa"/>
        <w:jc w:val="left"/>
        <w:tblInd w:w="0" w:type="dxa"/>
        <w:tblLayout w:type="fixed"/>
        <w:tblCellMar>
          <w:top w:w="0" w:type="dxa"/>
          <w:left w:w="0" w:type="dxa"/>
          <w:bottom w:w="0" w:type="dxa"/>
          <w:right w:w="0" w:type="dxa"/>
        </w:tblCellMar>
      </w:tblPr>
      <w:tblGrid>
        <w:gridCol w:w="350"/>
        <w:gridCol w:w="94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206,000 shares of our common stock issuable upon exercise of stock options exercisable within 60 days of April 20, 2026. </w:t>
            </w:r>
          </w:p>
        </w:tc>
      </w:tr>
    </w:tbl>
    <w:tbl>
      <w:tblPr>
        <w:tblW w:w="9805" w:type="dxa"/>
        <w:jc w:val="left"/>
        <w:tblInd w:w="0" w:type="dxa"/>
        <w:tblLayout w:type="fixed"/>
        <w:tblCellMar>
          <w:top w:w="0" w:type="dxa"/>
          <w:left w:w="0" w:type="dxa"/>
          <w:bottom w:w="0" w:type="dxa"/>
          <w:right w:w="0" w:type="dxa"/>
        </w:tblCellMar>
      </w:tblPr>
      <w:tblGrid>
        <w:gridCol w:w="350"/>
        <w:gridCol w:w="94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186,000 shares of our common stock issuable upon exercise of stock options exercisable within 60 days of April 20, 2026. </w:t>
            </w:r>
          </w:p>
        </w:tc>
      </w:tr>
    </w:tbl>
    <w:tbl>
      <w:tblPr>
        <w:tblW w:w="9805" w:type="dxa"/>
        <w:jc w:val="left"/>
        <w:tblInd w:w="0" w:type="dxa"/>
        <w:tblLayout w:type="fixed"/>
        <w:tblCellMar>
          <w:top w:w="0" w:type="dxa"/>
          <w:left w:w="0" w:type="dxa"/>
          <w:bottom w:w="0" w:type="dxa"/>
          <w:right w:w="0" w:type="dxa"/>
        </w:tblCellMar>
      </w:tblPr>
      <w:tblGrid>
        <w:gridCol w:w="350"/>
        <w:gridCol w:w="94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166,000 shares of our common stock issuable upon exercise of stock options exercisable within 60 days of April 20, 2026. </w:t>
            </w:r>
          </w:p>
        </w:tc>
      </w:tr>
    </w:tbl>
    <w:tbl>
      <w:tblPr>
        <w:tblW w:w="9805" w:type="dxa"/>
        <w:jc w:val="left"/>
        <w:tblInd w:w="0" w:type="dxa"/>
        <w:tblLayout w:type="fixed"/>
        <w:tblCellMar>
          <w:top w:w="0" w:type="dxa"/>
          <w:left w:w="0" w:type="dxa"/>
          <w:bottom w:w="0" w:type="dxa"/>
          <w:right w:w="0" w:type="dxa"/>
        </w:tblCellMar>
      </w:tblPr>
      <w:tblGrid>
        <w:gridCol w:w="350"/>
        <w:gridCol w:w="94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130,888 shares of our common stock issuable upon exercise of stock options exercisable within 60 days of April 20, 2026.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1,149,921 shares of our common stock, and (b) 7,378,709 of our common stock issuable upon exercise of stock options exercisable within 60 days of April 20, 2026.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that our Section 16 officers and directors, and persons who own more than 10% of a registered class of our equity securities, file reports of ownership and changes in ownership (Forms 3, 4, and 5) with the SEC. Such officers, directors, and greater-than-10% beneficial owners are required to furnish us with copies of all of these forms that they file.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solely on our review of the Section 16(a) reports that have been filed by or on behalf of our officers, directors, and persons who own more than 10% of a registered class of our equity securities, and on written representations from our officers and directors, we believe that all such persons complied on a timely basis with all Section 16(a) filing requirements during the year ended December 31, 2025, except Ms. Lester’s due to administrative delay.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2" w:name="ny20064651x2_def14a_112-certain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CRR"/>
      <w:bookmarkEnd w:id="53"/>
      <w:r>
        <w:rPr>
          <w:rFonts w:ascii="Times New Roman;Times;serif" w:hAnsi="Times New Roman;Times;serif"/>
          <w:b/>
          <w:color w:val="000000"/>
          <w:sz w:val="20"/>
        </w:rPr>
        <w:t xml:space="preserve">CERTAIN RELATIONSHIPS AND RELATED PARTY TRANSACTIONS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written related party transactions policy, which sets forth the policies and procedures for the review and approval or ratification of related party transactions. The policy covers, with certain exceptions set forth in Item 404 of Regulation S-K promulgated under the Exchange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years, and a related party had, has or will have a direct or indirect material interest, including indebtedness, guarantees of indebtedness and employment by us of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related party transaction reviewed under the policy will be considered approved or ratified if it is authorized by the Audit Committee of our Board or the chairperson of the Audit Committee in accordance with the standards set forth in the policy after full disclosure of the related party’s interests in the transaction. As appropriate for the circumstances, the Audit Committee or the chairperson of the Audit Committee, as applicable, shall review and consider: </w:t>
      </w:r>
    </w:p>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related party’s interest in the transaction </w:t>
            </w:r>
          </w:p>
        </w:tc>
      </w:tr>
    </w:tbl>
    <w:tbl>
      <w:tblPr>
        <w:tblW w:w="7135" w:type="dxa"/>
        <w:jc w:val="left"/>
        <w:tblInd w:w="0" w:type="dxa"/>
        <w:tblLayout w:type="fixed"/>
        <w:tblCellMar>
          <w:top w:w="0" w:type="dxa"/>
          <w:left w:w="0" w:type="dxa"/>
          <w:bottom w:w="0" w:type="dxa"/>
          <w:right w:w="0" w:type="dxa"/>
        </w:tblCellMar>
      </w:tblPr>
      <w:tblGrid>
        <w:gridCol w:w="140"/>
        <w:gridCol w:w="6995"/>
      </w:tblGrid>
      <w:tr>
        <w:trPr/>
        <w:tc>
          <w:tcPr>
            <w:tcW w:w="14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approximate dollar value of the amount involved in the related party transaction;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approximate dollar value of the amount of the related party’s interest in the transaction without regard to the amount of any profit or loss; </w:t>
            </w:r>
          </w:p>
        </w:tc>
      </w:tr>
    </w:tbl>
    <w:tbl>
      <w:tblPr>
        <w:tblW w:w="6295" w:type="dxa"/>
        <w:jc w:val="left"/>
        <w:tblInd w:w="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was undertaken in our ordinary course of business;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transaction with the related party is proposed to be, or was, entered into on terms no less favorable to us than terms that could have been reached with an unrelated third party; </w:t>
            </w:r>
          </w:p>
        </w:tc>
      </w:tr>
    </w:tbl>
    <w:tbl>
      <w:tblPr>
        <w:tblW w:w="6340" w:type="dxa"/>
        <w:jc w:val="left"/>
        <w:tblInd w:w="0" w:type="dxa"/>
        <w:tblLayout w:type="fixed"/>
        <w:tblCellMar>
          <w:top w:w="0" w:type="dxa"/>
          <w:left w:w="0" w:type="dxa"/>
          <w:bottom w:w="0" w:type="dxa"/>
          <w:right w:w="0" w:type="dxa"/>
        </w:tblCellMar>
      </w:tblPr>
      <w:tblGrid>
        <w:gridCol w:w="140"/>
        <w:gridCol w:w="6200"/>
      </w:tblGrid>
      <w:tr>
        <w:trPr/>
        <w:tc>
          <w:tcPr>
            <w:tcW w:w="14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purpose and the potential benefits of the related party transaction to us;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public disclosure, if any;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information regarding the related party transaction or the related party in the context of the proposed transaction that would be material to investors in light of the circumstances of the particular transaction.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January 1, 2024, we have followed all policies and procedures in reviewing, approving and ratifying related person transactions.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describe below transactions and series of similar transactions since January 1, 2025, to which we were a party or will be a party, in which (i) the amounts involved exceeded or will exceed $120,000 and (ii) any of our directors, executive officers, holders of more than 5% of our capital stock or any member of their immediate family had or will have a direct or indirect material interest, other than compensation arrangements with directors and executive officers, which are described where required in the sections titled “Director Compensation” and “Executive Compensation,” respectively, in this Proxy Statement.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and Executive Officer Agreements and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employment-related agreements with our executive officers. See section titled “Executive Compensation,” in this Proxy Statement for more information regarding each of these agreements and compensation of our directors and executive officers.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and Directors’ and Officers’ Liability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4" w:name="ny20064651x2_def14a_113-board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BDC"/>
      <w:bookmarkEnd w:id="55"/>
      <w:r>
        <w:rPr>
          <w:rFonts w:ascii="Times New Roman;Times;serif" w:hAnsi="Times New Roman;Times;serif"/>
          <w:b/>
          <w:color w:val="000000"/>
          <w:sz w:val="20"/>
        </w:rPr>
        <w:t xml:space="preserve">BOARD OF DIRECTORS AND CORPORATE GOVERNANCE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sets forth information about our directors as of March 31, 2026. </w:t>
      </w:r>
    </w:p>
    <w:tbl>
      <w:tblPr>
        <w:tblW w:w="8885" w:type="dxa"/>
        <w:jc w:val="left"/>
        <w:tblInd w:w="0" w:type="dxa"/>
        <w:tblLayout w:type="fixed"/>
        <w:tblCellMar>
          <w:top w:w="0" w:type="dxa"/>
          <w:left w:w="0" w:type="dxa"/>
          <w:bottom w:w="0" w:type="dxa"/>
          <w:right w:w="0" w:type="dxa"/>
        </w:tblCellMar>
      </w:tblPr>
      <w:tblGrid>
        <w:gridCol w:w="2240"/>
        <w:gridCol w:w="170"/>
        <w:gridCol w:w="170"/>
        <w:gridCol w:w="5540"/>
        <w:gridCol w:w="170"/>
        <w:gridCol w:w="170"/>
        <w:gridCol w:w="425"/>
      </w:tblGrid>
      <w:tr>
        <w:trPr/>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2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 Director, Chief Executive Officer and Chairman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Mani Mohindru,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Zhen Su, M.D., M.B.A.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Elaine V. Jones,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P. Young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R. Meyers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Halley Gilbert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Ashworth,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r>
      <w:tr>
        <w:trPr/>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brief biographies of our current directors whose current term of office continues through the 2026 Annual Meeting of Stockholders. Biographies of our two current directors who are being nominated to a new term of office at the 2026 Annual Meeting of Stockholders are included above under “Proposal No. 1 Election of Directors.”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 Directors Continuing in Office until the 2028 Annual Meeting of Stockholders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Sean A. McCarthy, D. Phil.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McCarthy joined CytomX in December 2010 as our Chief Business Officer and became a member of our Board, President and Chief Executive Officer in August 2011. In January 2019, Dr. McCarthy became Chairman of our Board of directors and currently serves as Chief Executive Officer and Chairman of our Board. Dr. McCarthy has more than twenty years of experience in the biotechnology industry encompassing roles in R&amp;D, business development, financing and general management. Following completion of his post-doctoral training at the Schering Plough DNAX Research Institute, Dr. McCarthy held research leadership and program management roles at Millennium Pharmaceuticals where he managed biologics discovery programs. After Millennium, Dr. McCarthy joined SGX Pharmaceuticals, where he spearheaded a wide range of large pharma partnerships as vice president business development and helped drive a strategic reorientation of the company from a platform business model to product-focused oncology company, leading to completion of an initial public offering in 2006. Immediately prior to joining CytomX, Dr. McCarthy was a transactional partner at Pappas Ventures from April 2006 to December 2010, where he was responsible for investments in therapeutic, medical device and molecular diagnostic companies. Dr. McCarthy is an author on multiple peer reviewed scientific publications, issued patents and filed patent applications. He received a B.Sc. in biochemistry and pharmacology at King’s College, University of London; an MBA from the Rady School of Management at the University of California San Diego; and a D.Phil. in cancer biology from St. John’s College, University of Oxford. Dr. McCarthy currently serves as a member of the Dean’s Advisory Council at the UCSD Rady School of Management and was previously a member of the board of directors of OncoResponse. We believe Dr. McCarthy is qualified to serve on our Board based on his management experience in the life sciences sector, including at CytomX, his deep knowledge of the industry, and his strategic and business development expertise.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Mani Mohindru, Ph.D.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Dr. Mohindru has served as a member of our Board since December 2020. Since January 2026, Dr. Mohindru has served as the Chief Executive Officer of Cardiff Oncology, a publicly-traded clinical-stage oncology-focused biopharmaceutical company, where she has also served as a member of the board of directors since June 2021. Prior to that, Dr. Mohindru served as Chief Executive Officer and member of the board of directors at Novasenta, a privately-held drug discovery company that focuses on immunotherapy treatment for novel cancer targets, a position she held from April 2021 to March 2024. Previously, she served as the CEO of CereXis, Inc., a biopharmaceutical company focused on rare tumor indications, from December 2019 to October 2020. Prior to that, she served as chief financial officer and chief strategy officer at Cara Therapeutics, Inc., a publicly-traded biotechnology company, from August 2017 to December 2019. Between June 2013 and August 2017, she held various roles at Curis, Inc., a publicly-traded biopharmaceutical company, including as Vice President of Corporate Strategy &amp; Investor Strategy and Chief Strategy Officer. Dr. Mohindru is also a member of the board of directors of Roshon Therapeutics, a privately-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6" w:name="ny20064651x2_def14a_113-board_pg2"/>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held biopharmaceutical company, a position she has held since October 2024. She also previously served as a member of the board of directors of SAB Biotherapeutics, a publicly-traded clinical stage biopharmaceutical company. Prior to her leadership roles in the biotechnology industry, Dr. Mohindru spent many years as an equity research analyst covering the biotechnology sector at UBS, Credit Suisse and ThinkEquity. She also cofounded a privately-held biotechnology company and was a healthcare industry consultant. Dr. Mohindru received her Ph.D. in neurosciences from Northwestern University and her Masters in biotechnology and BS in human biology (Hons) from the All India Institute of Medical Sciences, New Delhi, India. We believe Dr. Mohindru is qualified to serve on our Board based on her substantial management experience in the life sciences industry and her background in biotechnology finance and corporate strategy.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Zhen Su, M.D., M.B.A.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Su joined our Board of Directors in March 2024. Currently, Dr. Su serves as the Chief Executive Officer of Marengo Therapeutics (“Marengo”) and member of its board of directors, having held both positions since July 2021. Prior to joining Marengo, Dr. Su served as Senior Vice President and Global Head of the Oncology Business Franchise for Merck KGaA (“Merck”) from March 2019 to July 2021 and concurrently as Merck’s US Head of its Oncology Business Unit between July 2020 and July 2021. Dr. Su served as Chief Medical Officer of EMD Serono, part of the larger Merck group, from October 2017 to May 2019. Dr. Su currently serves as a member of the board of directors at Karyopharm Therapeutics Inc., a publicly-traded biopharmaceutical company, a position he has held since August 2023. He previously served as a member of the board of directors at Galvanize Therapeutics, Inc., a privately held biopharmaceutical company, a position he held from July 2024 to July 2025. Before his career in the life sciences industry, Dr. Su served on the faculty of Duke University Medical School between 2001 and 2006, where he led early oncology clinical studies focusing on mRNA-based and cell-based immunotherapy, and then, between 2006 and 2009, served as the director of the Cell and Gene Therapy program at the University of Florida. Dr. Su received his Doctor of Medicine from Technical University of Dresden in Germany and his MBA from the University of Toronto in Canada. We believe Dr. Su is qualified to serve on our Board based on his substantial drug development and corporate strategy experience in the biotechnology industry complemented by his academic background in life sciences.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Directors Nominated for Election at the 2026 Annual Meeting of Stockholders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Matthew P. Young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Biographical information included above under “Proposal No. 1 Election of Directors”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Elaine V. Jones, Ph.D.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Biographical information included above under “Proposal No. 1 Election of Directors”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Continuing in Office until the 2027 Annual Meeting of Stockholders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James R. Meyers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James R. Meyers has served as a member of our Board since December 2018. Currently, Mr. Meyers serves as the President and CEO of IntraBio, a privately-held biopharmaceutical company with a late-stage drug pipeline that develops treatments for genetic and neurodegenerative diseases, having been appointed to that position in November 2020. Mr. Meyers has served on the board of Sangamo Therapeutics, Inc., a publicly-traded biotechnology company, since December 2019, and previously served on the board of Arbutus Biopharma Corporation, also a publicly-traded biotechnology company, from October 2018 to February 2025. Prior to that, Mr. Meyers had served as a senior advisor to Gilead Sciences from February 2018 to December 2021. Prior to his advisory role, Mr. Meyers most recently served as Gilead’s Executive Vice President of worldwide commercial operations where he was responsible for all commercial activities including pricing and market access in North America, Europe, Middle East, Australia and Japan. Over his 22-year career at Gilead, Mr. Meyers led some of the most important and successful product launches in the history of the biopharmaceutical industry, most notably in the therapeutic areas of HCV and HIV. Prior to joining Gilead, Mr. Meyers held positions of increasing responsibility in sales, training, marketing and management with Zeneca Pharmaceuticals and Astra USA. In addition to the above, Mr. Meyers has also served on the board of directors of IntegriChain Corporation, a privately-held biopharmaceutical company, since March 2024, and Pulmocide, Ltd.,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7" w:name="ny20064651x2_def14a_113-board_pg3"/>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privately-held biopharmaceutical company based in the United Kingdom, since September 2021. Mr. Meyers holds a B.S. in Economics from Boston College. We believe that Mr. Meyers is qualified to serve on our Board due to his worldwide commercial leadership experience within the biotechnology industry.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Halley Gilbert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Halley Gilbert has served as a member of our Board since April 2020. Currently, Ms. Gilbert serves as the Chief Legal Officer and Chief Operating Officer of Tubulis GmbH, a biopharmaceutical company headquartered in Germany with offices in Cambridge Massachusetts, a position she has held since July 2025. Previously, Ms. Gilbert had served as Chief Legal Officer at CARGO Therapeutics, a publicly-traded biopharmaceutical company, a position she held from September 2023 to July 2025. Ms. Gilbert had previously served as the Chief Legal Officer of NeoGenomics Laboratories, a position she held from August 2021 to April 2022. Prior to her role at NeoGenomics Laboratories, Ms. Gilbert held the position of Chief Operating Officer of Adagio Therapeutics, Inc., from June 2020 to August 2021. Until February 2020, Ms. Gilbert held the position of Senior Vice President, Corporate Development and Chief Administrative Officer at Ironwood Pharmaceuticals, Inc. having joined the company in 2008 as Vice President and General Counsel. Prior to this, Ms. Gilbert served in several roles at Cubist Pharmaceuticals, Inc. (acquired by Merck), including as Vice President, Deputy General Counsel, Assistant Secretary and Assistant General Counsel from 2002 to 2007. From 1999 to 2002, Ms. Gilbert held the position of Corporate Counsel at Genzyme Corporation. Ms. Gilbert began her career at the law firm of Skadden, Arps, Slate, Meagher &amp; Flom LLP, where, serving as a corporate associate from 1995 to 1998, she specialized in mergers and acquisitions and securities law. Ms. Gilbert has served on the board of Arcutis Biotherapeutics, Inc., a publicly-traded biopharmaceutical company, since April 2020, and on the board of Vaxcyte, Inc., a publicly-traded vaccine innovation company, since April 2020. Ms. Gilbert formerly served on the board of directors of Dermira, Inc. (acquired by Eli Lilly and Company) and Achaogen, Inc. Ms. Gilbert received a J.D. from Northwestern University School of Law and a B.A. from Tufts University. We believe that Ms. Gilbert is qualified to serve on our Board due to her broad knowledge of the life sciences industry and significant experience in business development, corporate strategy, law and compliance.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Alan Ashworth, Ph.D.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Alan Ashworth has served as a member of our Board since September 2021. He currently serves as the President of the Helen Diller Family Comprehensive Cancer Center at the University of California, San Francisco (UCSF), a position he has held since 2015. He also serves as the Senior Vice President for Cancer Services and a Professor of Medicine in Division of Hematology/Oncology, Department of Medicine at UCSF Health, position(s) he has held since 2015. Prior to joining UCSF, Dr. Ashworth was Chief Executive Officer of the Institute of Cancer Research, a position he held from 2011 to 2014, as well as serving as their Director of the Breakthrough Breast Cancer Center from 1999 to 2011 and Professor of Molecular Biology from 1997 to 2014. Since January 2025, Dr. Ashworth has served as a co-founder and member of the board of directors of Tiller Therapeutics, a privately-held biopharmaceutical corporation. He is an elected member of European Molecular Biology Organization, the Academy of Medical Sciences, and a Fellow of the Royal Society. Dr. Ashworth received his Ph.D. in biochemistry from University College London, U.K., and his B.Sc. in chemistry and biochemistry from Imperial College of Science and Technology, University of London, U.K. We believe that Dr. Ashworth is qualified to serve on our Board due to his deep medical experience and service on the boards of directors of several cancer centers.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Meetings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met 7 times during the fiscal year ended December 31, 2025. The Audit Committee of the Board met 4 times, the Compensation Committee of the Board met 5 times and the Nominating and Corporate Governance Committee of the Board met 2 times. Each member of the Board attended at least 75% of the aggregate number of meetings of our Board and of the committees on which they served, that were held during the period of the last fiscal year and during which they served on the Board or such committees.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Attendance at Annual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 policy of encouraging director attendance at our annual meetings of stockholders, but attendance is not mandatory. Our Board and management team encourage all of our directors to attend the virtual 2026 Annual Meeting of Stockholders. The majority of our directors attended the virtual 2025 Annual Meeting of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Governance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documented our governance practices in our corporate governance guidelines to assure that the Board will have the necessary authority and practices in place to review and evaluate our business operations as needed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8" w:name="ny20064651x2_def14a_113-board_pg4"/>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to make decisions that are independent of our management. The guidelines are also intended to align the interests of directors and management with those of our stockholders. The corporate governance guidelines set forth certain practices the Board will follow with respect to Board composition, Board committees, Board nomination, director qualifications and evaluation of the Board and committees. The corporate governance guidelines and the charter for each committee of the Board may be viewed at www.cytomx.com.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bylaws and corporate governance guidelines provide our Board with flexibility to combine or separate the positions of chairman of the Board and chief executive officer and/or the implementation of a lead director in accordance with its determination that utilizing one or the other structure would be in the best interests of the Company. The position of chief executive officer and chairman of the Board is currently held by Sean A. McCarthy, D. Phil. The Board also appointed Matthew P. Young to serve as Lead Independent Director of the Board. In that role, Mr. Young presides over the executive sessions of the Board in which Dr. McCarthy does not participate, serves as a liaison to Dr. McCarthy and management on behalf of the Board and performs such other duties and exercises such other powers as may from time to time be assigned by the bylaws or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concluded that our current leadership structure is appropriate at this time. However, our Board will continue to periodically review our leadership structure and may make such changes in the future as it deems appropriate.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monitors and assesses key business risks directly through deliberations of the Board and also by way of delegation of certain risk oversight functions to be performed by committees of the Board. The Board regularly reviews and assesses, among other matters, the following important areas that present both opportunities and risk to the Company’s business: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 and approval of the Company’s annual operating and capital spending plan and review of management’s updates as to the progress against the plan and any related risks and uncertainties;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 consideration of the balance of risk and opportunities presented by the Company’s medium to long-term strategic plan and the potential implications of success and failure in one or more of the Company’s key drug development programs; </w:t>
            </w:r>
          </w:p>
        </w:tc>
      </w:tr>
    </w:tbl>
    <w:tbl>
      <w:tblPr>
        <w:tblW w:w="8995" w:type="dxa"/>
        <w:jc w:val="left"/>
        <w:tblInd w:w="0" w:type="dxa"/>
        <w:tblLayout w:type="fixed"/>
        <w:tblCellMar>
          <w:top w:w="0" w:type="dxa"/>
          <w:left w:w="0" w:type="dxa"/>
          <w:bottom w:w="0" w:type="dxa"/>
          <w:right w:w="0" w:type="dxa"/>
        </w:tblCellMar>
      </w:tblPr>
      <w:tblGrid>
        <w:gridCol w:w="140"/>
        <w:gridCol w:w="8855"/>
      </w:tblGrid>
      <w:tr>
        <w:trPr/>
        <w:tc>
          <w:tcPr>
            <w:tcW w:w="14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regular consideration of the risks and uncertainties presented by alternative clinical development strategies;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regular review of the progress and results of the Company’s clinical development programs and early research efforts, including, without limitation, the strengths, weaknesses, opportunities and threats for these programs; </w:t>
            </w:r>
          </w:p>
        </w:tc>
      </w:tr>
    </w:tbl>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and oversight of any material outstanding litigation or threatened litigation;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 and approval of material collaboration partnerships for the further development and commercial exploitation of the Company’s proprietary drug development programs and technologies;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regular review and approval of the annual corporate goals and an assessment of the Company’s level of achievement against these established goals;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regular review of the Company’s financial position relative to the risk and opportunities for the Company’s business; </w:t>
            </w:r>
          </w:p>
        </w:tc>
      </w:tr>
    </w:tbl>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of the Company’s intellectual property estate; </w:t>
            </w:r>
          </w:p>
        </w:tc>
      </w:tr>
    </w:tbl>
    <w:tbl>
      <w:tblPr>
        <w:tblW w:w="8680" w:type="dxa"/>
        <w:jc w:val="left"/>
        <w:tblInd w:w="0" w:type="dxa"/>
        <w:tblLayout w:type="fixed"/>
        <w:tblCellMar>
          <w:top w:w="0" w:type="dxa"/>
          <w:left w:w="0" w:type="dxa"/>
          <w:bottom w:w="0" w:type="dxa"/>
          <w:right w:w="0" w:type="dxa"/>
        </w:tblCellMar>
      </w:tblPr>
      <w:tblGrid>
        <w:gridCol w:w="140"/>
        <w:gridCol w:w="8540"/>
      </w:tblGrid>
      <w:tr>
        <w:trPr/>
        <w:tc>
          <w:tcPr>
            <w:tcW w:w="14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assessment of succession planning and performance concerns for the Section 16 officers; and </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of the Company’s compensation programs.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discussion above of risk oversight matters reviewed by the Board is intended to be illustrative only and not a complete list of all important matters reviewed and considered by the Board in providing oversight and direction for the Company’s senior management and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risk oversight function of the Board is also administered through various Board committees. The Audit Committee oversees the management of financial, accounting, internal controls, disclosure controls, the engagement and regular oversight of the independent auditors and other financial compliance risks. The Audit Committee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59" w:name="ny20064651x2_def14a_113-board_pg5"/>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reviews the Company’s investment policy for its cash reserves and fraud monitoring practices and procedures, including the maintenance and monitoring of a whistleblower hotline.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the design and oversight of the Company’s compensation programs. The Compensation Committee also regularly reviews and reports to the Board on succession planning for the chief executive officer and certain other select senior management 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periodically reviews the Company’s corporate governance practices, including certain risks that those practices are intended to address and certain corporate compliance risks. The Nominating and Corporate Governance Committee periodically reviews the composition of the Board to help ensure that a diversity of skills and experiences is represented by the members of the Board taking into account the stage of growth of the Company and its strategic direction, as well as identifies, evaluates and nominates qualified candidates.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carrying out their risk oversight functions, the Board and its committees routinely request and review management updates, reports from the independent auditors and legal and regulatory advice from outside experts, as appropriate, to assist in discerning and managing important risks that may be faced by the Company. The Board is committed to continuing to ensure and evolve its risk oversight practices as appropriate given the stage of the Company’s evolution as a drug development Company and the fast-paced changes in the biopharmaceutical industry.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Independence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rules of The Nasdaq Stock Market LLC (“Nasdaq”), independent directors must comprise a majority of a listed company’s board of directors within twelve months from the date of listing. In addition, Nasdaq rules require that, subject to specified exceptions, each member of a listed company’s audit, compensation and nominating and corporate governance committees be independent. Audit committee members must also satisfy additional independence criteria set forth in Rule 10A-3 under the Exchange Act, and in Nasdaq Rule 5605(c)(2)(A).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be considered independent for purposes of Rule 10A-3, a member of an audit committee of a listed company may not, other than in their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undertaken a review of its composition, the composition of its committees and the independence of each director. Based upon information requested from and provided by each director concerning their background, employment and affiliations, including family relationships, our Board determined that none of our directors, other than Dr. McCarthy, has a relationship that would interfere with the exercise of independent judgment in carrying out the responsibilities of a director and that each of these directors is “independent” as that term is defined under the Nasdaq rules. Dr. McCarthy is not considered independent because he is an employee of the Company. Our Board determined that Matthew P. Young, a member of our Audit Committee, James R. Meyers, a member of our Compensation Committee, Elaine V. Jones, Ph.D., a member of our Compensation Committee and Nominating and Corporate Governance Committee, Halley Gilbert, a member of our Audit Committee and Nominating and Corporate Governance Committee, Mani Mohindru, Ph.D., a member of our Audit Committee, Alan Ashworth, Ph.D., a member of our Nominating and Corporate Governance Committee, and Zhen Su, M.D., M.B.A., a member of our Compensation Committee, satisfy the independence standards for such committees established by applicable SEC and the Nasdaq rules, including, with respect to Ms. Gilbert, Dr. Mohindru and Mr. Young, the heightened independence criteria applicable to the Audit Committee, as set forth in Rule 10A-3 and Nasdaq Rule 5605. In making these determinations, our Board considered the relationships that each non-employee director has with us and all other facts and circumstances our Board deemed relevant in determining their independence, including the beneficial ownership of our capital stock by each non-employee director.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0" w:name="ny20064651x2_def14a_113-board_pg6"/>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Regarding the Committees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three regularly constituted committees: an Audit Committee, a Compensation Committee and a Nominating and Corporate Governance Committee. The following table provides current membership information for each of the Board committees: </w:t>
      </w:r>
    </w:p>
    <w:tbl>
      <w:tblPr>
        <w:tblW w:w="6110" w:type="dxa"/>
        <w:jc w:val="left"/>
        <w:tblInd w:w="0" w:type="dxa"/>
        <w:tblLayout w:type="fixed"/>
        <w:tblCellMar>
          <w:top w:w="0" w:type="dxa"/>
          <w:left w:w="0" w:type="dxa"/>
          <w:bottom w:w="0" w:type="dxa"/>
          <w:right w:w="0" w:type="dxa"/>
        </w:tblCellMar>
      </w:tblPr>
      <w:tblGrid>
        <w:gridCol w:w="2240"/>
        <w:gridCol w:w="170"/>
        <w:gridCol w:w="170"/>
        <w:gridCol w:w="455"/>
        <w:gridCol w:w="170"/>
        <w:gridCol w:w="170"/>
        <w:gridCol w:w="1085"/>
        <w:gridCol w:w="170"/>
        <w:gridCol w:w="170"/>
        <w:gridCol w:w="1310"/>
      </w:tblGrid>
      <w:tr>
        <w:trPr/>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22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453" w:right="0" w:hanging="0"/>
              <w:jc w:val="left"/>
              <w:rPr>
                <w:color w:val="000000"/>
              </w:rPr>
            </w:pPr>
            <w:r>
              <w:rPr>
                <w:color w:val="000000"/>
              </w:rPr>
              <w:t xml:space="preserve">—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Mani Mohindru,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453" w:right="0" w:hanging="0"/>
              <w:jc w:val="left"/>
              <w:rPr>
                <w:color w:val="000000"/>
              </w:rPr>
            </w:pPr>
            <w:r>
              <w:rPr>
                <w:color w:val="000000"/>
              </w:rPr>
              <w:t xml:space="preserve">—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P. Young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X</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453" w:right="0" w:hanging="0"/>
              <w:jc w:val="left"/>
              <w:rPr>
                <w:color w:val="000000"/>
              </w:rPr>
            </w:pPr>
            <w:r>
              <w:rPr>
                <w:color w:val="000000"/>
              </w:rPr>
              <w:t xml:space="preserve">—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R. Meyers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rFonts w:ascii="Times New Roman;Times;serif" w:hAnsi="Times New Roman;Times;serif"/>
                <w:color w:val="000000"/>
                <w:sz w:val="20"/>
              </w:rPr>
            </w:pPr>
            <w:r>
              <w:rPr>
                <w:rFonts w:ascii="Times New Roman;Times;serif" w:hAnsi="Times New Roman;Times;serif"/>
                <w:color w:val="000000"/>
                <w:sz w:val="20"/>
              </w:rPr>
              <w:t>X</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453" w:right="0" w:hanging="0"/>
              <w:jc w:val="left"/>
              <w:rPr>
                <w:color w:val="000000"/>
              </w:rPr>
            </w:pPr>
            <w:r>
              <w:rPr>
                <w:color w:val="000000"/>
              </w:rPr>
              <w:t xml:space="preserve">—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Elaine V. Jones,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4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Halley Gilbert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453" w:right="0" w:hanging="0"/>
              <w:jc w:val="left"/>
              <w:rPr>
                <w:rFonts w:ascii="Times New Roman;Times;serif" w:hAnsi="Times New Roman;Times;serif"/>
                <w:color w:val="000000"/>
                <w:sz w:val="20"/>
              </w:rPr>
            </w:pPr>
            <w:r>
              <w:rPr>
                <w:rFonts w:ascii="Times New Roman;Times;serif" w:hAnsi="Times New Roman;Times;serif"/>
                <w:color w:val="000000"/>
                <w:sz w:val="20"/>
              </w:rPr>
              <w:t>X</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Ashworth,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4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Zhen Su, M.D., M.B.A.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453" w:right="0" w:hanging="0"/>
              <w:jc w:val="left"/>
              <w:rPr>
                <w:color w:val="000000"/>
              </w:rPr>
            </w:pPr>
            <w:r>
              <w:rPr>
                <w:color w:val="000000"/>
              </w:rPr>
              <w:t xml:space="preserve">—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meetings in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453"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22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tbl>
      <w:tblPr>
        <w:tblW w:w="1990" w:type="dxa"/>
        <w:jc w:val="left"/>
        <w:tblInd w:w="0" w:type="dxa"/>
        <w:tblLayout w:type="fixed"/>
        <w:tblCellMar>
          <w:top w:w="0" w:type="dxa"/>
          <w:left w:w="0" w:type="dxa"/>
          <w:bottom w:w="0" w:type="dxa"/>
          <w:right w:w="0" w:type="dxa"/>
        </w:tblCellMar>
      </w:tblPr>
      <w:tblGrid>
        <w:gridCol w:w="260"/>
        <w:gridCol w:w="17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7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Committee chairperson.</w:t>
            </w:r>
          </w:p>
        </w:tc>
      </w:tr>
    </w:tbl>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is a description of each committee of our Board.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oversees our corporate accounting and financial reporting process. For this purpose, the Audit Committee performs several functions and its responsibilities include,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appointing, approving the compensation of, and assessing the independence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pre-approving auditing and permissible non-audit services, and the terms of such services, to be provided by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annually a report by the independent registered public accounting firm regarding the independent registered public accounting firm’s internal quality control procedures and various issues relating thereto;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and the independent registered public accounting firm our annual and quarterly financial statements and related disclosures;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coordinating the oversight and reviewing the adequacy of our internal control over financial reporting with both management and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policies and procedures for the receipt and retention of accounting related complaints and concerns, including a confidential, anonymous mechanism for the submission of concerns by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legal compliance matters, including any securities trading policies, periodically reviewing significant accounting and other financial risks or exposures to our company and reviewing and, if appropriate, approving all transactions between our company and any related party (as described in Item 404 of Regulation S-K promulgated under the Exchange 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policies for the hiring of employees and former employees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consulting with management on the establishment of procedures and internal controls to address cyber security related risks; and </w:t>
            </w:r>
          </w:p>
        </w:tc>
      </w:tr>
    </w:tbl>
    <w:tbl>
      <w:tblPr>
        <w:tblW w:w="8875" w:type="dxa"/>
        <w:jc w:val="left"/>
        <w:tblInd w:w="0" w:type="dxa"/>
        <w:tblLayout w:type="fixed"/>
        <w:tblCellMar>
          <w:top w:w="0" w:type="dxa"/>
          <w:left w:w="0" w:type="dxa"/>
          <w:bottom w:w="0" w:type="dxa"/>
          <w:right w:w="0" w:type="dxa"/>
        </w:tblCellMar>
      </w:tblPr>
      <w:tblGrid>
        <w:gridCol w:w="140"/>
        <w:gridCol w:w="8735"/>
      </w:tblGrid>
      <w:tr>
        <w:trPr/>
        <w:tc>
          <w:tcPr>
            <w:tcW w:w="14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required by SEC rules to be included in our annual proxy statement.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the power to investigate any matter brought to its attention within the scope of its duties and will have the authority to retain counsel and advisors to fulfill its responsibilities and duties.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1" w:name="ny20064651x2_def14a_113-board_pg7"/>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the authority to retain special legal, accounting or other consultants to advise the committee as it deems necessary, at the Company’s expense, to carry out its duties and to determine the compensation of any such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Audit Committee are Matthew P. Young, Mani Mohindru, Ph.D. and Halley Gilbert. Mr. Young serves as the chairperson of the committee. Our Board has determined that each of Mr. Young, Dr. Mohindru and Ms. Gilbert are “independent” for Audit Committee purposes as that term is defined in the applicable rules of the SEC and The Nasdaq Global Select Market. Our Board has designated Mr. Young as an “audit committee financial expert” as defined under the applicable rules of the SEC and has determined that Mr. Young has the requisite financial sophistication as defined under the applicable rules and regulations of Nasdaq. The Audit Committee has adopted a written Audit Committee charter that satisfies the applicable standards of the SEC and Nasdaq, and which is available on our corporate website at www.cytomx.com.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the Board, in consultation with independent compensation consultants, reviews the type and level of compensation for directors, officers, employees and recommends compensation actions to the Board and administers the variable compensation programs to be adopted by the Company. The responsibilities of the Compensation Committee include, among other things: </w:t>
      </w:r>
    </w:p>
    <w:tbl>
      <w:tblPr>
        <w:tblW w:w="9670" w:type="dxa"/>
        <w:jc w:val="left"/>
        <w:tblInd w:w="0" w:type="dxa"/>
        <w:tblLayout w:type="fixed"/>
        <w:tblCellMar>
          <w:top w:w="0" w:type="dxa"/>
          <w:left w:w="0" w:type="dxa"/>
          <w:bottom w:w="0" w:type="dxa"/>
          <w:right w:w="0" w:type="dxa"/>
        </w:tblCellMar>
      </w:tblPr>
      <w:tblGrid>
        <w:gridCol w:w="140"/>
        <w:gridCol w:w="9530"/>
      </w:tblGrid>
      <w:tr>
        <w:trPr/>
        <w:tc>
          <w:tcPr>
            <w:tcW w:w="14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corporate goals and objectives relevant to the compensation of our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the performance of our chief executive officer in light of such corporate goals and objectives and approving the compensation of our chief executive officer; </w:t>
            </w:r>
          </w:p>
        </w:tc>
      </w:tr>
    </w:tbl>
    <w:tbl>
      <w:tblPr>
        <w:tblW w:w="6325" w:type="dxa"/>
        <w:jc w:val="left"/>
        <w:tblInd w:w="0" w:type="dxa"/>
        <w:tblLayout w:type="fixed"/>
        <w:tblCellMar>
          <w:top w:w="0" w:type="dxa"/>
          <w:left w:w="0" w:type="dxa"/>
          <w:bottom w:w="0" w:type="dxa"/>
          <w:right w:w="0" w:type="dxa"/>
        </w:tblCellMar>
      </w:tblPr>
      <w:tblGrid>
        <w:gridCol w:w="140"/>
        <w:gridCol w:w="6185"/>
      </w:tblGrid>
      <w:tr>
        <w:trPr/>
        <w:tc>
          <w:tcPr>
            <w:tcW w:w="14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other executive officers; </w:t>
            </w:r>
          </w:p>
        </w:tc>
      </w:tr>
    </w:tbl>
    <w:tbl>
      <w:tblPr>
        <w:tblW w:w="6910" w:type="dxa"/>
        <w:jc w:val="left"/>
        <w:tblInd w:w="0" w:type="dxa"/>
        <w:tblLayout w:type="fixed"/>
        <w:tblCellMar>
          <w:top w:w="0" w:type="dxa"/>
          <w:left w:w="0" w:type="dxa"/>
          <w:bottom w:w="0" w:type="dxa"/>
          <w:right w:w="0" w:type="dxa"/>
        </w:tblCellMar>
      </w:tblPr>
      <w:tblGrid>
        <w:gridCol w:w="140"/>
        <w:gridCol w:w="6770"/>
      </w:tblGrid>
      <w:tr>
        <w:trPr/>
        <w:tc>
          <w:tcPr>
            <w:tcW w:w="14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compensation, welfare, benefit and pension plans and similar plans; </w:t>
            </w:r>
          </w:p>
        </w:tc>
      </w:tr>
    </w:tbl>
    <w:tbl>
      <w:tblPr>
        <w:tblW w:w="8110" w:type="dxa"/>
        <w:jc w:val="left"/>
        <w:tblInd w:w="0" w:type="dxa"/>
        <w:tblLayout w:type="fixed"/>
        <w:tblCellMar>
          <w:top w:w="0" w:type="dxa"/>
          <w:left w:w="0" w:type="dxa"/>
          <w:bottom w:w="0" w:type="dxa"/>
          <w:right w:w="0" w:type="dxa"/>
        </w:tblCellMar>
      </w:tblPr>
      <w:tblGrid>
        <w:gridCol w:w="140"/>
        <w:gridCol w:w="7970"/>
      </w:tblGrid>
      <w:tr>
        <w:trPr/>
        <w:tc>
          <w:tcPr>
            <w:tcW w:w="14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the Board with respect to director compensation; and </w:t>
            </w:r>
          </w:p>
        </w:tc>
      </w:tr>
    </w:tbl>
    <w:tbl>
      <w:tblPr>
        <w:tblW w:w="9745" w:type="dxa"/>
        <w:jc w:val="left"/>
        <w:tblInd w:w="0" w:type="dxa"/>
        <w:tblLayout w:type="fixed"/>
        <w:tblCellMar>
          <w:top w:w="0" w:type="dxa"/>
          <w:left w:w="0" w:type="dxa"/>
          <w:bottom w:w="0" w:type="dxa"/>
          <w:right w:w="0" w:type="dxa"/>
        </w:tblCellMar>
      </w:tblPr>
      <w:tblGrid>
        <w:gridCol w:w="140"/>
        <w:gridCol w:w="9605"/>
      </w:tblGrid>
      <w:tr>
        <w:trPr/>
        <w:tc>
          <w:tcPr>
            <w:tcW w:w="14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preparing for inclusion in our proxy statement the report, if any, of the compensation committee required by the SEC.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power to investigate any matter brought to its attention within the scope of its duties and will have the authority to retain counsel and advisors to fulfill its responsibilities and duties.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sole authority to retain or replace, at the Company’s expense, any independent counsel, compensation and benefits consultants and other outside experts or advisors as the committee believes to be necessary or appropriate. The committee may also utilize the services of the Company’s regular legal counsel or other advisors to the Company. The Compensation Committee has engaged Aon’s Human Capital Solutions practice, a division of Aon plc since 2015 as a compensation consultant to evaluate non-employee director compensation and compensation in comparison to industry peers.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Compensation Committee are James Meyers, Elaine V. Jones, Ph.D. and Zhen Su, M.D., M.B.A. Mr. Meyers serves as the chairperson of the committee. Our Board has determined that each member of the Compensation Committee is an independent director for Compensation Committee purposes as that term is defined in the applicable Nasdaq rules, and is a “non-employee director” within the meaning of Rule 16b-3(d)(3) promulgated under the Exchange Act. The Compensation Committee has adopted a written Compensation Committee charter that satisfies the applicable standards of the SEC and Nasdaq, and which is available on our corporate website at www.cytomx.com.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none of our named executive officers (a) served on the compensation committee of another entity that had an executive officer who served on our Compensation Committee; (b) served as director of another entity that had an executive officer who served on our Compensation Committee; or (c) served on the compensation committee of another entity that had an executive officer who served as one of our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2" w:name="ny20064651x2_def14a_113-board_pg8"/>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responsibilities of the Nominating and Corporate Governance Committee include, among other things: </w:t>
      </w:r>
    </w:p>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individuals qualified to become members of the Board; </w:t>
            </w:r>
          </w:p>
        </w:tc>
      </w:tr>
    </w:tbl>
    <w:tbl>
      <w:tblPr>
        <w:tblW w:w="9775" w:type="dxa"/>
        <w:jc w:val="left"/>
        <w:tblInd w:w="0" w:type="dxa"/>
        <w:tblLayout w:type="fixed"/>
        <w:tblCellMar>
          <w:top w:w="0" w:type="dxa"/>
          <w:left w:w="0" w:type="dxa"/>
          <w:bottom w:w="0" w:type="dxa"/>
          <w:right w:w="0" w:type="dxa"/>
        </w:tblCellMar>
      </w:tblPr>
      <w:tblGrid>
        <w:gridCol w:w="140"/>
        <w:gridCol w:w="9635"/>
      </w:tblGrid>
      <w:tr>
        <w:trPr/>
        <w:tc>
          <w:tcPr>
            <w:tcW w:w="14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the Board the persons to be nominated for election as directors and to each committee of the Board;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annually reviewing our corporate governance guidelines;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management’s handling of environmental, social and governance matters of importance to the Company;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monitoring and evaluating the performance of the Board and leading the Board in an annual self-assessment of its practices and effectiveness.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has the power to investigate any matter brought to its attention within the scope of its duties and will have the authority to retain counsel and advisors to fulfill its responsibilities and duties.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may retain, at the Company’s expense, any independent counsel, experts or advisors that the committee believes to be desirable and appropriate. The committee may also use the services of the Company’s regular legal counsel or other advisors to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comprised of Halley Gilbert, Elaine V. Jones, Ph.D., and Alan Ashworth, Ph.D. Ms. Gilbert serves as the chairperson of the committee. Our Board has determined that Ms. Gilbert, Dr. Jones and Dr. Ashworth are independent directors for Nominating and Corporate Governance Committee purposes as that term is defined in the applicable rules of The Nasdaq Global Select Market. The Nominating and Corporate Governance Committee has adopted a written committee charter that satisfies the applicable standards of the SEC and Nasdaq, and which is available on our corporate website at www.cytomx.com.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reviews candidates for director nominees in the context of the current composition of the Board, our operating requirements and the long-term interests of stockholders. In conducting this assessment, the Nominating and Corporate Governance Committee values diversity of abilities, experience, perspective, education, gender, background, race and national origin, and such other factors as it deems appropriate given our current needs and those of our Board to maintain a balance of knowledge, experience and capability. Additionally, in evaluating and identifying potential nominees, the Nominating and Corporate Governance Committee evaluates skills and backgrounds which may complement those already serving, or provide additional expertise or perspective not already present on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Company has not adopted specific targets, the Nominating and Corporate Governance Committee considers the level of representation of women and other diverse candidates on our Board when making recommendations for nominees to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also periodically reviews the overall effectiveness of the Board, including Board attendance, level of participation, quality of performance, self-assessment reviews and any relationships or transactions that might impair director independence. In the case of new director candidates, the committee will also determine whether the nominee must be independent for Nasdaq purposes, which determination is based upon applicable Nasdaq listing standards, applicable SEC rules and regulations and the advice of counsel, if necessary. The committee may also use its network of contacts to compile a list of potential candidates and engage, if it deems appropriate, a professional search firm. The committee conducts any appropriate and necessary inquiries into the backgrounds and qualifications of possible candidates after considering the function and needs of the Board. The committee meets to discuss and consider such candidates’ qualifications and then selects a nominee for recommendation to the Board by majority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will consider for nomination any qualified director candidates recommended by our stockholders. Any stockholder who wishes to recommend a director candidate is directed to submit in writing the candidate’s name, biographical information, relevant qualifications and other information required by our bylaws to our Secretary at our principal executive offices before the deadline set forth in our bylaws. All written submissions received from our stockholders will be reviewed by the Nominating and Corporate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3" w:name="ny20064651x2_def14a_113-board_pg9"/>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Communications with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holder of our securities may contact the Board or a specified individual director by writing to the attention of the Board or a specified individual director and sending such communication to our Corporate Secretary at our executive offices as identified in this Proxy Statement. Each communication from a security holder should include the following information in order to permit security holder status to be confirmed and to provide an address to forward a response if deemed appropriate: </w:t>
      </w:r>
    </w:p>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mailing address, and telephone number of the security holder sending the communication. </w:t>
            </w:r>
          </w:p>
        </w:tc>
      </w:tr>
    </w:tbl>
    <w:tbl>
      <w:tblPr>
        <w:tblW w:w="5890" w:type="dxa"/>
        <w:jc w:val="left"/>
        <w:tblInd w:w="0" w:type="dxa"/>
        <w:tblLayout w:type="fixed"/>
        <w:tblCellMar>
          <w:top w:w="0" w:type="dxa"/>
          <w:left w:w="0" w:type="dxa"/>
          <w:bottom w:w="0" w:type="dxa"/>
          <w:right w:w="0" w:type="dxa"/>
        </w:tblCellMar>
      </w:tblPr>
      <w:tblGrid>
        <w:gridCol w:w="140"/>
        <w:gridCol w:w="5750"/>
      </w:tblGrid>
      <w:tr>
        <w:trPr/>
        <w:tc>
          <w:tcPr>
            <w:tcW w:w="14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type of our securities owned by such security holder.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security holder is not a record owner of our securities, the name of the record owner of our securities beneficially owned by the security holder.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Corporate Secretary will forward all appropriate communications to the Board or individual members of the Board as specified in the communication. Our Corporate Secretary may (but is not required to) review all correspondence addressed to the Board, or any individual member of the Board of Directors, for any inappropriate correspondence more suitably directed to management. The Board, a committee of the Board, or individual directors, as appropriate, will consider and review carefully any communications from stockholders forwarded by our Corporate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2025, we engaged in an effort to contact certain of our institutional stockholders to listen to their views on corporate issues, including environmental, social and governance matters. We engaged in valuable dialogue on matters of interest to those stockholders and to the Company. We intend to continue to conduct activities directed at stockholder engagement in the future and value input from our stockholders on these matters.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Changes to Nominee Recommendation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were no material changes to the procedures by which stockholders may recommend nominees to our Board in 2025.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Family Relationships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among any of our directors or executive officers.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Policies and Considerations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Insider Trading, Derivatives Trading, Hedging, and Pledging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permit our employees or directors to engage in hedging transactions with respect to Company equity securities. We have adopted an insider trading policy (the “Corporate Securities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Corporate Securities Trading Policy is filed as Exhibit 19.1 to our Annual Report on Form 10-K for the year ended December 31,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4" w:name="ny20064651x2_def14a_113-board_pg10"/>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Award Timing Policies and Practices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generally grant equity awards at regularly scheduled Board of Director or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Board of Directors or Compensation Committee before granting an equity award, the Board of Directors or Compensation Committee will consider such information and use its business judgment to determine whether to delay the grant of equity to avoid any appearance of impropriety.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stock option grants made to the named executive officers during fiscal year 2025 within the period commencing four business days prior to or the one business day following our filing of a Form 8-K on February 3, 2025, that discloses non-public information, as required under Item 4.02(x) of Regulation S-K. We did not view the information in the Form 8-K as material.</w:t>
      </w:r>
    </w:p>
    <w:tbl>
      <w:tblPr>
        <w:tblW w:w="10205" w:type="dxa"/>
        <w:jc w:val="left"/>
        <w:tblInd w:w="0" w:type="dxa"/>
        <w:tblLayout w:type="fixed"/>
        <w:tblCellMar>
          <w:top w:w="0" w:type="dxa"/>
          <w:left w:w="0" w:type="dxa"/>
          <w:bottom w:w="0" w:type="dxa"/>
          <w:right w:w="0" w:type="dxa"/>
        </w:tblCellMar>
      </w:tblPr>
      <w:tblGrid>
        <w:gridCol w:w="2184"/>
        <w:gridCol w:w="170"/>
        <w:gridCol w:w="170"/>
        <w:gridCol w:w="886"/>
        <w:gridCol w:w="170"/>
        <w:gridCol w:w="170"/>
        <w:gridCol w:w="934"/>
        <w:gridCol w:w="170"/>
        <w:gridCol w:w="170"/>
        <w:gridCol w:w="858"/>
        <w:gridCol w:w="170"/>
        <w:gridCol w:w="170"/>
        <w:gridCol w:w="889"/>
        <w:gridCol w:w="170"/>
        <w:gridCol w:w="170"/>
        <w:gridCol w:w="2754"/>
      </w:tblGrid>
      <w:tr>
        <w:trPr/>
        <w:tc>
          <w:tcPr>
            <w:tcW w:w="21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4" w:type="dxa"/>
            <w:tcBorders/>
            <w:vAlign w:val="center"/>
          </w:tcPr>
          <w:p>
            <w:pPr>
              <w:pStyle w:val="TableContents"/>
              <w:bidi w:val="0"/>
              <w:spacing w:before="0" w:after="0"/>
              <w:jc w:val="left"/>
              <w:rPr/>
            </w:pPr>
            <w:r>
              <w:rPr/>
              <w:t> </w:t>
            </w:r>
          </w:p>
        </w:tc>
      </w:tr>
      <w:tr>
        <w:trPr/>
        <w:tc>
          <w:tcPr>
            <w:tcW w:w="218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 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the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r>
              <w:rPr>
                <w:rFonts w:ascii="Times New Roman;Times;serif" w:hAnsi="Times New Roman;Times;serif"/>
                <w:b/>
                <w:color w:val="000000"/>
                <w:position w:val="5"/>
                <w:sz w:val="13"/>
                <w:sz w:val="16"/>
              </w:rPr>
              <w:t xml:space="preserve">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Change in the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Price of the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the Award Between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Trading Day Ending Immediately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the Disclosure of MNPI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Trading Day Beginning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Immediately Following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Disclosure of MNPI </w:t>
            </w:r>
          </w:p>
        </w:tc>
      </w:tr>
      <w:tr>
        <w:trPr/>
        <w:tc>
          <w:tcPr>
            <w:tcW w:w="21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6"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800,000</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$0.864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$691,200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4" w:type="dxa"/>
            <w:tcBorders/>
            <w:shd w:fill="CCEEFF" w:val="clear"/>
            <w:vAlign w:val="center"/>
          </w:tcPr>
          <w:p>
            <w:pPr>
              <w:pStyle w:val="TableContents"/>
              <w:bidi w:val="0"/>
              <w:spacing w:before="0" w:after="283"/>
              <w:ind w:left="1187"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21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390,000</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$0.864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$336,960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4" w:type="dxa"/>
            <w:tcBorders/>
            <w:vAlign w:val="center"/>
          </w:tcPr>
          <w:p>
            <w:pPr>
              <w:pStyle w:val="TableContents"/>
              <w:bidi w:val="0"/>
              <w:spacing w:before="0" w:after="283"/>
              <w:ind w:left="1187"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21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Ogden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6"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225,000</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$0.864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$194,400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4" w:type="dxa"/>
            <w:tcBorders/>
            <w:shd w:fill="CCEEFF" w:val="clear"/>
            <w:vAlign w:val="center"/>
          </w:tcPr>
          <w:p>
            <w:pPr>
              <w:pStyle w:val="TableContents"/>
              <w:bidi w:val="0"/>
              <w:spacing w:before="0" w:after="283"/>
              <w:ind w:left="1187"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21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Ogden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340,000</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$0.864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$293,760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4" w:type="dxa"/>
            <w:tcBorders/>
            <w:vAlign w:val="center"/>
          </w:tcPr>
          <w:p>
            <w:pPr>
              <w:pStyle w:val="TableContents"/>
              <w:bidi w:val="0"/>
              <w:spacing w:before="0" w:after="283"/>
              <w:ind w:left="1187"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21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4"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stock options that vest as to 1/48th of the shares underlying the option on each monthly anniversary of the vesting commencement date, such that 100% of the shares subject to the option will be fully vested and exercisable on the fourth anniversary of the vesting commencement date, subject to the executive’s continued service through each such date.</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stock options that vest as to 1/24th of the shares underlying the option on each monthly anniversary of the vesting commencement date, such that 100% of the shares subject to the option will be fully vested and exercisable on the second anniversary of the vesting commencement date, subject to the executive’s continued service through each such date.</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reflect the grant date fair value of option awards granted to the named executive officers. The grant date fair values have been determined in accordance with FASB ASC Topic 718. For a discussion of the assumptions and methodologies used to calculate these amounts, please see the discussion of option awards contained in the Stock-based Compensation sub-section under Note 13 to our financial statements included in our annual report on Form 10-K for the year ended December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65" w:name="ny20064651x2_def14a_114-director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DC"/>
      <w:bookmarkEnd w:id="66"/>
      <w:r>
        <w:rPr>
          <w:rFonts w:ascii="Times New Roman;Times;serif" w:hAnsi="Times New Roman;Times;serif"/>
          <w:b/>
          <w:color w:val="000000"/>
          <w:sz w:val="20"/>
        </w:rPr>
        <w:t xml:space="preserve">DIRECTOR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Table—Year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regarding the compensation paid to members of our Board, except for Sean A. McCarthy, D. Phil., who is also our Chief Executive Officer and Chairman of the Board. The compensation paid to Mr. McCarthy is set forth in the section titled “Executive Compensation Summary” in this Proxy Statement. Dr. McCarthy was not entitled to receive additional compensation for his service as a director or chairman. </w:t>
      </w:r>
    </w:p>
    <w:tbl>
      <w:tblPr>
        <w:tblW w:w="6245" w:type="dxa"/>
        <w:jc w:val="left"/>
        <w:tblInd w:w="0" w:type="dxa"/>
        <w:tblLayout w:type="fixed"/>
        <w:tblCellMar>
          <w:top w:w="0" w:type="dxa"/>
          <w:left w:w="0" w:type="dxa"/>
          <w:bottom w:w="0" w:type="dxa"/>
          <w:right w:w="0" w:type="dxa"/>
        </w:tblCellMar>
      </w:tblPr>
      <w:tblGrid>
        <w:gridCol w:w="1910"/>
        <w:gridCol w:w="170"/>
        <w:gridCol w:w="170"/>
        <w:gridCol w:w="1160"/>
        <w:gridCol w:w="170"/>
        <w:gridCol w:w="170"/>
        <w:gridCol w:w="1340"/>
        <w:gridCol w:w="170"/>
        <w:gridCol w:w="170"/>
        <w:gridCol w:w="815"/>
      </w:tblGrid>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Mani Mohindru,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49,000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87,514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136,514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P. Young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87,514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167,514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R. Meyers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52,000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87,514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139,514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Elaine V. Jones,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87,514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137,514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Halley Gilbert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55,500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87,514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143,014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Ashworth,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44,000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87,514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131,514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Zhen Su, M.D., M.B.A.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44,700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87,514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139,014</w:t>
            </w:r>
          </w:p>
        </w:tc>
      </w:tr>
      <w:tr>
        <w:trPr/>
        <w:tc>
          <w:tcPr>
            <w:tcW w:w="19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Pursuant to applicable SEC executive compensation disclosure rules, the amounts reported in this column reflect the grant date fair value of an option to purchase 38,000 shares of our common stock granted on June 11, 2025 to each director named above, calculated in accordance with Accounting Standards Board Accounting Standards Codification Topic 718, Compensation—Stock Compensation (“FASB ASC Topic 718”). For a discussion of the assumptions and methodologies used to calculate these amounts, please see the discussion of option awards contained in the Stock-based Compensation sub-section under Note 13 to our financial statements included in our annual report on Form 10-K for the year ended December 31, 2025. As of December 31, 2025, our non-employee directors held outstanding options to purchase shares of our common stock as follows: Dr. Mohindru, 186,000; Mr. Young, 222,000; Mr. Meyers, 208,000; Dr. Jones, 208,000; Ms. Gilbert, 206,000; Dr. Ashworth, 166,000; and Dr. Su, 152,000. Other than these options, none of our existing non-employee directors held any other equity awards in the Company on that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67" w:name="ny20064651x2_def14a_114-director_pg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2025, our Board members were compensated pursuant to our non-employee director compensation program, which provides for cash and equity-based compensation for service on the Board and its committees. Under the program, our non-employee directors receive the following cash compensation for their service on the Board and its committees: </w:t>
      </w:r>
    </w:p>
    <w:tbl>
      <w:tblPr>
        <w:tblW w:w="5900" w:type="dxa"/>
        <w:jc w:val="left"/>
        <w:tblInd w:w="0" w:type="dxa"/>
        <w:tblLayout w:type="fixed"/>
        <w:tblCellMar>
          <w:top w:w="0" w:type="dxa"/>
          <w:left w:w="0" w:type="dxa"/>
          <w:bottom w:w="0" w:type="dxa"/>
          <w:right w:w="0" w:type="dxa"/>
        </w:tblCellMar>
      </w:tblPr>
      <w:tblGrid>
        <w:gridCol w:w="4745"/>
        <w:gridCol w:w="170"/>
        <w:gridCol w:w="170"/>
        <w:gridCol w:w="815"/>
      </w:tblGrid>
      <w:tr>
        <w:trPr/>
        <w:tc>
          <w:tcPr>
            <w:tcW w:w="47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Retainer for Board Membership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Retainer 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Chairperson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Chairperson of the 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 of the Audit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Chairperson of the 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$12,000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 of the Compensation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6,000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Chairperson of the Nominating &amp; Governance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8,000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 of the Nominating &amp; Governance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4,000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Lead Independent Director</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r>
      <w:tr>
        <w:trPr/>
        <w:tc>
          <w:tcPr>
            <w:tcW w:w="4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6760" w:type="dxa"/>
        <w:jc w:val="left"/>
        <w:tblInd w:w="0" w:type="dxa"/>
        <w:tblLayout w:type="fixed"/>
        <w:tblCellMar>
          <w:top w:w="0" w:type="dxa"/>
          <w:left w:w="0" w:type="dxa"/>
          <w:bottom w:w="0" w:type="dxa"/>
          <w:right w:w="0" w:type="dxa"/>
        </w:tblCellMar>
      </w:tblPr>
      <w:tblGrid>
        <w:gridCol w:w="260"/>
        <w:gridCol w:w="65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5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Young was reappointed as the Lead Independent Director of our Board in March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the annual non-employee director cash compensation was paid quarterly in arrears. Under the program, non-employee directors also receive reimbursement for out-of-pocket expenses incurred in connection with attendance at meetings of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our non-employee director stock option program, new non-employee members of the Board are automatically granted an initial option to purchase 76,000 shares of our common stock on the date such person first becomes a non-employee director. The initial grant will vest with respect to 1/36</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of the shares subject to the option on each monthly anniversary measured from the grant date, such that 100% of the shares subject to the option will be fully vested and exercisable on the third anniversary of the grant date, subject to the director’s continued service to us through the applicable vesting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date of each annual meeting of our stockholders, each non-employee director (other than any director receiving an initial grant on the date of such annual meeting) who is then serving as a non-employee director and who will continue as a non-employee director following the date of such annual meeting will automatically be granted an option to purchase 38,000 shares of our common stock. This annual grant will vest in full on the earlier of: (i) the date of the next annual meeting of our stockholders or (ii) the first anniversary of the date of grant, subject to the director’s continuous service to us through the applicable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exercise price of all stock option grants is equal to the closing price of CytomX common stock as reported by the Nasdaq on the date of grant. In addition, upon a change in control, the vesting of all equity awards held by our non-employee directors will accelerate in full.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68" w:name="ny20064651x2_def14a_115-executive_pg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EOS"/>
      <w:bookmarkEnd w:id="69"/>
      <w:r>
        <w:rPr>
          <w:rFonts w:ascii="Times New Roman;Times;serif" w:hAnsi="Times New Roman;Times;serif"/>
          <w:b/>
          <w:color w:val="000000"/>
          <w:sz w:val="20"/>
        </w:rPr>
        <w:t xml:space="preserve">EXECUTIVE OFFICERS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sets forth information about our executive officers as of March 31, 2026. </w:t>
      </w:r>
    </w:p>
    <w:tbl>
      <w:tblPr>
        <w:tblW w:w="7790" w:type="dxa"/>
        <w:jc w:val="left"/>
        <w:tblInd w:w="0" w:type="dxa"/>
        <w:tblLayout w:type="fixed"/>
        <w:tblCellMar>
          <w:top w:w="0" w:type="dxa"/>
          <w:left w:w="0" w:type="dxa"/>
          <w:bottom w:w="0" w:type="dxa"/>
          <w:right w:w="0" w:type="dxa"/>
        </w:tblCellMar>
      </w:tblPr>
      <w:tblGrid>
        <w:gridCol w:w="2480"/>
        <w:gridCol w:w="170"/>
        <w:gridCol w:w="170"/>
        <w:gridCol w:w="4205"/>
        <w:gridCol w:w="170"/>
        <w:gridCol w:w="170"/>
        <w:gridCol w:w="425"/>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4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Chairman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(Chris) W. Ogden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Marcia P. Belvin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Chief Scientific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Yu-Waye (Wayne) Chu,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Rachael Lester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Chief Business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r>
      <w:tr>
        <w:trPr/>
        <w:tc>
          <w:tcPr>
            <w:tcW w:w="24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biographical information as of March 31, 2026 for our executive officers. For Dr. McCarthy’s biographical information, see ‘Board of Directors and Corporate Governance’ above.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Chris Ogden, </w:t>
      </w:r>
      <w:r>
        <w:rPr>
          <w:rFonts w:ascii="Times New Roman;Times;serif" w:hAnsi="Times New Roman;Times;serif"/>
          <w:b/>
          <w:i/>
          <w:color w:val="000000"/>
          <w:sz w:val="20"/>
        </w:rPr>
        <w:t>Senior Vice President, Chief Financial Officer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Ogden joined CytomX in August 2021 as Vice President, Finance and Accounting. In June 2024, Mr. Ogden was promoted to Senior Vice President and Chief Financial Officer of the Company. Prior to this, Mr. Ogden served as the Chief Financial Officer of the Lilly Diabetes division at Eli Lilly and Company (“Eli Lilly”) from May 2021 to August 2021. While at Eli Lilly, Mr. Ogden also held the positions of Senior Director, Chief Financial Officer and Treasurer of Lilly del Caribe, from April 2018 to May 2021, the Director of Investor Relations from June 2016 to April 2018, and the Financial Director of the U.S. Diabetes division, from January 2014 to May 2016. Mr. Ogden received his B.A. in economics from Wabash College and his M.B.A. from Harvard Business School.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Marcia P. Belvin Ph.D., </w:t>
      </w:r>
      <w:r>
        <w:rPr>
          <w:rFonts w:ascii="Times New Roman;Times;serif" w:hAnsi="Times New Roman;Times;serif"/>
          <w:b/>
          <w:i/>
          <w:color w:val="000000"/>
          <w:sz w:val="20"/>
        </w:rPr>
        <w:t>Senior Vice President, Chief Scientific Officer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Belvin joined CytomX in April 2018 as our Vice President of Research Oncology and currently serves as our Senior Vice President and Chief Scientific Officer, a position she has held since April 2022. Dr. Belvin has also served as our Head of Research since April 2020. Prior to her time at CytomX, Dr. Belvin held roles of increasing responsibility at Genentech, a publicly-traded biopharmaceutical company, where, from 2004 to 2018, she led multiple preclinical pipeline teams and oversaw programs in cancer signaling, cancer metabolism, and cancer immunology. Dr. Belvin began her career at Exelixis, a publicly-traded biopharmaceutical company, where she served as Senior Scientist from 1999 to 2004 and managed teams responsible for preclinical pipeline discovery within the oncology and inflammation portfolios. Dr. Belvin received her B.A. degree from Harvard University and her Ph.D. from the University of California, Berkeley. Dr. Belvin also trained at the Dana-Farber Cancer Institute and Cold Spring Harbor Laboratory.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Wayne Chu, M.D., </w:t>
      </w:r>
      <w:r>
        <w:rPr>
          <w:rFonts w:ascii="Times New Roman;Times;serif" w:hAnsi="Times New Roman;Times;serif"/>
          <w:b/>
          <w:i/>
          <w:color w:val="000000"/>
          <w:sz w:val="20"/>
        </w:rPr>
        <w:t>Senior Vice President, Chief Medical Officer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Chu joined CytomX in July 2023 as Senior Vice President, Chief Medical Officer. Prior to joining CytomX, Dr. Chu held various leadership positions in the clinical development group at Fate Therapeutics (“Fate”), a publicly-traded biopharmaceutical company, between April 2019 and February 2022, and was promoted to Chief Medical Officer of Fate in February 2022, a position he held up to July 2023. Prior to his tenure at Fate, Dr. Chu held various positions at Genentech, a publicly-traded biopharmaceutical company, with his last position served being Associate Group Medical Director for Product Development Oncology, from December 2017 to April 2019. Dr. Chu received his B.A. in Molecular Biology from Princeton University and his M.D. from the University of Rochester School of Medicine and Dentistry.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Rachael Lester, </w:t>
      </w:r>
      <w:r>
        <w:rPr>
          <w:rFonts w:ascii="Times New Roman;Times;serif" w:hAnsi="Times New Roman;Times;serif"/>
          <w:b/>
          <w:i/>
          <w:color w:val="000000"/>
          <w:sz w:val="20"/>
        </w:rPr>
        <w:t>Senior Vice President, Chief Business Officer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Lester joined CytomX in October 2025 as Senior Vice President, Chief Business Officer. Prior to joining CytomX, Ms. Lester was Chief Business Officer at Replicate Bioscience, a biopharmaceutical corporation, from July 2023 to August 2025. Prior to joining Replicate, Ms. Lester worked at Harpoon Therapeutics, a T cell engager platform company that was later acquired by Merck, where she served as VP of Corporate Development from September 2017 to July 2021 and then SVP of Business Development and Corporate Strategy from July 2021 to July 2023. Previously, Ms. Lester held senior roles in corporate strategy, portfolio management, and commercialization at Bruin Biometrics from September 2014 to September 2017 and Onyx Pharmaceuticals, now an Amgen subsidiary, from June 2012 to August 2014. Earlier in her career, she worked in Deloitte and Booz Allen Hamilton’s life sciences consulting practices, where she advised on multi-billion-dollar M&amp;A transactions, new product planning and strategic growth initiatives. Ms. Lester received her M.B.A. from the Kellogg School of Management at Northwestern University and her B.A. in Biological Basis of Behavior from University of Pennsylvania.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70" w:name="ny20064651x2_def14a_115-executive_pg2"/>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EC"/>
      <w:bookmarkEnd w:id="71"/>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section discusses the material components of the executive compensation program for our executive officers who are named in the “Summary Compensation Table”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“smaller reporting company” as defined in Item 10(f), we are not required to include a Compensation Discussion and Analysis section and have elected to comply with the scaled disclosure requirements applicable to smaller reporting companies.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named executive officers (“NEOs” or “Named Executive Officers”) for 2025 are as follows: </w:t>
      </w:r>
    </w:p>
    <w:tbl>
      <w:tblPr>
        <w:tblW w:w="6665" w:type="dxa"/>
        <w:jc w:val="left"/>
        <w:tblInd w:w="0" w:type="dxa"/>
        <w:tblLayout w:type="fixed"/>
        <w:tblCellMar>
          <w:top w:w="0" w:type="dxa"/>
          <w:left w:w="0" w:type="dxa"/>
          <w:bottom w:w="0" w:type="dxa"/>
          <w:right w:w="0" w:type="dxa"/>
        </w:tblCellMar>
      </w:tblPr>
      <w:tblGrid>
        <w:gridCol w:w="2240"/>
        <w:gridCol w:w="170"/>
        <w:gridCol w:w="170"/>
        <w:gridCol w:w="4085"/>
      </w:tblGrid>
      <w:tr>
        <w:trPr/>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0"/>
              <w:jc w:val="left"/>
              <w:rPr/>
            </w:pPr>
            <w:r>
              <w:rPr/>
              <w:t> </w:t>
            </w:r>
          </w:p>
        </w:tc>
      </w:tr>
      <w:tr>
        <w:trPr/>
        <w:tc>
          <w:tcPr>
            <w:tcW w:w="22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Chairman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Ogden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 Vice President, Chief Financial Officer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Rachael Lester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 Vice President, Chief Business Officer</w:t>
            </w:r>
          </w:p>
        </w:tc>
      </w:tr>
      <w:tr>
        <w:trPr/>
        <w:tc>
          <w:tcPr>
            <w:tcW w:w="22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08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Elements of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Committee’s objective is to have compensation programs and practices that are competitive with our peers and industry through a mix of cash (base salary and annual, performance-based cash incentive bonuses) and long-term incentives (equity awards).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reviewed our NEOs’ base salaries referencing relevant compensation survey data from Aon (including peer company data), as well as taking into account our Chief Executive Officer’s assessment of individual executive performance (except with respect to his own salary). For 2025, Dr. McCarthy’s, Mr. Ogden’s and Ms. Lester’s annual base salary was $675,290, $478,650 and $445,000, respectively.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Performance-Based Cash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annual cash incentive program is designed to reward all employees, including our NEOs, for the achievement of the Company’s annual corporate goals, as well as individual performance against annual individual goals. We believe that annual incentives hold executives accountable, reward executives based on actual business results and help create a “pay for performance” culture. There are no minimum or guaranteed bonus payments for employees, including the NEOs.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our cash incentive program, every employee, including each NEO, has an established annual performance-based incentive target, which is equal to a percentage of the employee’s base salary. This percentage increases as levels of responsibility increase.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2025, Dr. McCarthy, Mr. Ogden and Ms. Lester had a target bonus opportunity of 60%, 40% and 40% of annual base salary, respectively. Each NEO’s target bonus opportunity could be earned based on the achievement of certain corporate and individual performance goals, as approved by our Board or Compensation Committee. Our Board and Compensation Committee retain the discretion to modify performance goals or to increase or reduce amounts payable upon achievement of performance goals. In December 2025, our Compensation Committee determined that corporate goals had been achieved at 135% of target and awarded bonuses to Dr. McCarthy, Mr. Ogden and Ms. Lester at 135%, 152% and 125% (Ms. Lester’s bonus payout was prorated on account of her October 20, 2025 start date) respectively, of the NEO’s target bonus opportunity.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in May 2025, our Compensation Committee approved the achievement of certain milestone awards that had been granted to Dr. McCarthy and Mr. Ogden in January 2025 that entitled them to earn a one-time bonus payment in the amount of $202,587 and $95,730, respectively.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equity awards to executives (as well as non-executive employees) were comprised of stock option grants, restricted share units, or RSUs, and performance stock units, or PSUs, under our Amended and Restated 2015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72" w:name="ny20064651x2_def14a_115-executive_pg3"/>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CytomX’s standard vesting schedule for the first stock option grant awarded to newly hired employees, including executive officers, provides that 25% of the shares granted will vest on the first anniversary of the commencement of employment, with the balance vesting in equal monthly installments over the subsequent thirty-six (36) months, until option shares are fully vested, subject to the individual’s continued service to us through the applicable vesting date. For RSUs that are granted to a newly hired employee, the grant of RSUs occurs when the new employee starts his or her employment and 25% of the shares will vest 12 months from the first June 15 or October 15 following the new employee’s start date, with the balance of the shares (75%) to vest an annual basis over the subsequent three years of their employment, subject to the individual’s continued service to us through each applicable vesting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annual option grants made after an employee, including an executive officer, has provided services to the Company generally vest monthly from the date of grant over four years, subject to the individual’s continued service to us through the applicable vesting date. Additional annual RSU grants to employees will generally vest 33.3% on an annual basis over the next three years of their employment, subject to the individual’s continued service to us through the applicable vesting date. The vesting schedule for the PSUs awarded to executives provide that PSUs granted will vest upon achievement of certain specific Company objectives, which may include development, research or financial objectives, subject to continued service through the applicable vesting date.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granted our NEOs the following equity awards in 2025. </w:t>
      </w:r>
    </w:p>
    <w:tbl>
      <w:tblPr>
        <w:tblW w:w="7025" w:type="dxa"/>
        <w:jc w:val="left"/>
        <w:tblInd w:w="0" w:type="dxa"/>
        <w:tblLayout w:type="fixed"/>
        <w:tblCellMar>
          <w:top w:w="0" w:type="dxa"/>
          <w:left w:w="0" w:type="dxa"/>
          <w:bottom w:w="0" w:type="dxa"/>
          <w:right w:w="0" w:type="dxa"/>
        </w:tblCellMar>
      </w:tblPr>
      <w:tblGrid>
        <w:gridCol w:w="2240"/>
        <w:gridCol w:w="170"/>
        <w:gridCol w:w="170"/>
        <w:gridCol w:w="725"/>
        <w:gridCol w:w="170"/>
        <w:gridCol w:w="170"/>
        <w:gridCol w:w="725"/>
        <w:gridCol w:w="170"/>
        <w:gridCol w:w="170"/>
        <w:gridCol w:w="2315"/>
      </w:tblGrid>
      <w:tr>
        <w:trPr/>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2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underlying Options (#)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0"/>
              <w:jc w:val="center"/>
              <w:rPr>
                <w:color w:val="000000"/>
              </w:rPr>
            </w:pPr>
            <w:r>
              <w:rPr>
                <w:color w:val="000000"/>
              </w:rPr>
              <w:t> </w:t>
            </w:r>
          </w:p>
        </w:tc>
      </w:tr>
      <w:tr>
        <w:trPr/>
        <w:tc>
          <w:tcPr>
            <w:tcW w:w="22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February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6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1,190,000 </w:t>
            </w:r>
          </w:p>
        </w:tc>
      </w:tr>
      <w:tr>
        <w:trPr/>
        <w:tc>
          <w:tcPr>
            <w:tcW w:w="22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September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ind w:left="627" w:right="0" w:hanging="0"/>
              <w:jc w:val="left"/>
              <w:rPr>
                <w:rFonts w:ascii="Times New Roman;Times;serif" w:hAnsi="Times New Roman;Times;serif"/>
                <w:color w:val="000000"/>
                <w:sz w:val="20"/>
              </w:rPr>
            </w:pPr>
            <w:r>
              <w:rPr>
                <w:rFonts w:ascii="Times New Roman;Times;serif" w:hAnsi="Times New Roman;Times;serif"/>
                <w:color w:val="000000"/>
                <w:sz w:val="20"/>
              </w:rPr>
              <w:t>570,000</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Ogden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center"/>
              <w:rPr>
                <w:color w:val="000000"/>
              </w:rPr>
            </w:pPr>
            <w:r>
              <w:rPr>
                <w:color w:val="000000"/>
              </w:rPr>
              <w:t> </w:t>
            </w:r>
          </w:p>
        </w:tc>
      </w:tr>
      <w:tr>
        <w:trPr/>
        <w:tc>
          <w:tcPr>
            <w:tcW w:w="22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February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ind w:left="6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340,000 </w:t>
            </w:r>
          </w:p>
        </w:tc>
      </w:tr>
      <w:tr>
        <w:trPr/>
        <w:tc>
          <w:tcPr>
            <w:tcW w:w="22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September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627" w:right="0" w:hanging="0"/>
              <w:jc w:val="left"/>
              <w:rPr>
                <w:rFonts w:ascii="Times New Roman;Times;serif" w:hAnsi="Times New Roman;Times;serif"/>
                <w:color w:val="000000"/>
                <w:sz w:val="20"/>
              </w:rPr>
            </w:pPr>
            <w:r>
              <w:rPr>
                <w:rFonts w:ascii="Times New Roman;Times;serif" w:hAnsi="Times New Roman;Times;serif"/>
                <w:color w:val="000000"/>
                <w:sz w:val="20"/>
              </w:rPr>
              <w:t>78,250</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Rachael Lester</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0"/>
              <w:jc w:val="center"/>
              <w:rPr>
                <w:color w:val="000000"/>
              </w:rPr>
            </w:pPr>
            <w:r>
              <w:rPr>
                <w:color w:val="000000"/>
              </w:rPr>
              <w:t> </w:t>
            </w:r>
          </w:p>
        </w:tc>
      </w:tr>
      <w:tr>
        <w:trPr/>
        <w:tc>
          <w:tcPr>
            <w:tcW w:w="22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October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627"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r>
      <w:tr>
        <w:trPr/>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tbl>
      <w:tblPr>
        <w:tblW w:w="7795" w:type="dxa"/>
        <w:jc w:val="left"/>
        <w:tblInd w:w="0" w:type="dxa"/>
        <w:tblLayout w:type="fixed"/>
        <w:tblCellMar>
          <w:top w:w="0" w:type="dxa"/>
          <w:left w:w="0" w:type="dxa"/>
          <w:bottom w:w="0" w:type="dxa"/>
          <w:right w:w="0" w:type="dxa"/>
        </w:tblCellMar>
      </w:tblPr>
      <w:tblGrid>
        <w:gridCol w:w="260"/>
        <w:gridCol w:w="75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Due to Ms. Lester’s start date of October 20, 2025, she was not eligible to receive the RSU and PSU grants.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our equity grant practices, the exercise price for these stock option grants was equal to the closing price of our common stock as reported by the Nasdaq Global Select Market on the date of grant and the vesting schedule is as described above for new-hire and subsequent grants.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Compensation Policies, Practices, and Perquisites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Severance and Change in Control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NEOs are entitled to certain severance and change in control benefits under the terms of their severance and change of control agreements, as may have been amended and restated, and our equity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McCarthy’s severance and change of control agreement provides for: (i) 18 months of salary, pro-rated annual target bonus and 18 months of COBRA premiums in the event of a termination of employment by us without cause or by Dr. McCarthy for good reason outside of the 60 days prior to or 12 months following a change in control and (ii) 24 months of salary, 24 months of annual target bonus, 24 months of COBRA premiums and full acceleration of outstanding equity awards in the event of a termination of employment by us without cause or by Dr. McCarthy for good reason within 60 days prior to or 12 months following a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other NEOs, the severance and change of control agreements provide for: (i) 12 months of base salary, prorated annual target bonus and 12 months of COBRA premiums in the event of a termination of employment by us without cause or by the NEO for good reason outside of the 60 days prior to or 12 months following a change in control and (ii) 12 months of base salary, annual target bonus, and 12 months of COBRA premiums and full acceleration of outstanding equity awards in the event of a termination of employment by us without cause or by the NEO for good reason within 60 days prior to or 12 months following a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73" w:name="ny20064651x2_def14a_115-executive_pg4"/>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Broad-Based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offer a comprehensive array of benefits to our employees, including our NEOs, who are eligible to participate on the same terms as other employees. Benefit programs include a variety of health insurance plans, 401(k) plan with Company matching contributions at Board-approved levels, employee stock purchase plan and term life insurance. These benefits are offered to all employees, including executive officers, in order to attract and retain employees. We do not offer defined benefit pension or other supplementary retirement benefits to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74" w:name="ny20064651x2_def14a_116-sumcomp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ECTS"/>
      <w:bookmarkEnd w:id="75"/>
      <w:r>
        <w:rPr>
          <w:rFonts w:ascii="Times New Roman;Times;serif" w:hAnsi="Times New Roman;Times;serif"/>
          <w:b/>
          <w:color w:val="000000"/>
          <w:sz w:val="20"/>
        </w:rPr>
        <w:t xml:space="preserve">EXECUTIVE COMPENSATION TABLES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summary of compensation paid to our named executive officers for the years ended December 31, 2025 and 2024. </w:t>
      </w:r>
    </w:p>
    <w:tbl>
      <w:tblPr>
        <w:tblW w:w="10385" w:type="dxa"/>
        <w:jc w:val="left"/>
        <w:tblInd w:w="0" w:type="dxa"/>
        <w:tblLayout w:type="fixed"/>
        <w:tblCellMar>
          <w:top w:w="0" w:type="dxa"/>
          <w:left w:w="0" w:type="dxa"/>
          <w:bottom w:w="0" w:type="dxa"/>
          <w:right w:w="0" w:type="dxa"/>
        </w:tblCellMar>
      </w:tblPr>
      <w:tblGrid>
        <w:gridCol w:w="935"/>
        <w:gridCol w:w="170"/>
        <w:gridCol w:w="170"/>
        <w:gridCol w:w="470"/>
        <w:gridCol w:w="170"/>
        <w:gridCol w:w="170"/>
        <w:gridCol w:w="725"/>
        <w:gridCol w:w="170"/>
        <w:gridCol w:w="170"/>
        <w:gridCol w:w="785"/>
        <w:gridCol w:w="170"/>
        <w:gridCol w:w="170"/>
        <w:gridCol w:w="875"/>
        <w:gridCol w:w="170"/>
        <w:gridCol w:w="170"/>
        <w:gridCol w:w="875"/>
        <w:gridCol w:w="170"/>
        <w:gridCol w:w="170"/>
        <w:gridCol w:w="1040"/>
        <w:gridCol w:w="170"/>
        <w:gridCol w:w="170"/>
        <w:gridCol w:w="1040"/>
        <w:gridCol w:w="170"/>
        <w:gridCol w:w="170"/>
        <w:gridCol w:w="920"/>
      </w:tblGrid>
      <w:tr>
        <w:trPr/>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9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9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A. McCarthy, D. Phil.</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Chairman of the Board of Directors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675,290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1,150,463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2,158,170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749,572</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4,738,495</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675,290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484,512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1,752,802 </w:t>
            </w:r>
          </w:p>
        </w:tc>
      </w:tr>
      <w:tr>
        <w:trPr/>
        <w:tc>
          <w:tcPr>
            <w:tcW w:w="93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4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sz w:val="4"/>
                <w:szCs w:val="4"/>
              </w:rPr>
            </w:pPr>
            <w:r>
              <w:rPr>
                <w:sz w:val="4"/>
                <w:szCs w:val="4"/>
              </w:rPr>
            </w:r>
          </w:p>
        </w:tc>
      </w:tr>
      <w:tr>
        <w:trPr/>
        <w:tc>
          <w:tcPr>
            <w:tcW w:w="9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Ogden</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446,369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387,684</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1,542,631</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424,652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265,352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914,279 </w:t>
            </w:r>
          </w:p>
        </w:tc>
      </w:tr>
      <w:tr>
        <w:trPr/>
        <w:tc>
          <w:tcPr>
            <w:tcW w:w="93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4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sz w:val="4"/>
                <w:szCs w:val="4"/>
              </w:rPr>
            </w:pPr>
            <w:r>
              <w:rPr>
                <w:sz w:val="4"/>
                <w:szCs w:val="4"/>
              </w:rPr>
            </w:r>
          </w:p>
        </w:tc>
      </w:tr>
      <w:tr>
        <w:trPr/>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Rachael Lester</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Business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1,993,355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44,500</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4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2,234,874</w:t>
            </w:r>
          </w:p>
        </w:tc>
      </w:tr>
      <w:tr>
        <w:trPr/>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reflect the grant date fair value of restricted share units and performance stock units granted to the named executive officers. The grant date fair values have been determined in accordance with FASB ASC Topic 718, and amounts reported for performance stock units assume achievement of performance goals at maximum. For a discussion of the assumptions and methodologies used to calculate these amounts, please see the discussion of restricted share unit and performance stock unit awards contained in the Stock-based Compensation sub-section under Note 13 to our financial statements included in our annual report on Form 10-K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reflect the grant date fair value of option awards granted to the named executive officers. The grant date fair values have been determined in accordance with FASB ASC Topic 718. For the 2025 option grants, and a discussion of the assumptions and methodologies used to calculate these amounts, please see the discussion of option awards contained in the Stock-based Compensation sub-section under Note 13 to our financial statements included in our annual report on Form 10-K for the year ended December 31, 2025. </w:t>
            </w:r>
          </w:p>
        </w:tc>
      </w:tr>
    </w:tbl>
    <w:tbl>
      <w:tblPr>
        <w:tblW w:w="4840" w:type="dxa"/>
        <w:jc w:val="left"/>
        <w:tblInd w:w="0" w:type="dxa"/>
        <w:tblLayout w:type="fixed"/>
        <w:tblCellMar>
          <w:top w:w="0" w:type="dxa"/>
          <w:left w:w="0" w:type="dxa"/>
          <w:bottom w:w="0" w:type="dxa"/>
          <w:right w:w="0" w:type="dxa"/>
        </w:tblCellMar>
      </w:tblPr>
      <w:tblGrid>
        <w:gridCol w:w="260"/>
        <w:gridCol w:w="45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constitute 401(k) matching contributions.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amount represents the total of: (a) a one-time bonus in the amount of $202,587 earned by Dr. McCarthy in May 2025 on the basis of satisfying certain conditions under a milestone award granted in January 2025, and (b) Dr. McCarthy’s performance-based bonus of $546,895 for his 2025 performance under our annual cash incentive program.</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amount represents the total of: (a) a one-time bonus in the amount of $95,730 earned by Mr. Ogden in May 2025 on the basis of satisfying certain conditions under a milestone award granted in January 2025, and (b) Mr. Ogden’s performance-based bonus of $291,954 for his 2025 performance under our annual cash incentive program.</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4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amount represents Ms. Lester’s signing bonus in connection with the commencement of her employment with the Company in October 2025.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 in this column represents Ms. Lester’s prorated performance-based bonus of $44,500 for her 2025 performance under our annual cash incentive program.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76" w:name="ny20064651x2_def14a_116-sumcomp_pg2"/>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Outstanding Equity Awards at December 31, 2025 </w:t>
      </w:r>
    </w:p>
    <w:p>
      <w:pPr>
        <w:pStyle w:val="TextBody"/>
        <w:bidi w:val="0"/>
        <w:spacing w:before="120" w:after="283"/>
        <w:ind w:left="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regarding the outstanding stock options, PSUs and RSUs held by each of the named executive officers as of December 31, 2025. </w:t>
      </w:r>
    </w:p>
    <w:tbl>
      <w:tblPr>
        <w:tblW w:w="11795" w:type="dxa"/>
        <w:jc w:val="left"/>
        <w:tblInd w:w="0" w:type="dxa"/>
        <w:tblLayout w:type="fixed"/>
        <w:tblCellMar>
          <w:top w:w="0" w:type="dxa"/>
          <w:left w:w="0" w:type="dxa"/>
          <w:bottom w:w="0" w:type="dxa"/>
          <w:right w:w="0" w:type="dxa"/>
        </w:tblCellMar>
      </w:tblPr>
      <w:tblGrid>
        <w:gridCol w:w="635"/>
        <w:gridCol w:w="170"/>
        <w:gridCol w:w="170"/>
        <w:gridCol w:w="410"/>
        <w:gridCol w:w="170"/>
        <w:gridCol w:w="170"/>
        <w:gridCol w:w="965"/>
        <w:gridCol w:w="170"/>
        <w:gridCol w:w="170"/>
        <w:gridCol w:w="770"/>
        <w:gridCol w:w="170"/>
        <w:gridCol w:w="170"/>
        <w:gridCol w:w="890"/>
        <w:gridCol w:w="170"/>
        <w:gridCol w:w="170"/>
        <w:gridCol w:w="770"/>
        <w:gridCol w:w="170"/>
        <w:gridCol w:w="170"/>
        <w:gridCol w:w="560"/>
        <w:gridCol w:w="170"/>
        <w:gridCol w:w="170"/>
        <w:gridCol w:w="710"/>
        <w:gridCol w:w="170"/>
        <w:gridCol w:w="170"/>
        <w:gridCol w:w="530"/>
        <w:gridCol w:w="170"/>
        <w:gridCol w:w="170"/>
        <w:gridCol w:w="530"/>
        <w:gridCol w:w="170"/>
        <w:gridCol w:w="170"/>
        <w:gridCol w:w="605"/>
        <w:gridCol w:w="170"/>
        <w:gridCol w:w="170"/>
        <w:gridCol w:w="680"/>
      </w:tblGrid>
      <w:tr>
        <w:trPr/>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15" w:type="dxa"/>
            <w:gridSpan w:val="19"/>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5" w:type="dxa"/>
            <w:gridSpan w:val="10"/>
            <w:tcBorders/>
            <w:vAlign w:val="center"/>
          </w:tcPr>
          <w:p>
            <w:pPr>
              <w:pStyle w:val="TableContents"/>
              <w:bidi w:val="0"/>
              <w:spacing w:before="0" w:after="0"/>
              <w:jc w:val="left"/>
              <w:rPr/>
            </w:pPr>
            <w:r>
              <w:rPr/>
              <w:t> </w:t>
            </w:r>
          </w:p>
        </w:tc>
      </w:tr>
      <w:tr>
        <w:trPr/>
        <w:tc>
          <w:tcPr>
            <w:tcW w:w="6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15" w:type="dxa"/>
            <w:gridSpan w:val="19"/>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5" w:type="dxa"/>
            <w:gridSpan w:val="10"/>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awards </w:t>
            </w:r>
          </w:p>
        </w:tc>
      </w:tr>
      <w:tr>
        <w:trPr/>
        <w:tc>
          <w:tcPr>
            <w:tcW w:w="6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Commencement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Exercise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Price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Expiration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rights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not 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payout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units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other rights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6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Sean A. McCarthy D.Phil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1/21/2016</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1/1/2016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136,299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14.46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1/20/2026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1/25/2017</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1/1/2017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234,299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11.94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1/24/2027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1/24/2018</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1/1/2018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300,000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25.82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1/23/2028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1/25/2019</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1/1/2019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300,000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16.85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1/24/2029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2/14/2020</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1/1/2020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500,000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7.13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2/13/2030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2/26/2021</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2/26/2021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7.85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2/27/2021</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2/26/2021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200,000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7.85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2/26/2031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10/24/2021</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10/24/2021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5.34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10/23/2031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2/2/2022</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2/2/2022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431,250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18,750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4.13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2/1/2032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2/2/2022</w:t>
            </w:r>
            <w:r>
              <w:rPr>
                <w:rFonts w:ascii="Times New Roman;Times;serif" w:hAnsi="Times New Roman;Times;serif"/>
                <w:color w:val="000000"/>
                <w:position w:val="5"/>
                <w:sz w:val="11"/>
                <w:sz w:val="14"/>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18,750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79,875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8/10/2022</w:t>
            </w:r>
            <w:r>
              <w:rPr>
                <w:rFonts w:ascii="Times New Roman;Times;serif" w:hAnsi="Times New Roman;Times;serif"/>
                <w:color w:val="000000"/>
                <w:position w:val="5"/>
                <w:sz w:val="11"/>
                <w:sz w:val="14"/>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8/10/2022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348,207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8/9/2032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2/2/2023</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2/2/2023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223,125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91,875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2.59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2/1/2033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2/2/2023</w:t>
            </w:r>
            <w:r>
              <w:rPr>
                <w:rFonts w:ascii="Times New Roman;Times;serif" w:hAnsi="Times New Roman;Times;serif"/>
                <w:color w:val="000000"/>
                <w:position w:val="5"/>
                <w:sz w:val="11"/>
                <w:sz w:val="14"/>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35,000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149,100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1/18/2024</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1/18/2024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201,250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218,750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1/17/2034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1/18/2024</w:t>
            </w:r>
            <w:r>
              <w:rPr>
                <w:rFonts w:ascii="Times New Roman;Times;serif" w:hAnsi="Times New Roman;Times;serif"/>
                <w:color w:val="000000"/>
                <w:position w:val="5"/>
                <w:sz w:val="11"/>
                <w:sz w:val="14"/>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4"/>
              </w:rPr>
            </w:pPr>
            <w:r>
              <w:rPr>
                <w:rFonts w:ascii="Times New Roman;Times;serif" w:hAnsi="Times New Roman;Times;serif"/>
                <w:color w:val="000000"/>
                <w:sz w:val="14"/>
              </w:rPr>
              <w:t>130,000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553,800 </w:t>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1/18/2024</w:t>
            </w:r>
            <w:r>
              <w:rPr>
                <w:rFonts w:ascii="Times New Roman;Times;serif" w:hAnsi="Times New Roman;Times;serif"/>
                <w:color w:val="000000"/>
                <w:position w:val="5"/>
                <w:sz w:val="11"/>
                <w:sz w:val="14"/>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255,600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162,500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227,500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0.86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166,666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633,334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0.86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180,000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766,800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195,000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830,700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9/26/2025</w:t>
            </w:r>
            <w:r>
              <w:rPr>
                <w:rFonts w:ascii="Times New Roman;Times;serif" w:hAnsi="Times New Roman;Times;serif"/>
                <w:color w:val="000000"/>
                <w:position w:val="5"/>
                <w:sz w:val="11"/>
                <w:sz w:val="14"/>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9/26/2025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35,625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534,375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9/25/2035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9/26/2025</w:t>
            </w:r>
            <w:r>
              <w:rPr>
                <w:rFonts w:ascii="Times New Roman;Times;serif" w:hAnsi="Times New Roman;Times;serif"/>
                <w:color w:val="000000"/>
                <w:position w:val="5"/>
                <w:sz w:val="11"/>
                <w:sz w:val="14"/>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4"/>
              </w:rPr>
            </w:pPr>
            <w:r>
              <w:rPr>
                <w:rFonts w:ascii="Times New Roman;Times;serif" w:hAnsi="Times New Roman;Times;serif"/>
                <w:color w:val="000000"/>
                <w:sz w:val="14"/>
              </w:rPr>
              <w:t>285,000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1,214,100 </w:t>
            </w:r>
          </w:p>
        </w:tc>
      </w:tr>
      <w:tr>
        <w:trPr/>
        <w:tc>
          <w:tcPr>
            <w:tcW w:w="6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Chris Ogden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9/15/2021</w:t>
            </w:r>
            <w:r>
              <w:rPr>
                <w:rFonts w:ascii="Times New Roman;Times;serif" w:hAnsi="Times New Roman;Times;serif"/>
                <w:color w:val="000000"/>
                <w:position w:val="5"/>
                <w:sz w:val="11"/>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8/2/2021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4.97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9/14/2031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2/2/2022</w:t>
            </w:r>
            <w:r>
              <w:rPr>
                <w:rFonts w:ascii="Times New Roman;Times;serif" w:hAnsi="Times New Roman;Times;serif"/>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2/2/2022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13,967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608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4.13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2/1/2032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2/2/2022</w:t>
            </w:r>
            <w:r>
              <w:rPr>
                <w:rFonts w:ascii="Times New Roman;Times;serif" w:hAnsi="Times New Roman;Times;serif"/>
                <w:color w:val="000000"/>
                <w:position w:val="5"/>
                <w:sz w:val="11"/>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1,822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7,762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8/10/2022</w:t>
            </w:r>
            <w:r>
              <w:rPr>
                <w:rFonts w:ascii="Times New Roman;Times;serif" w:hAnsi="Times New Roman;Times;serif"/>
                <w:color w:val="000000"/>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8/10/2022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82,500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8/9/2032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2/2/2023</w:t>
            </w:r>
            <w:r>
              <w:rPr>
                <w:rFonts w:ascii="Times New Roman;Times;serif" w:hAnsi="Times New Roman;Times;serif"/>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2/2/2023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53,125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21,875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2.59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2/1/2033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2/2/2023</w:t>
            </w:r>
            <w:r>
              <w:rPr>
                <w:rFonts w:ascii="Times New Roman;Times;serif" w:hAnsi="Times New Roman;Time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rFonts w:ascii="Times New Roman;Times;serif" w:hAnsi="Times New Roman;Times;serif"/>
                <w:color w:val="000000"/>
                <w:sz w:val="14"/>
              </w:rPr>
            </w:pPr>
            <w:r>
              <w:rPr>
                <w:rFonts w:ascii="Times New Roman;Times;serif" w:hAnsi="Times New Roman;Times;serif"/>
                <w:color w:val="000000"/>
                <w:sz w:val="14"/>
              </w:rPr>
              <w:t>37,500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38,625 </w:t>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2/2/2023</w:t>
            </w:r>
            <w:r>
              <w:rPr>
                <w:rFonts w:ascii="Times New Roman;Times;serif" w:hAnsi="Times New Roman;Time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8,333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35,499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1/18/2024</w:t>
            </w:r>
            <w:r>
              <w:rPr>
                <w:rFonts w:ascii="Times New Roman;Times;serif" w:hAnsi="Times New Roman;Times;serif"/>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1/18/2024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73,791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80,209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1/17/2034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1/18/2024</w:t>
            </w:r>
            <w:r>
              <w:rPr>
                <w:rFonts w:ascii="Times New Roman;Times;serif" w:hAnsi="Times New Roman;Time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rFonts w:ascii="Times New Roman;Times;serif" w:hAnsi="Times New Roman;Times;serif"/>
                <w:color w:val="000000"/>
                <w:sz w:val="14"/>
              </w:rPr>
            </w:pPr>
            <w:r>
              <w:rPr>
                <w:rFonts w:ascii="Times New Roman;Times;serif" w:hAnsi="Times New Roman;Times;serif"/>
                <w:color w:val="000000"/>
                <w:sz w:val="14"/>
              </w:rPr>
              <w:t>37,500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159,750 </w:t>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1/18/2024</w:t>
            </w:r>
            <w:r>
              <w:rPr>
                <w:rFonts w:ascii="Times New Roman;Times;serif" w:hAnsi="Times New Roman;Time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26,666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113,597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6/12/2024</w:t>
            </w:r>
            <w:r>
              <w:rPr>
                <w:rFonts w:ascii="Times New Roman;Times;serif" w:hAnsi="Times New Roman;Times;serif"/>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6/12/2024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28,125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46,875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1.49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6/11/2034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6/12/2024</w:t>
            </w:r>
            <w:r>
              <w:rPr>
                <w:rFonts w:ascii="Times New Roman;Times;serif" w:hAnsi="Times New Roman;Time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6/12/2024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11,666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49,697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47,916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67,084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0.86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2/3/2035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2/4/2025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46,875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178,125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0.86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2/3/2035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44,000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187,440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2/4/2025</w:t>
            </w:r>
            <w:r>
              <w:rPr>
                <w:rFonts w:ascii="Times New Roman;Times;serif" w:hAnsi="Times New Roman;Times;serif"/>
                <w:color w:val="000000"/>
                <w:position w:val="5"/>
                <w:sz w:val="11"/>
                <w:sz w:val="14"/>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3/15/2025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57,500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rFonts w:ascii="Times New Roman;Times;serif" w:hAnsi="Times New Roman;Times;serif"/>
                <w:color w:val="000000"/>
                <w:sz w:val="14"/>
              </w:rPr>
            </w:pPr>
            <w:r>
              <w:rPr>
                <w:rFonts w:ascii="Times New Roman;Times;serif" w:hAnsi="Times New Roman;Times;serif"/>
                <w:color w:val="000000"/>
                <w:sz w:val="14"/>
              </w:rPr>
              <w:t>244,950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9/26/2025</w:t>
            </w:r>
            <w:r>
              <w:rPr>
                <w:rFonts w:ascii="Times New Roman;Times;serif" w:hAnsi="Times New Roman;Times;serif"/>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9/26/2025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4,890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73,360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2.90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9/25/2035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9/26/2025</w:t>
            </w:r>
            <w:r>
              <w:rPr>
                <w:rFonts w:ascii="Times New Roman;Times;serif" w:hAnsi="Times New Roman;Times;serif"/>
                <w:color w:val="000000"/>
                <w:position w:val="5"/>
                <w:sz w:val="11"/>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2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9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45"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23" w:right="0" w:hanging="0"/>
              <w:jc w:val="left"/>
              <w:rPr>
                <w:rFonts w:ascii="Times New Roman;Times;serif" w:hAnsi="Times New Roman;Times;serif"/>
                <w:color w:val="000000"/>
                <w:sz w:val="14"/>
              </w:rPr>
            </w:pPr>
            <w:r>
              <w:rPr>
                <w:rFonts w:ascii="Times New Roman;Times;serif" w:hAnsi="Times New Roman;Times;serif"/>
                <w:color w:val="000000"/>
                <w:sz w:val="14"/>
              </w:rPr>
              <w:t>39,150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53"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166,779 </w:t>
            </w:r>
          </w:p>
        </w:tc>
      </w:tr>
      <w:tr>
        <w:trPr/>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Rachael Lester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10/20/2025 </w:t>
            </w:r>
            <w:r>
              <w:rPr>
                <w:rFonts w:ascii="Times New Roman;Times;serif" w:hAnsi="Times New Roman;Times;serif"/>
                <w:color w:val="000000"/>
                <w:position w:val="5"/>
                <w:sz w:val="11"/>
                <w:sz w:val="14"/>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4"/>
              </w:rPr>
            </w:pPr>
            <w:r>
              <w:rPr>
                <w:rFonts w:ascii="Times New Roman;Times;serif" w:hAnsi="Times New Roman;Times;serif"/>
                <w:color w:val="000000"/>
                <w:sz w:val="14"/>
              </w:rPr>
              <w:t>10/20/2025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4"/>
              </w:rPr>
            </w:pPr>
            <w:r>
              <w:rPr>
                <w:rFonts w:ascii="Times New Roman;Times;serif" w:hAnsi="Times New Roman;Times;serif"/>
                <w:color w:val="000000"/>
                <w:sz w:val="14"/>
              </w:rPr>
              <w:t>650,000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4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4"/>
              </w:rPr>
            </w:pPr>
            <w:r>
              <w:rPr>
                <w:rFonts w:ascii="Times New Roman;Times;serif" w:hAnsi="Times New Roman;Times;serif"/>
                <w:color w:val="000000"/>
                <w:sz w:val="14"/>
              </w:rPr>
              <w:t>3.74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10/19/2035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96"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45"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2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53" w:right="0" w:hanging="0"/>
              <w:jc w:val="left"/>
              <w:rPr>
                <w:sz w:val="4"/>
                <w:szCs w:val="4"/>
              </w:rPr>
            </w:pPr>
            <w:r>
              <w:rPr>
                <w:sz w:val="4"/>
                <w:szCs w:val="4"/>
              </w:rPr>
            </w:r>
          </w:p>
        </w:tc>
      </w:tr>
      <w:tr>
        <w:trPr/>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34"/>
        <w:gridCol w:w="93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7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option vests in 1/48</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increments beginning on the vesting commencement date, with each additional increment vesting on the last day of each month of continuous service following the vesting commencement date. </w:t>
            </w:r>
          </w:p>
        </w:tc>
      </w:tr>
    </w:tbl>
    <w:tbl>
      <w:tblPr>
        <w:tblW w:w="9605" w:type="dxa"/>
        <w:jc w:val="left"/>
        <w:tblInd w:w="600" w:type="dxa"/>
        <w:tblLayout w:type="fixed"/>
        <w:tblCellMar>
          <w:top w:w="0" w:type="dxa"/>
          <w:left w:w="0" w:type="dxa"/>
          <w:bottom w:w="0" w:type="dxa"/>
          <w:right w:w="0" w:type="dxa"/>
        </w:tblCellMar>
      </w:tblPr>
      <w:tblGrid>
        <w:gridCol w:w="223"/>
        <w:gridCol w:w="93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Beginning on the first anniversary of the commencement date, these RSUs will vest annually in 25% increments across four years of continuous employment with the Company. The market value of RSUs was determined based on $4.26 per share, which was the closing price of our common stock on December 31, 2025. </w:t>
            </w:r>
          </w:p>
        </w:tc>
      </w:tr>
    </w:tbl>
    <w:tbl>
      <w:tblPr>
        <w:tblW w:w="9605" w:type="dxa"/>
        <w:jc w:val="left"/>
        <w:tblInd w:w="600" w:type="dxa"/>
        <w:tblLayout w:type="fixed"/>
        <w:tblCellMar>
          <w:top w:w="0" w:type="dxa"/>
          <w:left w:w="0" w:type="dxa"/>
          <w:bottom w:w="0" w:type="dxa"/>
          <w:right w:w="0" w:type="dxa"/>
        </w:tblCellMar>
      </w:tblPr>
      <w:tblGrid>
        <w:gridCol w:w="234"/>
        <w:gridCol w:w="93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7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option vests in 1/36</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increments beginning on the vesting commencement date, with each additional increment vesting on the last day of each month of continuous service following the vesting commencement date.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77" w:name="ny20064651x2_def14a_116-sumcomp_pg3"/>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Beginning on the first anniversary of the commencement date, these RSUs will vest annually in 33% increments across three years of continuous employment with the Company. The market value of RSUs was determined based on $4.26 per share, which was the closing price of our common stock on December 31, 2025.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50% of these PSUs granted will vest within one year of the grant date upon achievement of certain specific milestones and the remaining 50% will vest within two years of the grant date upon achievement of additional company objectives. The market value of PSUs was determined based on $4.26 per share, which was the closing price of our common stock on December 31, 2025. The number of unearned units is based on the achievement of certain target performance thresholds.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option vests in 1/24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increments beginning on the vesting commencement date, with each additional increment vesting on the last day of each month of continuous service following the vesting commencement date.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Beginning on the first anniversary of the commencement date, these RSUs will vest annually in 50% increments across two years of continuous employment with the Company. The market value of RSUs was determined based on $4.26 per share, which was the closing price of our common stock on December 31, 2025.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option vests as to 25% of the total number of shares subject to the option on the first anniversary of the vesting commencement date and the remaining 75% of the total number of shares subject to the option will vest in 36 substantially equal installments on the last day of each of the 36 months following the first anniversary of the vesting commencement date, other than the final instalment which shall vest upon the executive officer’s continuous employment through each vesting date.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PSUs shall vest in three 33% tranches upon the achievement of certain specific milestones tied to each tranche. The market value of PSUs was determined based on $4.26 per share, which was the closing price of our common stock on December 31, 2025. The number of unearned units is based on the achievement of certain target performance thresholds.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78" w:name="ny20064651x2_def14a_117-pvp_pg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9" w:name="tPVP"/>
      <w:bookmarkEnd w:id="79"/>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 </w:t>
      </w:r>
    </w:p>
    <w:tbl>
      <w:tblPr>
        <w:tblW w:w="9350" w:type="dxa"/>
        <w:jc w:val="left"/>
        <w:tblInd w:w="0" w:type="dxa"/>
        <w:tblLayout w:type="fixed"/>
        <w:tblCellMar>
          <w:top w:w="0" w:type="dxa"/>
          <w:left w:w="0" w:type="dxa"/>
          <w:bottom w:w="0" w:type="dxa"/>
          <w:right w:w="0" w:type="dxa"/>
        </w:tblCellMar>
      </w:tblPr>
      <w:tblGrid>
        <w:gridCol w:w="485"/>
        <w:gridCol w:w="170"/>
        <w:gridCol w:w="170"/>
        <w:gridCol w:w="1220"/>
        <w:gridCol w:w="170"/>
        <w:gridCol w:w="170"/>
        <w:gridCol w:w="1130"/>
        <w:gridCol w:w="170"/>
        <w:gridCol w:w="170"/>
        <w:gridCol w:w="1205"/>
        <w:gridCol w:w="170"/>
        <w:gridCol w:w="170"/>
        <w:gridCol w:w="1130"/>
        <w:gridCol w:w="170"/>
        <w:gridCol w:w="170"/>
        <w:gridCol w:w="980"/>
        <w:gridCol w:w="170"/>
        <w:gridCol w:w="170"/>
        <w:gridCol w:w="1160"/>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for PEO</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1,2,3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1,2,3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Fixed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Income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Thousands)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10" w:right="0" w:hanging="0"/>
              <w:jc w:val="left"/>
              <w:rPr>
                <w:rFonts w:ascii="Times New Roman;Times;serif" w:hAnsi="Times New Roman;Times;serif"/>
                <w:b/>
                <w:color w:val="000000"/>
                <w:sz w:val="20"/>
              </w:rPr>
            </w:pPr>
            <w:r>
              <w:rPr>
                <w:rFonts w:ascii="Times New Roman;Times;serif" w:hAnsi="Times New Roman;Times;serif"/>
                <w:b/>
                <w:color w:val="000000"/>
                <w:sz w:val="20"/>
              </w:rPr>
              <w:t>4,738,494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b/>
                <w:color w:val="000000"/>
                <w:sz w:val="20"/>
              </w:rPr>
            </w:pPr>
            <w:r>
              <w:rPr>
                <w:rFonts w:ascii="Times New Roman;Times;serif" w:hAnsi="Times New Roman;Times;serif"/>
                <w:b/>
                <w:color w:val="000000"/>
                <w:sz w:val="20"/>
              </w:rPr>
              <w:t>10,636,158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04" w:right="0" w:hanging="0"/>
              <w:jc w:val="left"/>
              <w:rPr>
                <w:rFonts w:ascii="Times New Roman;Times;serif" w:hAnsi="Times New Roman;Times;serif"/>
                <w:b/>
                <w:color w:val="000000"/>
                <w:sz w:val="20"/>
              </w:rPr>
            </w:pPr>
            <w:r>
              <w:rPr>
                <w:rFonts w:ascii="Times New Roman;Times;serif" w:hAnsi="Times New Roman;Times;serif"/>
                <w:b/>
                <w:color w:val="000000"/>
                <w:sz w:val="20"/>
              </w:rPr>
              <w:t>1,888,753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2,948,461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266.25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77"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(20,370)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1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1,752,802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1,063,510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04"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861,316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611,437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64.38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77"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31,869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1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2,611,138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519,365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04"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1,127,080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528,064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96.88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77" w:right="0" w:hanging="0"/>
              <w:jc w:val="left"/>
              <w:rPr>
                <w:rFonts w:ascii="Times New Roman;Times;serif" w:hAnsi="Times New Roman;Times;serif"/>
                <w:b/>
                <w:color w:val="000000"/>
                <w:sz w:val="20"/>
              </w:rPr>
            </w:pPr>
            <w:r>
              <w:rPr>
                <w:rFonts w:ascii="Times New Roman;Times;serif" w:hAnsi="Times New Roman;Times;serif"/>
                <w:b/>
                <w:color w:val="000000"/>
                <w:sz w:val="20"/>
              </w:rPr>
              <w:t>(569)</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Sean A. McCarthy, D. Phil. was our PEO for each year presented. The individuals comprising the Non-PEO NEOs for each year presented are listed below. </w:t>
            </w:r>
          </w:p>
        </w:tc>
      </w:tr>
    </w:tbl>
    <w:tbl>
      <w:tblPr>
        <w:tblW w:w="3920" w:type="dxa"/>
        <w:jc w:val="left"/>
        <w:tblInd w:w="0" w:type="dxa"/>
        <w:tblLayout w:type="fixed"/>
        <w:tblCellMar>
          <w:top w:w="0" w:type="dxa"/>
          <w:left w:w="0" w:type="dxa"/>
          <w:bottom w:w="0" w:type="dxa"/>
          <w:right w:w="0" w:type="dxa"/>
        </w:tblCellMar>
      </w:tblPr>
      <w:tblGrid>
        <w:gridCol w:w="1220"/>
        <w:gridCol w:w="170"/>
        <w:gridCol w:w="170"/>
        <w:gridCol w:w="920"/>
        <w:gridCol w:w="170"/>
        <w:gridCol w:w="170"/>
        <w:gridCol w:w="1100"/>
      </w:tblGrid>
      <w:tr>
        <w:trPr/>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2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Jeff Landau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Chris Ogden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Chris Ogden </w:t>
            </w:r>
          </w:p>
        </w:tc>
      </w:tr>
      <w:tr>
        <w:trPr/>
        <w:tc>
          <w:tcPr>
            <w:tcW w:w="12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Marcia P. Belvin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Wayne Chu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Rachael Lester</w:t>
            </w:r>
          </w:p>
        </w:tc>
      </w:tr>
      <w:tr>
        <w:trPr/>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4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w:t>
            </w:r>
          </w:p>
        </w:tc>
      </w:tr>
    </w:tbl>
    <w:tbl>
      <w:tblPr>
        <w:tblW w:w="6365" w:type="dxa"/>
        <w:jc w:val="left"/>
        <w:tblInd w:w="0" w:type="dxa"/>
        <w:tblLayout w:type="fixed"/>
        <w:tblCellMar>
          <w:top w:w="0" w:type="dxa"/>
          <w:left w:w="0" w:type="dxa"/>
          <w:bottom w:w="0" w:type="dxa"/>
          <w:right w:w="0" w:type="dxa"/>
        </w:tblCellMar>
      </w:tblPr>
      <w:tblGrid>
        <w:gridCol w:w="425"/>
        <w:gridCol w:w="170"/>
        <w:gridCol w:w="170"/>
        <w:gridCol w:w="1205"/>
        <w:gridCol w:w="170"/>
        <w:gridCol w:w="170"/>
        <w:gridCol w:w="1100"/>
        <w:gridCol w:w="170"/>
        <w:gridCol w:w="170"/>
        <w:gridCol w:w="1100"/>
        <w:gridCol w:w="170"/>
        <w:gridCol w:w="170"/>
        <w:gridCol w:w="117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6"/>
              </w:rPr>
            </w:pPr>
            <w:r>
              <w:rPr>
                <w:rFonts w:ascii="Times New Roman;Times;serif" w:hAnsi="Times New Roman;Times;serif"/>
                <w:color w:val="000000"/>
                <w:sz w:val="16"/>
              </w:rPr>
              <w:t>4,738,494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6"/>
              </w:rPr>
            </w:pPr>
            <w:r>
              <w:rPr>
                <w:rFonts w:ascii="Times New Roman;Times;serif" w:hAnsi="Times New Roman;Times;serif"/>
                <w:color w:val="000000"/>
                <w:sz w:val="16"/>
              </w:rPr>
              <w:t>(3,308,633)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16"/>
              </w:rPr>
            </w:pPr>
            <w:r>
              <w:rPr>
                <w:rFonts w:ascii="Times New Roman;Times;serif" w:hAnsi="Times New Roman;Times;serif"/>
                <w:color w:val="000000"/>
                <w:sz w:val="16"/>
              </w:rPr>
              <w:t>9,206,297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10,636,158</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6365" w:type="dxa"/>
        <w:jc w:val="left"/>
        <w:tblInd w:w="0" w:type="dxa"/>
        <w:tblLayout w:type="fixed"/>
        <w:tblCellMar>
          <w:top w:w="0" w:type="dxa"/>
          <w:left w:w="0" w:type="dxa"/>
          <w:bottom w:w="0" w:type="dxa"/>
          <w:right w:w="0" w:type="dxa"/>
        </w:tblCellMar>
      </w:tblPr>
      <w:tblGrid>
        <w:gridCol w:w="425"/>
        <w:gridCol w:w="170"/>
        <w:gridCol w:w="170"/>
        <w:gridCol w:w="1205"/>
        <w:gridCol w:w="170"/>
        <w:gridCol w:w="170"/>
        <w:gridCol w:w="1100"/>
        <w:gridCol w:w="170"/>
        <w:gridCol w:w="170"/>
        <w:gridCol w:w="1100"/>
        <w:gridCol w:w="170"/>
        <w:gridCol w:w="170"/>
        <w:gridCol w:w="117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6"/>
              </w:rPr>
            </w:pPr>
            <w:r>
              <w:rPr>
                <w:rFonts w:ascii="Times New Roman;Times;serif" w:hAnsi="Times New Roman;Times;serif"/>
                <w:color w:val="000000"/>
                <w:sz w:val="16"/>
              </w:rPr>
              <w:t>1,888,753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(1,332,326)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6"/>
              </w:rPr>
            </w:pPr>
            <w:r>
              <w:rPr>
                <w:rFonts w:ascii="Times New Roman;Times;serif" w:hAnsi="Times New Roman;Times;serif"/>
                <w:color w:val="000000"/>
                <w:sz w:val="16"/>
              </w:rPr>
              <w:t>2,392,034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2,948,461</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80" w:name="ny20064651x2_def14a_117-pvp_pg2"/>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the Inclusion of Equity Values in the tables above are derived from the amounts set forth in the following tables: </w:t>
      </w:r>
    </w:p>
    <w:tbl>
      <w:tblPr>
        <w:tblW w:w="9155" w:type="dxa"/>
        <w:jc w:val="left"/>
        <w:tblInd w:w="0" w:type="dxa"/>
        <w:tblLayout w:type="fixed"/>
        <w:tblCellMar>
          <w:top w:w="0" w:type="dxa"/>
          <w:left w:w="0" w:type="dxa"/>
          <w:bottom w:w="0" w:type="dxa"/>
          <w:right w:w="0" w:type="dxa"/>
        </w:tblCellMar>
      </w:tblPr>
      <w:tblGrid>
        <w:gridCol w:w="425"/>
        <w:gridCol w:w="170"/>
        <w:gridCol w:w="170"/>
        <w:gridCol w:w="1100"/>
        <w:gridCol w:w="170"/>
        <w:gridCol w:w="170"/>
        <w:gridCol w:w="1100"/>
        <w:gridCol w:w="170"/>
        <w:gridCol w:w="170"/>
        <w:gridCol w:w="1100"/>
        <w:gridCol w:w="170"/>
        <w:gridCol w:w="170"/>
        <w:gridCol w:w="1100"/>
        <w:gridCol w:w="170"/>
        <w:gridCol w:w="170"/>
        <w:gridCol w:w="1145"/>
        <w:gridCol w:w="170"/>
        <w:gridCol w:w="170"/>
        <w:gridCol w:w="114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Year-End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Last Day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Year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at 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Forfeited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Inclusion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McCarthy,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Phil.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6,876,499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1,302,775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780,454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246,569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16"/>
              </w:rPr>
            </w:pPr>
            <w:r>
              <w:rPr>
                <w:rFonts w:ascii="Times New Roman;Times;serif" w:hAnsi="Times New Roman;Times;serif"/>
                <w:color w:val="000000"/>
                <w:sz w:val="16"/>
              </w:rPr>
              <w:t>9,206,297</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9575" w:type="dxa"/>
        <w:jc w:val="left"/>
        <w:tblInd w:w="0" w:type="dxa"/>
        <w:tblLayout w:type="fixed"/>
        <w:tblCellMar>
          <w:top w:w="0" w:type="dxa"/>
          <w:left w:w="0" w:type="dxa"/>
          <w:bottom w:w="0" w:type="dxa"/>
          <w:right w:w="0" w:type="dxa"/>
        </w:tblCellMar>
      </w:tblPr>
      <w:tblGrid>
        <w:gridCol w:w="425"/>
        <w:gridCol w:w="170"/>
        <w:gridCol w:w="170"/>
        <w:gridCol w:w="1205"/>
        <w:gridCol w:w="170"/>
        <w:gridCol w:w="170"/>
        <w:gridCol w:w="1190"/>
        <w:gridCol w:w="170"/>
        <w:gridCol w:w="170"/>
        <w:gridCol w:w="1175"/>
        <w:gridCol w:w="170"/>
        <w:gridCol w:w="170"/>
        <w:gridCol w:w="1220"/>
        <w:gridCol w:w="170"/>
        <w:gridCol w:w="170"/>
        <w:gridCol w:w="1175"/>
        <w:gridCol w:w="170"/>
        <w:gridCol w:w="170"/>
        <w:gridCol w:w="114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 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for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Date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at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Forfeited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Inclusion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16"/>
              </w:rPr>
            </w:pPr>
            <w:r>
              <w:rPr>
                <w:rFonts w:ascii="Times New Roman;Times;serif" w:hAnsi="Times New Roman;Times;serif"/>
                <w:color w:val="000000"/>
                <w:sz w:val="16"/>
              </w:rPr>
              <w:t>1,951,889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55" w:right="0" w:hanging="0"/>
              <w:jc w:val="left"/>
              <w:rPr>
                <w:rFonts w:ascii="Times New Roman;Times;serif" w:hAnsi="Times New Roman;Times;serif"/>
                <w:color w:val="000000"/>
                <w:sz w:val="16"/>
              </w:rPr>
            </w:pPr>
            <w:r>
              <w:rPr>
                <w:rFonts w:ascii="Times New Roman;Times;serif" w:hAnsi="Times New Roman;Times;serif"/>
                <w:color w:val="000000"/>
                <w:sz w:val="16"/>
              </w:rPr>
              <w:t>295,638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16"/>
              </w:rPr>
            </w:pPr>
            <w:r>
              <w:rPr>
                <w:rFonts w:ascii="Times New Roman;Times;serif" w:hAnsi="Times New Roman;Times;serif"/>
                <w:color w:val="000000"/>
                <w:sz w:val="16"/>
              </w:rPr>
              <w:t>103,727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40,780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4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6"/>
              </w:rPr>
            </w:pPr>
            <w:r>
              <w:rPr>
                <w:rFonts w:ascii="Times New Roman;Times;serif" w:hAnsi="Times New Roman;Times;serif"/>
                <w:color w:val="000000"/>
                <w:sz w:val="16"/>
              </w:rPr>
              <w:t>2,392,034</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3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Assumes $100 was invested in the Company for the period starting December 31, 2022, through the end of the listed year. Historical stock performance is not necessarily indicative of future stock performance.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81" w:name="ny20064651x2_def14a_117-pvp_pg3"/>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PEO and Non-PEO NEO Compensation Actually Paid and Company Total Shareholder Return (“TSR”)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the Company’s cumulative TSR over the three most recently completed fiscal years. </w:t>
      </w:r>
    </w:p>
    <w:p>
      <w:pPr>
        <w:pStyle w:val="TextBody"/>
        <w:bidi w:val="0"/>
        <w:spacing w:before="295" w:after="283"/>
        <w:jc w:val="center"/>
        <w:rPr>
          <w:color w:val="000000"/>
        </w:rPr>
      </w:pPr>
      <w:r>
        <w:rPr>
          <w:color w:val="000000"/>
        </w:rPr>
        <w:drawing>
          <wp:inline distT="0" distB="0" distL="0" distR="0">
            <wp:extent cx="5162550" cy="3267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62550" cy="3267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PEO and Non-PEO NEO Compensation Actually Paid and Net Income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to our PEO, the average of Compensation Actually Paid to our Non-PEO NEOs, and our Net Income during the three most recently completed fiscal years.</w:t>
      </w:r>
    </w:p>
    <w:p>
      <w:pPr>
        <w:pStyle w:val="TextBody"/>
        <w:bidi w:val="0"/>
        <w:spacing w:before="295" w:after="283"/>
        <w:jc w:val="center"/>
        <w:rPr>
          <w:color w:val="000000"/>
        </w:rPr>
      </w:pPr>
      <w:r>
        <w:rPr>
          <w:color w:val="000000"/>
        </w:rPr>
        <w:drawing>
          <wp:inline distT="0" distB="0" distL="0" distR="0">
            <wp:extent cx="5172075" cy="332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72075" cy="3324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82" w:name="ny20064651x2_def14a_118-equity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3" w:name="tECPI"/>
      <w:bookmarkEnd w:id="83"/>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about the securities authorized for issuance under our equity compensation plans as of December 31, 2025, which consisted of our 2010 Stock Incentive Plan, 2011 Stock Incentive Plan, as amended, 2015 Equity Incentive Plan (as amended and restated), 2015 Employee Stock Purchase Plan and 2019 Employment Inducement Incentive Plan: </w:t>
      </w:r>
    </w:p>
    <w:tbl>
      <w:tblPr>
        <w:tblW w:w="10205" w:type="dxa"/>
        <w:jc w:val="left"/>
        <w:tblInd w:w="0" w:type="dxa"/>
        <w:tblLayout w:type="fixed"/>
        <w:tblCellMar>
          <w:top w:w="0" w:type="dxa"/>
          <w:left w:w="0" w:type="dxa"/>
          <w:bottom w:w="0" w:type="dxa"/>
          <w:right w:w="0" w:type="dxa"/>
        </w:tblCellMar>
      </w:tblPr>
      <w:tblGrid>
        <w:gridCol w:w="4636"/>
        <w:gridCol w:w="170"/>
        <w:gridCol w:w="170"/>
        <w:gridCol w:w="1487"/>
        <w:gridCol w:w="170"/>
        <w:gridCol w:w="170"/>
        <w:gridCol w:w="1522"/>
        <w:gridCol w:w="170"/>
        <w:gridCol w:w="170"/>
        <w:gridCol w:w="1540"/>
      </w:tblGrid>
      <w:tr>
        <w:trPr/>
        <w:tc>
          <w:tcPr>
            <w:tcW w:w="46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0" w:type="dxa"/>
            <w:tcBorders/>
            <w:vAlign w:val="center"/>
          </w:tcPr>
          <w:p>
            <w:pPr>
              <w:pStyle w:val="TableContents"/>
              <w:bidi w:val="0"/>
              <w:spacing w:before="0" w:after="0"/>
              <w:jc w:val="left"/>
              <w:rPr/>
            </w:pPr>
            <w:r>
              <w:rPr/>
              <w:t> </w:t>
            </w:r>
          </w:p>
        </w:tc>
      </w:tr>
      <w:tr>
        <w:trPr/>
        <w:tc>
          <w:tcPr>
            <w:tcW w:w="463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Plan category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reflected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column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46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stockholders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7" w:type="dxa"/>
            <w:tcBorders/>
            <w:shd w:fill="CCEEFF"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19,648,886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2" w:type="dxa"/>
            <w:tcBorders/>
            <w:shd w:fill="CCEEFF" w:val="clear"/>
            <w:vAlign w:val="center"/>
          </w:tcPr>
          <w:p>
            <w:pPr>
              <w:pStyle w:val="TableContents"/>
              <w:bidi w:val="0"/>
              <w:spacing w:before="0" w:after="283"/>
              <w:ind w:left="505" w:right="0" w:hanging="0"/>
              <w:jc w:val="left"/>
              <w:rPr>
                <w:rFonts w:ascii="Times New Roman;Times;serif" w:hAnsi="Times New Roman;Times;serif"/>
                <w:color w:val="000000"/>
                <w:sz w:val="20"/>
              </w:rPr>
            </w:pPr>
            <w:r>
              <w:rPr>
                <w:rFonts w:ascii="Times New Roman;Times;serif" w:hAnsi="Times New Roman;Times;serif"/>
                <w:color w:val="000000"/>
                <w:sz w:val="20"/>
              </w:rPr>
              <w:t>5.12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5,191,986 </w:t>
            </w:r>
          </w:p>
        </w:tc>
      </w:tr>
      <w:tr>
        <w:trPr/>
        <w:tc>
          <w:tcPr>
            <w:tcW w:w="46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Stock Purchase Plan</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7" w:type="dxa"/>
            <w:tcBorders/>
            <w:vAlign w:val="center"/>
          </w:tcPr>
          <w:p>
            <w:pPr>
              <w:pStyle w:val="TableContents"/>
              <w:bidi w:val="0"/>
              <w:spacing w:before="0" w:after="283"/>
              <w:ind w:left="23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vAlign w:val="center"/>
          </w:tcPr>
          <w:p>
            <w:pPr>
              <w:pStyle w:val="TableContents"/>
              <w:bidi w:val="0"/>
              <w:spacing w:before="0" w:after="283"/>
              <w:ind w:left="5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348,824 </w:t>
            </w:r>
          </w:p>
        </w:tc>
      </w:tr>
      <w:tr>
        <w:trPr/>
        <w:tc>
          <w:tcPr>
            <w:tcW w:w="463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stockholders</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7" w:type="dxa"/>
            <w:tcBorders/>
            <w:shd w:fill="CCEEFF"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677,100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2" w:type="dxa"/>
            <w:tcBorders/>
            <w:shd w:fill="CCEEFF" w:val="clear"/>
            <w:vAlign w:val="center"/>
          </w:tcPr>
          <w:p>
            <w:pPr>
              <w:pStyle w:val="TableContents"/>
              <w:bidi w:val="0"/>
              <w:spacing w:before="0" w:after="283"/>
              <w:ind w:left="5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0" w:type="dxa"/>
            <w:tcBorders/>
            <w:shd w:fill="CCEEFF" w:val="clear"/>
            <w:vAlign w:val="center"/>
          </w:tcPr>
          <w:p>
            <w:pPr>
              <w:pStyle w:val="TableContents"/>
              <w:bidi w:val="0"/>
              <w:spacing w:before="0" w:after="283"/>
              <w:ind w:left="276" w:right="0" w:hanging="0"/>
              <w:jc w:val="left"/>
              <w:rPr>
                <w:color w:val="000000"/>
              </w:rPr>
            </w:pPr>
            <w:r>
              <w:rPr>
                <w:color w:val="000000"/>
              </w:rPr>
              <w:t xml:space="preserve">— </w:t>
            </w:r>
          </w:p>
        </w:tc>
      </w:tr>
      <w:tr>
        <w:trPr/>
        <w:tc>
          <w:tcPr>
            <w:tcW w:w="46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7" w:type="dxa"/>
            <w:tcBorders/>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20,325,986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5,540,810</w:t>
            </w:r>
          </w:p>
        </w:tc>
      </w:tr>
      <w:tr>
        <w:trPr/>
        <w:tc>
          <w:tcPr>
            <w:tcW w:w="46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0" w:type="dxa"/>
            <w:tcBorders/>
            <w:vAlign w:val="center"/>
          </w:tcPr>
          <w:p>
            <w:pPr>
              <w:pStyle w:val="TableContents"/>
              <w:bidi w:val="0"/>
              <w:spacing w:before="0" w:after="0"/>
              <w:jc w:val="left"/>
              <w:rPr/>
            </w:pPr>
            <w:r>
              <w:rPr/>
              <w:t> </w:t>
            </w:r>
          </w:p>
        </w:tc>
      </w:tr>
    </w:tbl>
    <w:tbl>
      <w:tblPr>
        <w:tblW w:w="6985" w:type="dxa"/>
        <w:jc w:val="left"/>
        <w:tblInd w:w="0" w:type="dxa"/>
        <w:tblLayout w:type="fixed"/>
        <w:tblCellMar>
          <w:top w:w="0" w:type="dxa"/>
          <w:left w:w="0" w:type="dxa"/>
          <w:bottom w:w="0" w:type="dxa"/>
          <w:right w:w="0" w:type="dxa"/>
        </w:tblCellMar>
      </w:tblPr>
      <w:tblGrid>
        <w:gridCol w:w="260"/>
        <w:gridCol w:w="67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7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weighted average exercise price solely with respect to outstanding stock options.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2010, the Company adopted its 2010 Stock Incentive Plan (the “2010 Plan”) which provided for the granting of stock options to employees, directors and consultants of the Company. 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 In connection with the consummation of the IPO in October 2015, the board of directors adopted the Company’s 2015 Equity Incentive Plan (the “2015 Plan”) and the Company’s 2015 Employee Stock Purchase Plan (the “ESPP”). In conjunction with adopting the 2015 Plan, the Company discontinued the 2011 Plan with respect to new equity awards. In June 2025, the Company’s stockholders approved the amendment and restatement of the 2015 Plan (“Amended and Restated 2015 Plan”).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maximum number of shares of our common stock that could be issued with respect to the current purchase period under the ESPP which ends on May 29, 2026 is 75,195 shares and is not captured in column (a).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September 2019, the Board adopted the 2019 Employment Inducement Incentive Plan (the “2019 Plan” and, collectively with the 2010 Plan, 2011 Plan, 2015 Plan and Amended and Restated 2015 Plan, the “Plans”) which provides for the grant of stock options and other equity awards to any employee who has not previously been an employee or director of the Company or who is commencing employment with the Company following a bona fide period of nonemployment by the Company. In conjunction with the Amended and Restated 2015 Plan approved by the Company’s stockholders in June 2025, the Company discontinued the 2019 Plan with respect to new equity awards. All the remaining shares available for grant under the 2019 Plan were released and transferred to the Amended and Restated 2015 Plan. For a detailed discussion of the Plans, please see the discussion of option awards contained in the Stock-based Compensation sub-section under Note 13 to our financial statements included in our annual report on Form 10-K for the year ended December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84" w:name="ny20064651x2_def14a_119-report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5" w:name="tRAC"/>
      <w:bookmarkEnd w:id="85"/>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material in this report is being furnished and shall not be deemed “filed” with the Securities and Exchange Commission (SEC) for purposes of Section 18 of the Securities Exchange Act of 1934, as amended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or the Exchange Act, except as otherwise expressly stated in such filing.</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currently comprised of three non-employee directors, Matthew P. Young, who chairs the committee, Mani Mohindru, Ph.D. and Halley Gilbert. The audit committee has the responsibility and authority described in the audit committee charter, which has been approved by the Board. A copy of the audit committee charter is available on our website at www.cytomx.com.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assessing the information provided by management and our independent registered public accounting firm in accordance with its business judgment. Management is responsible for the preparation, presentation and integrity of our financial statements and for the appropriateness of the accounting principles and reporting policies that are used. Management is also responsible for testing the system of internal controls and reports to the audit committee on any significant deficiencies found. Our independent registered public accounting firm, Ernst &amp; Young LLP, is responsible for auditing the annual financial statements and for reviewing the unaudited interim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fulfilling its oversight responsibilities, the audit committee has reviewed and discussed the audited financial statements in our Annual Report on Form 10-K for the year ended December 31, 2025, with both management and our independent registered public accounting firm. The audit committee’s review included a discussion of the quality and integrity of the accounting principles, the reasonableness of significant estimates and judgments and the clarity of disclosures in the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reviewed with our independent registered public accounting firm the overall scope and plan of the audit. In addition, it met with our independent registered public accounting firm, with and without management present, to discuss the results of our registered public accounting firm’s examination, the overall quality of our financial reporting and such other matters as are required to be discussed under the applicable requirements of the Public Company Accounting Oversight Board (“PCAOB”) and the Securities and Exchange Commission.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discussed with Ernst &amp; Young LLP that firm’s independence from management and our company, including the matters in the written disclosures regarding independence from Ernst &amp; Young LLP required by applicable requirements of the PCAOB. The audit committee has also considered the compatibility of audit-related and tax services with the auditors’ independence. Based on its evaluation, the audit committee has selected Ernst &amp; Young LLP as our independent registered public accounting firm for the fiscal year ending December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reliance on the reviews and discussions referred to above, the audit committee recommended to the Board, and the Board approved, the inclusion of the audited financial statements in the Annual Report on Form 10-K for the year ended December 31, 2025, filed with the SEC. </w:t>
      </w:r>
    </w:p>
    <w:p>
      <w:pPr>
        <w:pStyle w:val="TextBody"/>
        <w:bidi w:val="0"/>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Audit Committee</w:t>
      </w:r>
      <w:r>
        <w:rPr>
          <w:rFonts w:ascii="Times New Roman;Times;serif" w:hAnsi="Times New Roman;Times;serif"/>
          <w:b/>
          <w:i/>
          <w:caps w:val="false"/>
          <w:smallCaps w:val="false"/>
          <w:color w:val="000000"/>
          <w:sz w:val="20"/>
        </w:rPr>
        <w:t xml:space="preserve"> </w:t>
      </w:r>
    </w:p>
    <w:p>
      <w:pPr>
        <w:pStyle w:val="TextBody"/>
        <w:bidi w:val="0"/>
        <w:spacing w:before="0" w:after="283"/>
        <w:ind w:left="0" w:right="0" w:hanging="0"/>
        <w:jc w:val="left"/>
        <w:rPr>
          <w:caps w:val="false"/>
          <w:smallCaps w:val="false"/>
          <w:color w:val="000000"/>
        </w:rPr>
      </w:pPr>
      <w:r>
        <w:rPr>
          <w:caps w:val="false"/>
          <w:smallCaps w:val="false"/>
          <w:color w:val="000000"/>
        </w:rPr>
        <w:t>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Matthew P. Young (chairperson)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Mani Mohindru, Ph.D.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Halley Gilbert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86" w:name="ny20064651x2_def14a_119-report_pg2"/>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7" w:name="tOM"/>
      <w:bookmarkEnd w:id="87"/>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410" w:after="283"/>
        <w:jc w:val="center"/>
        <w:rPr>
          <w:rFonts w:ascii="Times New Roman;Times;serif" w:hAnsi="Times New Roman;Times;serif"/>
          <w:b/>
          <w:color w:val="000000"/>
          <w:sz w:val="20"/>
        </w:rPr>
      </w:pPr>
      <w:bookmarkStart w:id="88" w:name="tAI"/>
      <w:bookmarkEnd w:id="88"/>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website address is http://www.cytomx.com. The information in, or that can be accessed through, our website is not deemed to be incorporated by reference into this proxy statement.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www.sec.gov. In addition, a copy of our Annual Report on Form 10-K for the fiscal year ended December 31, 2025, filed with the SEC is available without charge upon written request to: Secretary, CytomX Therapeutics, Inc., at 151 Oyster Point Boulevard, Suite 400, South San Francisco, CA 94080. </w:t>
      </w:r>
    </w:p>
    <w:tbl>
      <w:tblPr>
        <w:tblW w:w="3665" w:type="dxa"/>
        <w:jc w:val="left"/>
        <w:tblInd w:w="0" w:type="dxa"/>
        <w:tblLayout w:type="fixed"/>
        <w:tblCellMar>
          <w:top w:w="0" w:type="dxa"/>
          <w:left w:w="0" w:type="dxa"/>
          <w:bottom w:w="0" w:type="dxa"/>
          <w:right w:w="0" w:type="dxa"/>
        </w:tblCellMar>
      </w:tblPr>
      <w:tblGrid>
        <w:gridCol w:w="3110"/>
        <w:gridCol w:w="170"/>
        <w:gridCol w:w="170"/>
        <w:gridCol w:w="215"/>
      </w:tblGrid>
      <w:tr>
        <w:trPr/>
        <w:tc>
          <w:tcPr>
            <w:tcW w:w="31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1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1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 Christopher W. Ogden</w:t>
            </w:r>
            <w:r>
              <w:rPr>
                <w:rFonts w:ascii="Times New Roman;Times;serif" w:hAnsi="Times New Roman;Times;serif"/>
                <w:i/>
                <w:caps w:val="false"/>
                <w:smallCaps w:val="false"/>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W. Ogden </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Secretary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1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1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89" w:name="ny20064651x2_def14a_200-appendixa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APPA"/>
      <w:bookmarkEnd w:id="90"/>
      <w:r>
        <w:rPr>
          <w:rFonts w:ascii="Times New Roman;Times;serif" w:hAnsi="Times New Roman;Times;serif"/>
          <w:b/>
          <w:color w:val="000000"/>
          <w:sz w:val="20"/>
        </w:rPr>
        <w:t xml:space="preserve">Appendix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CYTOMX THERAPEUTICS,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AMENDMENT TO AMENDED AND RESTATED CERTIFICATE OF INCORPORATION</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AMENDMENT TO</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AMENDED AND RESTATED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CYTOMX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Delaware corporation)</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(Pursuant to Section 242 of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General Corporation Law of the State of Delaware)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CytomX Therapeutics, Inc., a corporation organized and existing under the General Corporation Law of the State of Delaware as set forth in Title 8 of the Delaware Code (the “</w:t>
      </w:r>
      <w:r>
        <w:rPr>
          <w:rFonts w:ascii="Times New Roman;Times;serif" w:hAnsi="Times New Roman;Times;serif"/>
          <w:b/>
          <w:i/>
          <w:color w:val="000000"/>
          <w:sz w:val="20"/>
        </w:rPr>
        <w:t>DGCL</w:t>
      </w:r>
      <w:r>
        <w:rPr>
          <w:rFonts w:ascii="Times New Roman;Times;serif" w:hAnsi="Times New Roman;Times;serif"/>
          <w:color w:val="000000"/>
          <w:sz w:val="20"/>
        </w:rPr>
        <w:t>”), hereby certifies as follows:</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 The name of this corporation is CytomX Therapeutics, Inc. (the “</w:t>
      </w:r>
      <w:r>
        <w:rPr>
          <w:rFonts w:ascii="Times New Roman;Times;serif" w:hAnsi="Times New Roman;Times;serif"/>
          <w:b/>
          <w:i/>
          <w:color w:val="000000"/>
          <w:sz w:val="20"/>
        </w:rPr>
        <w:t>Company</w:t>
      </w:r>
      <w:r>
        <w:rPr>
          <w:rFonts w:ascii="Times New Roman;Times;serif" w:hAnsi="Times New Roman;Times;serif"/>
          <w:color w:val="000000"/>
          <w:sz w:val="20"/>
        </w:rPr>
        <w: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 The original Certificate of Incorporation of the Company was filed with the Secretary of State of the State of Delaware on September 16, 2010. The Company's Amended and Restated Certificate of Incorporation, as amended and restated from time to time, was most recently filed with the Secretary of State of the State of Delaware on May 17, 2024 (the “</w:t>
      </w:r>
      <w:r>
        <w:rPr>
          <w:rFonts w:ascii="Times New Roman;Times;serif" w:hAnsi="Times New Roman;Times;serif"/>
          <w:b/>
          <w:i/>
          <w:color w:val="000000"/>
          <w:sz w:val="20"/>
        </w:rPr>
        <w:t>Restated Certificate</w:t>
      </w:r>
      <w:r>
        <w:rPr>
          <w:rFonts w:ascii="Times New Roman;Times;serif" w:hAnsi="Times New Roman;Times;serif"/>
          <w:color w:val="000000"/>
          <w:sz w:val="20"/>
        </w:rPr>
        <w: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 Article Four, Section (A) of the Restated Certificate is hereby amended and restated in its entirety to read as follows:</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w:t>
      </w:r>
      <w:r>
        <w:rPr>
          <w:rFonts w:ascii="Times New Roman;Times;serif" w:hAnsi="Times New Roman;Times;serif"/>
          <w:color w:val="000000"/>
          <w:sz w:val="20"/>
        </w:rPr>
        <w:t xml:space="preserve"> The Company is authorized to issue two classes of stock to be designated, respectively, Common Stock and Preferred Stock. The total number of shares that the Company is authorized to issue is 610,000,000 shares, 600,000,000 shares of which shall be Common Stock (the “</w:t>
      </w:r>
      <w:r>
        <w:rPr>
          <w:rFonts w:ascii="Times New Roman;Times;serif" w:hAnsi="Times New Roman;Times;serif"/>
          <w:b/>
          <w:i/>
          <w:color w:val="000000"/>
          <w:sz w:val="20"/>
        </w:rPr>
        <w:t>Common Stock</w:t>
      </w:r>
      <w:r>
        <w:rPr>
          <w:rFonts w:ascii="Times New Roman;Times;serif" w:hAnsi="Times New Roman;Times;serif"/>
          <w:color w:val="000000"/>
          <w:sz w:val="20"/>
        </w:rPr>
        <w:t>”), and 10,000,000 shares of which shall be Preferred Stock (the “</w:t>
      </w:r>
      <w:r>
        <w:rPr>
          <w:rFonts w:ascii="Times New Roman;Times;serif" w:hAnsi="Times New Roman;Times;serif"/>
          <w:b/>
          <w:i/>
          <w:color w:val="000000"/>
          <w:sz w:val="20"/>
        </w:rPr>
        <w:t>Preferred Stock</w:t>
      </w:r>
      <w:r>
        <w:rPr>
          <w:rFonts w:ascii="Times New Roman;Times;serif" w:hAnsi="Times New Roman;Times;serif"/>
          <w:color w:val="000000"/>
          <w:sz w:val="20"/>
        </w:rPr>
        <w:t>”). The Common Stock shall have a par value of $0.00001 per share and the Preferred Stock shall have a par value of $0.00001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 This Certificate of Amendment to Amended and Restated Certificate of Incorporation has been duly adopted by the Company’s Board of Directors and stockholders in accordance with the applicable provisions of Section 242 of the General Corporation Law of the State of Delaware.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91" w:name="ny20064651x2_def14a_201-appendixb_pg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APPB"/>
      <w:bookmarkEnd w:id="92"/>
      <w:r>
        <w:rPr>
          <w:rFonts w:ascii="Times New Roman;Times;serif" w:hAnsi="Times New Roman;Times;serif"/>
          <w:b/>
          <w:color w:val="000000"/>
          <w:sz w:val="20"/>
        </w:rPr>
        <w:t xml:space="preserve">Appendix B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CYTOMX THERAPEUTICS,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AMENDED AND RESTATED 2015 EQUITY INCENTIVE PLAN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Amended and Restated: March 19, 2025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Approved by Stockholders: June 11, 2025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(as Amended by the Board: March 18,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I. INTRODUCTION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1.1 </w:t>
      </w:r>
      <w:r>
        <w:rPr>
          <w:rFonts w:ascii="Times New Roman;Times;serif" w:hAnsi="Times New Roman;Times;serif"/>
          <w:b/>
          <w:color w:val="000000"/>
          <w:sz w:val="20"/>
          <w:u w:val="single"/>
        </w:rPr>
        <w:t>Purposes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This CytomX Therapeutics, Inc. Amended and Restated 2015 Equity Incentive Plan, as amended by the Board on March 18, 2026 (this “Plan”), is effective as of the date the stockholders of the Company approve this Plan. The purposes of this Plan are (i) to align the interests of the Company’s stockholders and the recipients of awards under this Plan by increasing the proprietary interest of such recipients in the Company’s growth and success, (ii) to advance the interests of the Company by attracting and retaining Non-Employee Directors, officers, employees and other service providers and (iii) to motivate such persons to act in the long-term best interests of the Company and its stockholders.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1.2 </w:t>
      </w:r>
      <w:r>
        <w:rPr>
          <w:rFonts w:ascii="Times New Roman;Times;serif" w:hAnsi="Times New Roman;Times;serif"/>
          <w:b/>
          <w:color w:val="000000"/>
          <w:sz w:val="20"/>
          <w:u w:val="single"/>
        </w:rPr>
        <w:t>Certain Definitions</w:t>
      </w:r>
      <w:r>
        <w:rPr>
          <w:rFonts w:ascii="Times New Roman;Times;serif" w:hAnsi="Times New Roman;Times;serif"/>
          <w:b/>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rPr>
        <w:t>Agreement</w:t>
      </w:r>
      <w:r>
        <w:rPr>
          <w:rFonts w:ascii="Times New Roman;Times;serif" w:hAnsi="Times New Roman;Times;serif"/>
          <w:color w:val="000000"/>
          <w:sz w:val="20"/>
        </w:rPr>
        <w:t xml:space="preserve">” shall mean an electronic or written agreement evidencing an award hereunder between the Company and the recipient of such award.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Board</w:t>
      </w:r>
      <w:r>
        <w:rPr>
          <w:rFonts w:ascii="Times New Roman;Times;serif" w:hAnsi="Times New Roman;Times;serif"/>
          <w:color w:val="000000"/>
          <w:sz w:val="20"/>
        </w:rPr>
        <w:t xml:space="preserve">” shall mean the Board of Directors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Bonus Shares</w:t>
      </w:r>
      <w:r>
        <w:rPr>
          <w:rFonts w:ascii="Times New Roman;Times;serif" w:hAnsi="Times New Roman;Times;serif"/>
          <w:color w:val="000000"/>
          <w:sz w:val="20"/>
        </w:rPr>
        <w:t xml:space="preserve">” shall mean Shares which are not subject to a Restriction Period or Performance Measures.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Bonus Share Award</w:t>
      </w:r>
      <w:r>
        <w:rPr>
          <w:rFonts w:ascii="Times New Roman;Times;serif" w:hAnsi="Times New Roman;Times;serif"/>
          <w:color w:val="000000"/>
          <w:sz w:val="20"/>
        </w:rPr>
        <w:t xml:space="preserve">” shall mean an award of Bonus Shares under this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Change in Control</w:t>
      </w:r>
      <w:r>
        <w:rPr>
          <w:rFonts w:ascii="Times New Roman;Times;serif" w:hAnsi="Times New Roman;Times;serif"/>
          <w:color w:val="000000"/>
          <w:sz w:val="20"/>
        </w:rPr>
        <w:t xml:space="preserve">” shall have the meaning set forth in Section 5.8(b).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shall mean the Internal Revenue Code of 1986,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Committee</w:t>
      </w:r>
      <w:r>
        <w:rPr>
          <w:rFonts w:ascii="Times New Roman;Times;serif" w:hAnsi="Times New Roman;Times;serif"/>
          <w:color w:val="000000"/>
          <w:sz w:val="20"/>
        </w:rPr>
        <w:t xml:space="preserve">” shall mean the Committee designated by the Board, or a subcommittee thereof, consisting of two or more members of the Board, each of whom is intended to be (i) a “Non-Employee Director” within the meaning of Rule 16b-3 under the Exchange Act, and (ii) “independent” within the meaning of the rules of the Nasdaq Stock Exchange or any other stock exchange on which Shares are then traded.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shall mean CytomX Therapeutics, Inc., a Delaware corporation, or any successor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Exchange Act</w:t>
      </w:r>
      <w:r>
        <w:rPr>
          <w:rFonts w:ascii="Times New Roman;Times;serif" w:hAnsi="Times New Roman;Times;serif"/>
          <w:color w:val="000000"/>
          <w:sz w:val="20"/>
        </w:rPr>
        <w:t xml:space="preserve">” shall mean the Securities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Fair Market Value</w:t>
      </w:r>
      <w:r>
        <w:rPr>
          <w:rFonts w:ascii="Times New Roman;Times;serif" w:hAnsi="Times New Roman;Times;serif"/>
          <w:color w:val="000000"/>
          <w:sz w:val="20"/>
        </w:rPr>
        <w:t xml:space="preserve">” shall mean the closing transaction price of a Share as reported on the Nasdaq Stock Exchange on the date as of which such value is being determined or, if Shares are not listed on the Nasdaq Stock Exchange, the closing transaction price of a Share on the principal national stock exchange on which Shares are traded on the date as of which such value is being determined or, if there shall be no reported transactions for such date, on the next preceding date for which transactions were reported; provided, however, that if Shares are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Free-Standing SAR</w:t>
      </w:r>
      <w:r>
        <w:rPr>
          <w:rFonts w:ascii="Times New Roman;Times;serif" w:hAnsi="Times New Roman;Times;serif"/>
          <w:color w:val="000000"/>
          <w:sz w:val="20"/>
        </w:rPr>
        <w:t xml:space="preserve">” shall mean an SAR which is not granted in tandem with, or by reference to, an option, which entitles the holder thereof to receive, upon exercise, Shares (which may be Restricted Shares) or, to the extent provided in the applicable Agreement, cash or a combination thereof, with an aggregate value equal to the excess of the Fair Market Value of one Share on the date of exercise over the base price of such SAR, multiplied by the number of such SARs which are exercised.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Incentive Stock Option</w:t>
      </w:r>
      <w:r>
        <w:rPr>
          <w:rFonts w:ascii="Times New Roman;Times;serif" w:hAnsi="Times New Roman;Times;serif"/>
          <w:color w:val="000000"/>
          <w:sz w:val="20"/>
        </w:rPr>
        <w:t xml:space="preserve">” shall mean an option to purchase Shares that meets the requirements of Section 422 of the Code, or any successor provision, which is intended by the Committee to constitute an Incentive Stock Option.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Incumbent Director</w:t>
      </w:r>
      <w:r>
        <w:rPr>
          <w:rFonts w:ascii="Times New Roman;Times;serif" w:hAnsi="Times New Roman;Times;serif"/>
          <w:color w:val="000000"/>
          <w:sz w:val="20"/>
        </w:rPr>
        <w:t xml:space="preserve">” shall have the meaning set forth in Section 5.8(b)(iii).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93" w:name="ny20064651x2_def14a_201-appendixb_pg2"/>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Initial Public Offering</w:t>
      </w:r>
      <w:r>
        <w:rPr>
          <w:rFonts w:ascii="Times New Roman;Times;serif" w:hAnsi="Times New Roman;Times;serif"/>
          <w:color w:val="000000"/>
          <w:sz w:val="20"/>
        </w:rPr>
        <w:t xml:space="preserve">” shall mean the initial public offering of the Company registered on Form S-1 (or any successor form under the Securities Act of 1933,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Non-Employee Director</w:t>
      </w:r>
      <w:r>
        <w:rPr>
          <w:rFonts w:ascii="Times New Roman;Times;serif" w:hAnsi="Times New Roman;Times;serif"/>
          <w:color w:val="000000"/>
          <w:sz w:val="20"/>
        </w:rPr>
        <w:t xml:space="preserve">” shall mean any director of the Company who is not an officer or employee of the Company or any Subsidiary.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Nonqualified Option</w:t>
      </w:r>
      <w:r>
        <w:rPr>
          <w:rFonts w:ascii="Times New Roman;Times;serif" w:hAnsi="Times New Roman;Times;serif"/>
          <w:color w:val="000000"/>
          <w:sz w:val="20"/>
        </w:rPr>
        <w:t xml:space="preserve">” shall mean an option to purchase Shares which is not an Incentive Stock Option.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Performance Measures</w:t>
      </w:r>
      <w:r>
        <w:rPr>
          <w:rFonts w:ascii="Times New Roman;Times;serif" w:hAnsi="Times New Roman;Times;serif"/>
          <w:color w:val="000000"/>
          <w:sz w:val="20"/>
        </w:rPr>
        <w:t xml:space="preserve">”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Share Award, of the Shares subject to such award, or, in the case of a Restricted Share Unit Award or Performance Unit Award, to the holder’s receipt of the Shares subject to such award or of payment with respect to such award. Each such criterion or objective may be expressed on an absolute or relative basis and may include comparisons based on current internal targets, the past performance of the Company (including the performance of one or more subsidiaries, divisions, or operating units) or the past or current performance of other companies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The applicable performance measures may be applied on a pre-or post-tax basis. In the sole discretion of the Committee, the Committee may amend or adjust the Performance Measures or other terms and conditions of an outstanding award in recognition of any Adjustment Events. The performance goals may consist of any objective or subjective corporate-wide or subsidiary, division, operating unit or individual measures, whether or not listed herein. Performance goals shall be subject to such other special rules and conditions as the Committee may establish at any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Performance Period</w:t>
      </w:r>
      <w:r>
        <w:rPr>
          <w:rFonts w:ascii="Times New Roman;Times;serif" w:hAnsi="Times New Roman;Times;serif"/>
          <w:color w:val="000000"/>
          <w:sz w:val="20"/>
        </w:rPr>
        <w:t xml:space="preserve">” shall mean any period designated by the Committee during which (i) the Performance Measures applicable to an award shall be measured and (ii) the conditions to vesting applicable to an award shall remain in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Performance Unit</w:t>
      </w:r>
      <w:r>
        <w:rPr>
          <w:rFonts w:ascii="Times New Roman;Times;serif" w:hAnsi="Times New Roman;Times;serif"/>
          <w:color w:val="000000"/>
          <w:sz w:val="20"/>
        </w:rPr>
        <w:t xml:space="preserve">” shall mean a right to receive, contingent upon the attainment of specified Performance Measures within a specified Performance Period, a specified cash amount or, in lieu thereof and to the extent set forth in the applicable award Agreement, Shares having a Fair Market Value equal to such cash amount.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Performance Unit Award</w:t>
      </w:r>
      <w:r>
        <w:rPr>
          <w:rFonts w:ascii="Times New Roman;Times;serif" w:hAnsi="Times New Roman;Times;serif"/>
          <w:color w:val="000000"/>
          <w:sz w:val="20"/>
        </w:rPr>
        <w:t xml:space="preserve">” shall mean an award of Performance Units under this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Restricted Shares</w:t>
      </w:r>
      <w:r>
        <w:rPr>
          <w:rFonts w:ascii="Times New Roman;Times;serif" w:hAnsi="Times New Roman;Times;serif"/>
          <w:color w:val="000000"/>
          <w:sz w:val="20"/>
        </w:rPr>
        <w:t xml:space="preserve">” shall mean Shares which are subject to a Restriction Period and which may, in addition thereto, be subject to the attainment of specified Performance Measures within a specified Performance Period.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Restricted Share Award</w:t>
      </w:r>
      <w:r>
        <w:rPr>
          <w:rFonts w:ascii="Times New Roman;Times;serif" w:hAnsi="Times New Roman;Times;serif"/>
          <w:color w:val="000000"/>
          <w:sz w:val="20"/>
        </w:rPr>
        <w:t xml:space="preserve">” shall mean an award of Restricted Shares under this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Restricted Share Unit</w:t>
      </w:r>
      <w:r>
        <w:rPr>
          <w:rFonts w:ascii="Times New Roman;Times;serif" w:hAnsi="Times New Roman;Times;serif"/>
          <w:color w:val="000000"/>
          <w:sz w:val="20"/>
        </w:rPr>
        <w:t xml:space="preserve">” shall mean a right to receive one Share or, in lieu thereof and to the extent set forth in the applicable award Agreement, the Fair Market Value of such Share in cash, which shall be contingent upon the expiration of a specified Restriction Period and which may, in addition thereto, be contingent upon the attainment of specified Performance Measures within a specified Performance Period.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Restricted Share Unit Award</w:t>
      </w:r>
      <w:r>
        <w:rPr>
          <w:rFonts w:ascii="Times New Roman;Times;serif" w:hAnsi="Times New Roman;Times;serif"/>
          <w:color w:val="000000"/>
          <w:sz w:val="20"/>
        </w:rPr>
        <w:t xml:space="preserve">” shall mean an award of Restricted Share Units under this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Restriction Period</w:t>
      </w:r>
      <w:r>
        <w:rPr>
          <w:rFonts w:ascii="Times New Roman;Times;serif" w:hAnsi="Times New Roman;Times;serif"/>
          <w:color w:val="000000"/>
          <w:sz w:val="20"/>
        </w:rPr>
        <w:t xml:space="preserve">” shall mean any period designated by the Committee during which (i) the Shares subject to a Restricted Share Award may not be sold, transferred, assigned, pledged, hypothecated or otherwise encumbered or disposed of, except as provided in this Plan or the Agreement relating to such award, or (ii) the conditions to vesting applicable to a Restricted Share Unit Award shall remain in effect.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SAR</w:t>
      </w:r>
      <w:r>
        <w:rPr>
          <w:rFonts w:ascii="Times New Roman;Times;serif" w:hAnsi="Times New Roman;Times;serif"/>
          <w:color w:val="000000"/>
          <w:sz w:val="20"/>
        </w:rPr>
        <w:t xml:space="preserve">” shall mean a share appreciation right which may be a Free-Standing SAR or a Tandem SAR.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Share</w:t>
      </w:r>
      <w:r>
        <w:rPr>
          <w:rFonts w:ascii="Times New Roman;Times;serif" w:hAnsi="Times New Roman;Times;serif"/>
          <w:color w:val="000000"/>
          <w:sz w:val="20"/>
        </w:rPr>
        <w:t xml:space="preserve">” shall mean a share of the Common Stock, $0.00001 par value per share, of the Company, and all rights appurtenant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Share Award</w:t>
      </w:r>
      <w:r>
        <w:rPr>
          <w:rFonts w:ascii="Times New Roman;Times;serif" w:hAnsi="Times New Roman;Times;serif"/>
          <w:color w:val="000000"/>
          <w:sz w:val="20"/>
        </w:rPr>
        <w:t xml:space="preserve">” shall mean a Bonus Share Award, Restricted Share Award or Restricted Share Unit Award.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Subsidiary</w:t>
      </w:r>
      <w:r>
        <w:rPr>
          <w:rFonts w:ascii="Times New Roman;Times;serif" w:hAnsi="Times New Roman;Times;serif"/>
          <w:color w:val="000000"/>
          <w:sz w:val="20"/>
        </w:rPr>
        <w:t xml:space="preserve">” shall mean any corporation, limited liability company, partnership, joint venture or similar entity in which the Company owns, directly or indirectly, an equity interest possessing more than 50% of the combined voting power of the total outstanding equity interests of such entity.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94" w:name="ny20064651x2_def14a_201-appendixb_pg3"/>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Substitute Award</w:t>
      </w:r>
      <w:r>
        <w:rPr>
          <w:rFonts w:ascii="Times New Roman;Times;serif" w:hAnsi="Times New Roman;Times;serif"/>
          <w:color w:val="000000"/>
          <w:sz w:val="20"/>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provided, however, that in no event shall the term “Substitute Award” be construed to refer to an award made in connection with the cancellation and repricing of an option or SAR.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Tandem SAR</w:t>
      </w:r>
      <w:r>
        <w:rPr>
          <w:rFonts w:ascii="Times New Roman;Times;serif" w:hAnsi="Times New Roman;Times;serif"/>
          <w:color w:val="000000"/>
          <w:sz w:val="20"/>
        </w:rPr>
        <w:t xml:space="preserve">” shall mean an SAR which is granted in tandem with, or by reference to, an option (including a Nonqualified Option granted prior to the date of grant of the SAR), which entitles the holder thereof to receive, upon exercise of such SAR and surrender for cancellation of all or a portion of such option, Shares (which may be Restricted Shares) or, to the extent provided in the applicable Agreement, cash or a combination thereof, with an aggregate value equal to the excess of the Fair Market Value of one Share on the date of exercise over the base price of such SAR, multiplied by the number of Shares subject to such option, or portion thereof, which is surrendered.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Tax Date</w:t>
      </w:r>
      <w:r>
        <w:rPr>
          <w:rFonts w:ascii="Times New Roman;Times;serif" w:hAnsi="Times New Roman;Times;serif"/>
          <w:color w:val="000000"/>
          <w:sz w:val="20"/>
        </w:rPr>
        <w:t xml:space="preserve">” shall have the meaning set forth in Section 5.5.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Ten Percent Holder</w:t>
      </w:r>
      <w:r>
        <w:rPr>
          <w:rFonts w:ascii="Times New Roman;Times;serif" w:hAnsi="Times New Roman;Times;serif"/>
          <w:color w:val="000000"/>
          <w:sz w:val="20"/>
        </w:rPr>
        <w:t xml:space="preserve">” shall have the meaning set forth in Section 2.1(a).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1.3 </w:t>
      </w:r>
      <w:r>
        <w:rPr>
          <w:rFonts w:ascii="Times New Roman;Times;serif" w:hAnsi="Times New Roman;Times;serif"/>
          <w:b/>
          <w:color w:val="000000"/>
          <w:sz w:val="20"/>
          <w:u w:val="single"/>
        </w:rPr>
        <w:t>Administration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This Plan shall be administered by the Committee. Any one or a combination of the following awards may be made under this Plan to eligible persons: (i) options to purchase Shares in the form of Incentive Stock Options or Nonqualified Options, (ii) SARs in the form of Tandem SARs or Free-Standing SARs, (iii) Share Awards in the form of Bonus Shares, Restricted Shares or Restricted Share Units and (iv) Performance Units. The Committee shall, subject to the terms of this Plan, select eligible persons for participation in this Plan and determine the form, amount and timing of each award to such persons and, if applicable, the number of Shares, the number of SARs, the number of Restricted Share Units and the number of Performance Units subject to such an award, the exercise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Restricted Shares or Restricted Share Units shall lapse, (iii) all or a portion of the Performance Period applicable to any outstanding award shall lapse and (iv) the Performance Measures (if any) applicable to any outstanding award shall be deemed to be satisfied at the target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All such interpretations, rules, regulations and conditions shall be conclusive and binding on all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delegate some or all of its power and authority hereunder to the Board or, subject to applicable law, to the Chief Executive Officer and President or such other executive officer as the Committee deems appropriate;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Committee may not delegate its power and authority to the President and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law and the Company’s Certificate of Incorporation or By-Laws, no member of the Board or Committee, and neither the Chief Executive Officer and President 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and President and any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or By-Laws, each as may be amended from time to time) and under any directors’ and officers’ liability insurance that may be in effect from time to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majority of the Committee shall constitute a quorum. The acts of the Committee shall be either (i) acts of a majority of the members of the Committee present at any meeting at which a quorum is present or (ii) acts approved in writing by all of the members of the Committee without a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1.4 </w:t>
      </w:r>
      <w:r>
        <w:rPr>
          <w:rFonts w:ascii="Times New Roman;Times;serif" w:hAnsi="Times New Roman;Times;serif"/>
          <w:b/>
          <w:color w:val="000000"/>
          <w:sz w:val="20"/>
          <w:u w:val="single"/>
        </w:rPr>
        <w:t>Eligibility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Participants in this Plan shall consist of such officers, Non-Employee Directors, employees, consultants, agents and independent contractors, and persons expected to become officers, Non-Employee Directors, employees, consultants, agents, and independent contractors of the Company and its Subsidiaries as the Committee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95" w:name="ny20064651x2_def14a_201-appendixb_pg4"/>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its sole discretion may select from time to time. The Committee’s selection of a person to participate in this Plan at any time shall not require the Committee to select such person to participate in this Plan at any other time. For purposes of this Plan and except as otherwise provided for in an Agreement, references to employment by the Company shall also mean employment by a Subsidiary, and references to employment shall include service as a Non-Employee Director or independent contractor. The Committee shall determine, in its sole discretion, the extent to which a participant shall be considered employed during any periods during which such participant is on an approved leave of absence.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1.5 </w:t>
      </w:r>
      <w:r>
        <w:rPr>
          <w:rFonts w:ascii="Times New Roman;Times;serif" w:hAnsi="Times New Roman;Times;serif"/>
          <w:b/>
          <w:color w:val="000000"/>
          <w:sz w:val="20"/>
          <w:u w:val="single"/>
        </w:rPr>
        <w:t>Shares Available</w:t>
      </w:r>
      <w:r>
        <w:rPr>
          <w:rFonts w:ascii="Times New Roman;Times;serif" w:hAnsi="Times New Roman;Times;serif"/>
          <w:b w:val="false"/>
          <w:color w:val="000000"/>
          <w:sz w:val="20"/>
        </w:rPr>
        <w:t>. Subject to adjustment as provided in Section 5.7 and to all other limits set forth in this Section 1.5, as of the Effective Date, 8,211,325 Shares shall be available for new awards granted under this Plan after the Effective Date, other than Substitute Awards. The number of Shares that remain available for future grants under the Plan shall be reduced by the sum of the aggregate number of Shares which become subject to outstanding options, outstanding Free-Standing SARs and outstanding Share Awards and delivered upon the settlement of Performance Units granted on or after the Effective Date. To the extent that Shares subject to an outstanding option, SAR, Share Award or other award granted under the Plan (including grants made under the Plan prior to the amendment and restatement set forth herein) or the Company’s 2019 Employment Inducement Incentive Plan (the “</w:t>
      </w:r>
      <w:r>
        <w:rPr>
          <w:rFonts w:ascii="Times New Roman;Times;serif" w:hAnsi="Times New Roman;Times;serif"/>
          <w:b w:val="false"/>
          <w:color w:val="000000"/>
          <w:sz w:val="20"/>
          <w:u w:val="single"/>
        </w:rPr>
        <w:t>Inducement Plan</w:t>
      </w:r>
      <w:r>
        <w:rPr>
          <w:rFonts w:ascii="Times New Roman;Times;serif" w:hAnsi="Times New Roman;Times;serif"/>
          <w:b w:val="false"/>
          <w:color w:val="000000"/>
          <w:sz w:val="20"/>
        </w:rPr>
        <w:t xml:space="preserve">”)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shall be available under this Plan, other than for grants of Incentive Stock Options under this Plan. Subject to the limit set forth above and to adjustment as provided in Section 5.7, the aggregate maximum number of Shares that may be issued pursuant to the exercise of Incentive Stock Options will be 25,000,000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Section 1.5 to the contrary, Shares subject to an award under this Plan or the Inducement Plan may not be made available for issuance under this Plan if such shares are: (i) shares that were subject to a Share-settled SAR and were not issued upon the net settlement or net exercise of such SAR, (ii) shares used to pay the exercise price of an option, (iii) shares delivered to or withheld by the Company to pay withholding taxes related to an award under this Plan or the Inducement Plan, or (iv) shares repurchased on the open market with the proceeds of an option exercise.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for awards under this Plan shall not be reduced by (i) the number of Shares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to be delivered under this Plan shall be made available from authorized and unissued Shares, or authorized and issued Shares reacquired and held as treasury shares or otherwise or a combination thereof.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II. OPTIONS AND SHARE APPRECIATION RIGHTS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2.1 </w:t>
      </w:r>
      <w:r>
        <w:rPr>
          <w:rFonts w:ascii="Times New Roman;Times;serif" w:hAnsi="Times New Roman;Times;serif"/>
          <w:b/>
          <w:color w:val="000000"/>
          <w:sz w:val="20"/>
          <w:u w:val="single"/>
        </w:rPr>
        <w:t>Options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Committee may, in its discretion, grant options to purchase Shares to such eligible persons as may be selected by the Committee. Each option, or portion thereof, that is not an Incentive Stock Option, shall be a Nonqualified Option. To the extent that the aggregate Fair Market Value (determined as of the date of grant) of Shares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Options shall be subject to the following terms and conditions and shall contain such additional terms and conditions, not inconsistent with the terms of this Plan, as the Committee shall deem advisable: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Number of Shares and Purchase Price</w:t>
      </w:r>
      <w:r>
        <w:rPr>
          <w:rFonts w:ascii="Times New Roman;Times;serif" w:hAnsi="Times New Roman;Times;serif"/>
          <w:color w:val="000000"/>
          <w:sz w:val="20"/>
        </w:rPr>
        <w:t xml:space="preserve">. The number of Shares subject to an option and the purchase price per Share purchasable upon exercise of the option shall be determined by the Committee; provided, however, that the purchase price per Share purchasable upon exercise of an option shall not be less than 100% of the Fair Market Value of a Share on the date of grant of such option; </w:t>
      </w:r>
      <w:r>
        <w:rPr>
          <w:rFonts w:ascii="Times New Roman;Times;serif" w:hAnsi="Times New Roman;Times;serif"/>
          <w:color w:val="000000"/>
          <w:sz w:val="20"/>
          <w:u w:val="single"/>
        </w:rPr>
        <w:t>provided further</w:t>
      </w:r>
      <w:r>
        <w:rPr>
          <w:rFonts w:ascii="Times New Roman;Times;serif" w:hAnsi="Times New Roman;Times;serif"/>
          <w:color w:val="000000"/>
          <w:sz w:val="20"/>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Times;serif" w:hAnsi="Times New Roman;Times;serif"/>
          <w:color w:val="000000"/>
          <w:sz w:val="20"/>
          <w:u w:val="single"/>
        </w:rPr>
        <w:t>Ten Percent Holder</w:t>
      </w:r>
      <w:r>
        <w:rPr>
          <w:rFonts w:ascii="Times New Roman;Times;serif" w:hAnsi="Times New Roman;Times;serif"/>
          <w:color w:val="000000"/>
          <w:sz w:val="20"/>
        </w:rPr>
        <w:t xml:space="preserve">”), the purchase price per Share shall not be less than the price (currently 110% of Fair Market Value) required by the Code in order to constitute an Incentive Stock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in the case of an option that is a Substitute Award, the purchase price per Share of the Shares subject to such option may be less than 100% of the Fair Market Value per Share on the date of grant,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96" w:name="ny20064651x2_def14a_201-appendixb_pg5"/>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Option Period and Exercisability</w:t>
      </w:r>
      <w:r>
        <w:rPr>
          <w:rFonts w:ascii="Times New Roman;Times;serif" w:hAnsi="Times New Roman;Times;serif"/>
          <w:color w:val="000000"/>
          <w:sz w:val="20"/>
        </w:rPr>
        <w:t xml:space="preserve">. The period during which an option may be exercised shall be determined by the Committee;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option shall be exercised later than ten years after its date of grant;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if an Incentive Stock Option shall be granted to a Ten Percent Holder, such option shall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Prior to the exercise of an option, the holder of such option shall have no rights as a stockholder of the Company with respect to the Shares subject to such option.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Method of Exercise</w:t>
      </w:r>
      <w:r>
        <w:rPr>
          <w:rFonts w:ascii="Times New Roman;Times;serif" w:hAnsi="Times New Roman;Times;serif"/>
          <w:color w:val="000000"/>
          <w:sz w:val="20"/>
        </w:rPr>
        <w:t xml:space="preserve">. An option may be exercised (i) by giving written notice to the Company specifying the number of whole Shares to be purchased and accompanying such notice with payment therefor in full (or arrangement made for such payment to the Company’s satisfaction) either (A) in cash, (B) by delivery (either actual delivery or by attestation procedures established by the Company) of Shares having a Fair Market Value, determined as of the date of exercise, equal to the aggregate purchase price payable by reason of such exercise, (C) authorizing the Company to withhold whole Shares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which would be required to pay such purchase price shall be disregarded and the remaining amount due shall be paid in cash by the optionee. No Shares shall be issued and no certificate representing Shares shall be delivered until the full purchase price therefor and any withholding taxes thereon, as described in Section 5.5, have been paid (or arrangement made for such payment to the Company’s satisfaction).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2.2 </w:t>
      </w:r>
      <w:r>
        <w:rPr>
          <w:rFonts w:ascii="Times New Roman;Times;serif" w:hAnsi="Times New Roman;Times;serif"/>
          <w:b/>
          <w:color w:val="000000"/>
          <w:sz w:val="20"/>
          <w:u w:val="single"/>
        </w:rPr>
        <w:t>Share Appreciation Rights</w:t>
      </w:r>
      <w:r>
        <w:rPr>
          <w:rFonts w:ascii="Times New Roman;Times;serif" w:hAnsi="Times New Roman;Times;serif"/>
          <w:b w:val="false"/>
          <w:color w:val="000000"/>
          <w:sz w:val="20"/>
        </w:rPr>
        <w:t xml:space="preserve">. The Committee may, in its discretion, grant SARs to such eligible persons as may be selected by the Committee. The Agreement relating to an SAR shall specify whether the SAR is a Tandem SAR or a Free-Standing SAR.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SARs shall be subject to the following terms and conditions and shall contain such additional terms and conditions, not inconsistent with the terms of this Plan, as the Committee shall deem advisable: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Number of SARs and Base Price</w:t>
      </w:r>
      <w:r>
        <w:rPr>
          <w:rFonts w:ascii="Times New Roman;Times;serif" w:hAnsi="Times New Roman;Times;serif"/>
          <w:color w:val="000000"/>
          <w:sz w:val="20"/>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the related option. The base price of a Free-Standing SAR shall be determined by the Committee;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such base price shall not be less than 100% of the Fair Market Value of a Share on the date of grant of such SAR.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Period and Exercisability</w:t>
      </w:r>
      <w:r>
        <w:rPr>
          <w:rFonts w:ascii="Times New Roman;Times;serif" w:hAnsi="Times New Roman;Times;serif"/>
          <w:color w:val="000000"/>
          <w:sz w:val="20"/>
        </w:rPr>
        <w:t xml:space="preserve">. The period for the exercise of an SAR shall be determined by the Committee;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Tandem SAR shall be exercised later than the expiration, cancellation, forfeiture or other termination of the related option and no Free-Standing SAR shall be exercised later than ten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97" w:name="ny20064651x2_def14a_201-appendixb_pg6"/>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and, in the case of a Free-Standing SAR, only with respect to a whole number of SARs. If an SAR is exercised for shares of Restricted Shares, a certificate or certificates representing such Restricted Shares shall be issued in accordance with Section 3.3(c), or such shares shall be transferred to the holder in book entry form with restrictions on the Shares duly noted, and the holder of such Restricted Shares shall have such rights of a stockholder of the Company as determined pursuant to Section 3.3(d). Prior to the exercise of an SAR, the holder of such SAR shall have no rights as a stockholder of the Company with respect to the Shares subject to such SAR.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Method of Exercise</w:t>
      </w:r>
      <w:r>
        <w:rPr>
          <w:rFonts w:ascii="Times New Roman;Times;serif" w:hAnsi="Times New Roman;Times;serif"/>
          <w:color w:val="000000"/>
          <w:sz w:val="20"/>
        </w:rPr>
        <w:t xml:space="preserve">.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shall be issued and no certificate representing Shares shall be delivered until any withholding taxes thereon, as described in Section 5.5, have been paid (or arrangement made for such payment to the Company’s satisfaction).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2.3 </w:t>
      </w:r>
      <w:r>
        <w:rPr>
          <w:rFonts w:ascii="Times New Roman;Times;serif" w:hAnsi="Times New Roman;Times;serif"/>
          <w:b/>
          <w:color w:val="000000"/>
          <w:sz w:val="20"/>
          <w:u w:val="single"/>
        </w:rPr>
        <w:t>Termination of Employment or Service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All of the terms relating to the exercise, cancellation or other disposition of an option or SAR (i) upon a 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award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2.4 </w:t>
      </w:r>
      <w:r>
        <w:rPr>
          <w:rFonts w:ascii="Times New Roman;Times;serif" w:hAnsi="Times New Roman;Times;serif"/>
          <w:b/>
          <w:color w:val="000000"/>
          <w:sz w:val="20"/>
          <w:u w:val="single"/>
        </w:rPr>
        <w:t>Repricing of Options and SARs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Committee may not amend or replace any previously granted option or SAR in a transaction that constitutes a repricing within the meaning of the rules of the Nasdaq Stock Exchange or any other stock exchange on which Shares are then traded, without prior approval of the stockholders of the Company.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III. SHARE AWARDS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3.1 </w:t>
      </w:r>
      <w:r>
        <w:rPr>
          <w:rFonts w:ascii="Times New Roman;Times;serif" w:hAnsi="Times New Roman;Times;serif"/>
          <w:b/>
          <w:color w:val="000000"/>
          <w:sz w:val="20"/>
          <w:u w:val="single"/>
        </w:rPr>
        <w:t>Share Awards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Committee may, in its discretion, grant Share Awards to such eligible persons as may be selected by the Committee. The Agreement relating to a Share Award shall specify whether the Share Award is a Bonus Share Award, Restricted Share Award or Restricted Share Unit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3.2 </w:t>
      </w:r>
      <w:r>
        <w:rPr>
          <w:rFonts w:ascii="Times New Roman;Times;serif" w:hAnsi="Times New Roman;Times;serif"/>
          <w:b/>
          <w:color w:val="000000"/>
          <w:sz w:val="20"/>
          <w:u w:val="single"/>
        </w:rPr>
        <w:t>Terms of Bonus Share Awards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number of Shares subject to a Bonus Share Award shall be determined by the Committee. Bonus Share Awards shall not be subject to any Restriction Periods or Performance Measures. Upon the grant of a Bonus Share Award, subject to the Company’s right to require payment of any taxes in accordance with Section 5.5, a certificate or certificates evidencing ownership of the requisite number of Shares shall be delivered to the holder of such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3.3 </w:t>
      </w:r>
      <w:r>
        <w:rPr>
          <w:rFonts w:ascii="Times New Roman;Times;serif" w:hAnsi="Times New Roman;Times;serif"/>
          <w:b/>
          <w:color w:val="000000"/>
          <w:sz w:val="20"/>
          <w:u w:val="single"/>
        </w:rPr>
        <w:t>Terms of Restricted Share Awards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Restricted Share Awards shall be subject to the following terms and conditions and shall contain such additional terms and conditions, not inconsistent with the terms of this Plan, as the Committee shall deem advisable.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Number of Shares and Other Terms</w:t>
      </w:r>
      <w:r>
        <w:rPr>
          <w:rFonts w:ascii="Times New Roman;Times;serif" w:hAnsi="Times New Roman;Times;serif"/>
          <w:color w:val="000000"/>
          <w:sz w:val="20"/>
        </w:rPr>
        <w:t xml:space="preserve">. The number of Shares subject to a Restricted Share Award and the Restriction Period, Performance Period (if any) and Performance Measures (if any) applicable to a Restricted Share Award shall be determined by the Committee.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Vesting and Forfeiture</w:t>
      </w:r>
      <w:r>
        <w:rPr>
          <w:rFonts w:ascii="Times New Roman;Times;serif" w:hAnsi="Times New Roman;Times;serif"/>
          <w:color w:val="000000"/>
          <w:sz w:val="20"/>
        </w:rPr>
        <w:t xml:space="preserve">. The Agreement relating to a Restricted Share Award shall provide, in the manner determined by the Committee, in its discretion, and subject to the provisions of this Plan, for the vesting of the Shares subject to such award (i) if the holder of such award remains continuously in the employment or service of the Company during the specified Restriction Period and (ii) if specified Performance Measures (if any) are satisfied or met during a specified Performance Period, and for the forfeiture of the Shares subject to such award (x) if the holder of such award does not remain continuously in the employment or service of the Company during the specified Restriction Period or (y) if specified Performance Measures (if any) are not satisfied or met during a specified Performance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98" w:name="ny20064651x2_def14a_201-appendixb_pg7"/>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Share Issuance</w:t>
      </w:r>
      <w:r>
        <w:rPr>
          <w:rFonts w:ascii="Times New Roman;Times;serif" w:hAnsi="Times New Roman;Times;serif"/>
          <w:color w:val="000000"/>
          <w:sz w:val="20"/>
        </w:rPr>
        <w:t xml:space="preserve">. During the Restriction Period, the Restricted Shares shall be held by a custodian in book entry form with restrictions on such Shares duly noted or, alternatively, a certificate or certificates representing a Restricted Share Award shall be registered in the holder’s name and may bear a legend, in addition to any legend which may be required pursuant to Section 5.6, indicating that the ownership of the Shares represented by such certificate is subject to the restrictions, terms and conditions of this Plan and the Agreement relating to the Restricted Share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subject to the Restricted Share Award in the event such award is forfeited in whole or in part. Upon termination of any applicable Restriction Period (and the satisfaction or attainment of applicable Performance Measures), subject to the Company’s right to require payment of any taxes in accordance with Section 5.5, the restrictions shall be removed from the requisite number of any Shares that are held in book entry form, and all certificates evidencing ownership of the requisite number of Shares shall be delivered to the holder of such award.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Rights with Respect to Restricted Share Awards</w:t>
      </w:r>
      <w:r>
        <w:rPr>
          <w:rFonts w:ascii="Times New Roman;Times;serif" w:hAnsi="Times New Roman;Times;serif"/>
          <w:color w:val="000000"/>
          <w:sz w:val="20"/>
        </w:rPr>
        <w:t xml:space="preserve">. Unless otherwise set forth in the Agreement relating to a Restricted Share Award, and subject to the terms and conditions of a Restricted Share Award, the holder of such award shall have all rights as a stockholder of the Company, including, but not limited to, voting rights, the right to receive dividends and the right to participate in any capital adjustment applicable to all holders of Shares; provided, however, that (i) a distribution with respect to Shares, other than a regular cash dividend, and (ii) a regular cash dividend with respect to Shares that are subject to performance-based vesting conditions, in each case, shall be deposited with the Company and shall be subject to the same restrictions as the Shares with respect to which such distribution was made; provided, further, that holders of unvested Shares shall not have any rights to regular cash dividends or dividend equivalents with respect to such unvested Shares, and any cash dividends or dividend equivalent shall not be accrued and paid until such unvested Shares become vested Shares.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3.4 </w:t>
      </w:r>
      <w:r>
        <w:rPr>
          <w:rFonts w:ascii="Times New Roman;Times;serif" w:hAnsi="Times New Roman;Times;serif"/>
          <w:b/>
          <w:color w:val="000000"/>
          <w:sz w:val="20"/>
          <w:u w:val="single"/>
        </w:rPr>
        <w:t>Terms of Restricted Share Unit Awards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Restricted Share Unit Awards shall be subject to the following terms and conditions and shall contain such additional terms and conditions, not inconsistent with the terms of this Plan, as the Committee shall deem advisable.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Number of Shares and Other Terms</w:t>
      </w:r>
      <w:r>
        <w:rPr>
          <w:rFonts w:ascii="Times New Roman;Times;serif" w:hAnsi="Times New Roman;Times;serif"/>
          <w:color w:val="000000"/>
          <w:sz w:val="20"/>
        </w:rPr>
        <w:t xml:space="preserve">. The number of Shares subject to a Restricted Share Unit Award and the Restriction Period, Performance Period (if any) and Performance Measures (if any) applicable to a Restricted Share Unit Award shall be determined by the Committee.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Vesting and Forfeiture</w:t>
      </w:r>
      <w:r>
        <w:rPr>
          <w:rFonts w:ascii="Times New Roman;Times;serif" w:hAnsi="Times New Roman;Times;serif"/>
          <w:color w:val="000000"/>
          <w:sz w:val="20"/>
        </w:rPr>
        <w:t xml:space="preserve">. The Agreement relating to a Restricted Share Unit Award shall provide, in the manner determined by the Committee, in its discretion, and subject to the provisions of this Plan, for the vesting of such Restricted Share Unit Award (i) if the holder of such award remains continuously in the employment or service of the Company during the specified Restriction Period and (ii) if specified Performance Measures (if any) are satisfied or met during a specified Performance Period, and for the forfeiture of the Shares subject to such award (x) if the holder of such award does not remain continuously in the employment or service of the Company during the specified Restriction Period or (y) if specified Performance Measures (if any) are not satisfied or met during a specified Performance Period.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Settlement of Vested Restricted Share Unit Awards</w:t>
      </w:r>
      <w:r>
        <w:rPr>
          <w:rFonts w:ascii="Times New Roman;Times;serif" w:hAnsi="Times New Roman;Times;serif"/>
          <w:color w:val="000000"/>
          <w:sz w:val="20"/>
        </w:rPr>
        <w:t xml:space="preserve">. The Agreement relating to a Restricted Share Unit Award shall specify (i) whether such award may be settled in Shares or cash or a combination thereof and (ii) whether the holder thereof shall be entitled to receive, on a current or deferred basis, dividend equivalents, and, if determined by the Committee, interest on, or the deemed reinvestment of, any deferred dividend equivalents, with respect to the number of Shares subject to such award. Any dividend equivalents with respect to Restricted Share Units that are subject to performance-based vesting conditions shall be subject to the same restrictions as such Restricted Share Units. Prior to the settlement of a Restricted Share Unit Award, the holder of such award shall have no rights as a stockholder of the Company with respect to the Shares subject to such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3.5 </w:t>
      </w:r>
      <w:r>
        <w:rPr>
          <w:rFonts w:ascii="Times New Roman;Times;serif" w:hAnsi="Times New Roman;Times;serif"/>
          <w:b/>
          <w:color w:val="000000"/>
          <w:sz w:val="20"/>
          <w:u w:val="single"/>
        </w:rPr>
        <w:t>Termination of Employment or Service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All of the terms relating to the satisfaction of Performance Measures and the termination of the Restriction Period or Performance Period relating to a Share Award, or any forfeiture and cancellation of such award (i) upon a termination of employment or service with the Company of the holder of such award, whether by reason of disability, retirement, death or any other reason, or (ii) during a paid or unpaid leave of absence, shall be determined by the Committee and set forth in the applicable award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99" w:name="ny20064651x2_def14a_201-appendixb_pg8"/>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IV. PERFORMANCE UNIT AWARDS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4.1 </w:t>
      </w:r>
      <w:r>
        <w:rPr>
          <w:rFonts w:ascii="Times New Roman;Times;serif" w:hAnsi="Times New Roman;Times;serif"/>
          <w:b/>
          <w:color w:val="000000"/>
          <w:sz w:val="20"/>
          <w:u w:val="single"/>
        </w:rPr>
        <w:t>Performance Unit Awards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Committee may, in its discretion, grant Performance Unit Awards to such eligible persons as may be selected by the Committee.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4.2 </w:t>
      </w:r>
      <w:r>
        <w:rPr>
          <w:rFonts w:ascii="Times New Roman;Times;serif" w:hAnsi="Times New Roman;Times;serif"/>
          <w:b/>
          <w:color w:val="000000"/>
          <w:sz w:val="20"/>
          <w:u w:val="single"/>
        </w:rPr>
        <w:t>Terms of Performance Unit Awards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Performance Unit Awards shall be subject to the following terms and conditions and shall contain such additional terms and conditions, not inconsistent with the terms of this Plan, as the Committee shall deem advisable.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Number of Performance Units and Performance Measures</w:t>
      </w:r>
      <w:r>
        <w:rPr>
          <w:rFonts w:ascii="Times New Roman;Times;serif" w:hAnsi="Times New Roman;Times;serif"/>
          <w:color w:val="000000"/>
          <w:sz w:val="20"/>
        </w:rPr>
        <w:t xml:space="preserve">. The number of Performance Units subject to a Performance Unit Award and the Performance Measures and Performance Period applicable to a Performance Unit Award shall be determined by the Committee.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Vesting and Forfeiture</w:t>
      </w:r>
      <w:r>
        <w:rPr>
          <w:rFonts w:ascii="Times New Roman;Times;serif" w:hAnsi="Times New Roman;Times;serif"/>
          <w:color w:val="000000"/>
          <w:sz w:val="20"/>
        </w:rPr>
        <w:t xml:space="preserve">. The Agreement relating to a Performance Unit Award shall provide, in the manner determined by the Committee, in its discretion, and subject to the provisions of this Plan, for the vesting of such Performance Unit Award if the specified Performance Measures are satisfied or met during the specified Performance Period and for the forfeiture of such award if the specified Performance Measures are not satisfied or met during the specified Performance Period.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Settlement of Vested Performance Unit Awards</w:t>
      </w:r>
      <w:r>
        <w:rPr>
          <w:rFonts w:ascii="Times New Roman;Times;serif" w:hAnsi="Times New Roman;Times;serif"/>
          <w:color w:val="000000"/>
          <w:sz w:val="20"/>
        </w:rPr>
        <w:t xml:space="preserve">. The Agreement relating to a Performance Unit Award shall specify whether such award may be settled in Shares (including shares of Restricted Shares) or cash or a combination thereof. If a Performance Unit Award is settled in Restricted Shares, such Restricted Shares shall be issued to the holder in book entry form or a certificate or certificates representing such Restricted Shares shall be issued in accordance with Section 3.3(c) and the holder of such Restricted Shares shall have such rights as a stockholder of the Company as determined pursuant to Section 3.3(d). Any dividends or dividend equivalents with respect to a Performance Unit Award shall be subject to the same restrictions as such Performance Unit Award. Prior to the settlement of a Performance Unit Award in Shares, including Restricted Shares, the holder of such award shall have no rights as a stockholder of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4.3 </w:t>
      </w:r>
      <w:r>
        <w:rPr>
          <w:rFonts w:ascii="Times New Roman;Times;serif" w:hAnsi="Times New Roman;Times;serif"/>
          <w:b/>
          <w:color w:val="000000"/>
          <w:sz w:val="20"/>
          <w:u w:val="single"/>
        </w:rPr>
        <w:t>Termination of Employment or Service</w:t>
      </w:r>
      <w:r>
        <w:rPr>
          <w:rFonts w:ascii="Times New Roman;Times;serif" w:hAnsi="Times New Roman;Times;serif"/>
          <w:b w:val="false"/>
          <w:color w:val="000000"/>
          <w:sz w:val="20"/>
        </w:rPr>
        <w:t xml:space="preserve">. All of the terms relating to the satisfaction of Performance Measures and the termination of the Performance Period relating to a Performance Unit Award, or any forfeiture and cancellation of such award (i) upon a termination of employment or service with the Company of the holder of such award, whether by reason of disability, retirement, death or any other reason, or (ii) during a paid or unpaid leave of absence, shall be determined by the Committee and set forth in the applicable award Agreement.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V. GENERAL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5.1 </w:t>
      </w:r>
      <w:r>
        <w:rPr>
          <w:rFonts w:ascii="Times New Roman;Times;serif" w:hAnsi="Times New Roman;Times;serif"/>
          <w:b/>
          <w:color w:val="000000"/>
          <w:sz w:val="20"/>
          <w:u w:val="single"/>
        </w:rPr>
        <w:t>Effective Date and Term of Plan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This Plan will become effective on the day the stockholders of the Company approve this Plan and shall not terminate except by the explicit action of the Board. No Incentive Stock Option shall be granted after the tenth anniversary of the date this Plan, as amended and restated herein, is adopted by the Board or approved by the Company’s stockholders, whichever is earlier. Termination of this Plan shall not affect the terms or conditions of any award granted prior to termination. Awards hereunder may be made at any time prior to the termination of this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5.2 </w:t>
      </w:r>
      <w:r>
        <w:rPr>
          <w:rFonts w:ascii="Times New Roman;Times;serif" w:hAnsi="Times New Roman;Times;serif"/>
          <w:b/>
          <w:color w:val="000000"/>
          <w:sz w:val="20"/>
          <w:u w:val="single"/>
        </w:rPr>
        <w:t>Amendments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Board may amend this Plan as it shall deem advisable, subject to any requirement of stockholder approval required by applicable law, rule or regulation, including any rule of the Nasdaq Stock Exchange or any other stock exchange on which Shares are then traded; </w:t>
      </w:r>
      <w:r>
        <w:rPr>
          <w:rFonts w:ascii="Times New Roman;Times;serif" w:hAnsi="Times New Roman;Times;serif"/>
          <w:b w:val="false"/>
          <w:color w:val="000000"/>
          <w:sz w:val="20"/>
          <w:u w:val="single"/>
        </w:rPr>
        <w:t>provided</w:t>
      </w:r>
      <w:r>
        <w:rPr>
          <w:rFonts w:ascii="Times New Roman;Times;serif" w:hAnsi="Times New Roman;Times;serif"/>
          <w:b w:val="false"/>
          <w:color w:val="000000"/>
          <w:sz w:val="20"/>
        </w:rPr>
        <w:t xml:space="preserve">, </w:t>
      </w:r>
      <w:r>
        <w:rPr>
          <w:rFonts w:ascii="Times New Roman;Times;serif" w:hAnsi="Times New Roman;Times;serif"/>
          <w:b w:val="false"/>
          <w:color w:val="000000"/>
          <w:sz w:val="20"/>
          <w:u w:val="single"/>
        </w:rPr>
        <w:t>however</w:t>
      </w:r>
      <w:r>
        <w:rPr>
          <w:rFonts w:ascii="Times New Roman;Times;serif" w:hAnsi="Times New Roman;Times;serif"/>
          <w:b w:val="false"/>
          <w:color w:val="000000"/>
          <w:sz w:val="20"/>
        </w:rPr>
        <w:t xml:space="preserve">, that no amendment may materially impair the rights of a holder of an outstanding award without the consent of such holder.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5.3 </w:t>
      </w:r>
      <w:r>
        <w:rPr>
          <w:rFonts w:ascii="Times New Roman;Times;serif" w:hAnsi="Times New Roman;Times;serif"/>
          <w:b/>
          <w:color w:val="000000"/>
          <w:sz w:val="20"/>
          <w:u w:val="single"/>
        </w:rPr>
        <w:t>Agreement</w:t>
      </w:r>
      <w:r>
        <w:rPr>
          <w:rFonts w:ascii="Times New Roman;Times;serif" w:hAnsi="Times New Roman;Times;serif"/>
          <w:b w:val="false"/>
          <w:color w:val="000000"/>
          <w:sz w:val="20"/>
        </w:rPr>
        <w:t xml:space="preserve">. Each award under this Plan shall be evidenced by an Agreement setting forth the terms and conditions applicable to such award. No award shall be valid until an Agreement is executed by the Company and, to the extent required by the Company, either executed by the recipient or accepted by the recipient by electronic means approved by the Company within the time period specified by the Company. Upon such execution or execution and electronic acceptance, and delivery of the Agreement to the Company, such award shall be effective as of the effective date set forth in the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5.4 </w:t>
      </w:r>
      <w:r>
        <w:rPr>
          <w:rFonts w:ascii="Times New Roman;Times;serif" w:hAnsi="Times New Roman;Times;serif"/>
          <w:b/>
          <w:color w:val="000000"/>
          <w:sz w:val="20"/>
          <w:u w:val="single"/>
        </w:rPr>
        <w:t>Non-Transferability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No award shall be transferable other than by will, the laws of descent and distribution or pursuant to beneficiary designation procedures approved by the Company or, to the extent expressly permitted in the Agreement relating to such award, to the holder’s family members, a trust or entity established by the holder for estate planning purposes or a charitable organization designated by the holder, in each case, without consideration. Except to the extent permitted by the foregoing sentence or the Agreement relating to an award, each award may be exercised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100" w:name="ny20064651x2_def14a_201-appendixb_pg9"/>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5.5 </w:t>
      </w:r>
      <w:r>
        <w:rPr>
          <w:rFonts w:ascii="Times New Roman;Times;serif" w:hAnsi="Times New Roman;Times;serif"/>
          <w:b/>
          <w:color w:val="000000"/>
          <w:sz w:val="20"/>
          <w:u w:val="single"/>
        </w:rPr>
        <w:t>Tax Withholding</w:t>
      </w:r>
      <w:r>
        <w:rPr>
          <w:rFonts w:ascii="Times New Roman;Times;serif" w:hAnsi="Times New Roman;Times;serif"/>
          <w:b w:val="false"/>
          <w:color w:val="000000"/>
          <w:sz w:val="20"/>
        </w:rPr>
        <w:t>. The Company shall have the right to require, prior to the issuance or delivery of any Shares or the payment of any cash pursuant to an award made hereunder, payment by the holder of such award of any federal, state, local or other taxes which may be required to be withheld or paid in connection with such award. An Agreement may provide that (i) the Company shall withhold whole Shares which would otherwise be delivered to a holder, having an aggregate Fair Market Value determined as of the date the obligation to withhold or pay taxes arises in connection with an award (the “</w:t>
      </w:r>
      <w:r>
        <w:rPr>
          <w:rFonts w:ascii="Times New Roman;Times;serif" w:hAnsi="Times New Roman;Times;serif"/>
          <w:b w:val="false"/>
          <w:color w:val="000000"/>
          <w:sz w:val="20"/>
          <w:u w:val="single"/>
        </w:rPr>
        <w:t>Tax Date</w:t>
      </w:r>
      <w:r>
        <w:rPr>
          <w:rFonts w:ascii="Times New Roman;Times;serif" w:hAnsi="Times New Roman;Times;serif"/>
          <w:b w:val="false"/>
          <w:color w:val="000000"/>
          <w:sz w:val="20"/>
        </w:rPr>
        <w:t xml:space="preserve">”),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having an aggregate Fair Market Value, determined as of the Tax Date, equal to the amount necessary to satisfy any such obligation, (C) authorizing the Company to withhold whole Shares which would otherwise be delivered having an aggregate Fair Market Value, determined as of the Tax Date, or withhold an amount of cash which would otherwise be payable to a holder, equal to the amount necessary to satisfy any such obligation, (D) in the case of the exercise of an option and except as may be prohibited by applicable law, a cash payment by a broker-dealer acceptable to the Company to whom the optionee has submitted an irrevocable notice of exercise or (E) any combination of (A), (B) and (C), in each case to the extent set forth in the Agreement relating to the award. Shares to be delivered or withheld may not have an aggregate Fair Market Value in excess of the amount determined by applying the minimum statutory withholding rate. Any fraction of a Share which would be required to satisfy such an obligation shall be disregarded and the remaining amount due shall be paid in cash by the holder.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5.6 </w:t>
      </w:r>
      <w:r>
        <w:rPr>
          <w:rFonts w:ascii="Times New Roman;Times;serif" w:hAnsi="Times New Roman;Times;serif"/>
          <w:b/>
          <w:color w:val="000000"/>
          <w:sz w:val="20"/>
          <w:u w:val="single"/>
        </w:rPr>
        <w:t>Restrictions on Shares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Each award made hereunder shall be subject to the requirement that if at any time the Company determines that the listing, registration or qualification of the Shares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delivered pursuant to any award made hereunder bear a legend indicating that the sale, transfer or other disposition thereof by the holder is prohibited except in compliance with the Securities Act of 1933, as amended, and the rules and regulations thereunder.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5.7 </w:t>
      </w:r>
      <w:r>
        <w:rPr>
          <w:rFonts w:ascii="Times New Roman;Times;serif" w:hAnsi="Times New Roman;Times;serif"/>
          <w:b/>
          <w:color w:val="000000"/>
          <w:sz w:val="20"/>
          <w:u w:val="single"/>
        </w:rPr>
        <w:t>Adjustment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In the event of any equity restructuring (within the meaning of Financial Accounting Standards Board Accounting Standards Codification Topic 718, Compensation—Stock Compensation) that causes the per Share value of Shares to change after the effectiveness of the Initial Public Offering, such as a stock dividend, stock split, spinoff, rights offering or recapitalization through an extraordinary dividend, the number and class of securities available under this Plan or specified in any section of this Plan, the terms of each outstanding option and SAR (including the number and class of securities subject to each outstanding option or SAR and the purchase price or base price per share), the terms of each outstanding Restricted Stock Award and Restricted Stock Unit Award (including the number and class of securities subject thereto), and the terms of each outstanding Performance Unit Award shall be appropriately adjusted by the Committee, such adjustments to be made in the case of outstanding options and SARs without an increase in the aggregate purchase price or base price and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5.8 </w:t>
      </w:r>
      <w:r>
        <w:rPr>
          <w:rFonts w:ascii="Times New Roman;Times;serif" w:hAnsi="Times New Roman;Times;serif"/>
          <w:b/>
          <w:color w:val="000000"/>
          <w:sz w:val="20"/>
          <w:u w:val="single"/>
        </w:rPr>
        <w:t>Change in Control</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the terms of the applicable award Agreement, in the event of a Change in Control, the Board (as constituted prior to such Change in Control) may, in its discretion: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(i) provide that (A) some or all outstanding options and SARs shall become exercisable in full or in part, either immediately or upon a subsequent termination of employment or service, (B) the Restriction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101" w:name="ny20064651x2_def14a_201-appendixb_pg10"/>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Period applicable to some or all outstanding Restricted Share Awards and Restricted Share Unit Awards shall lapse in full or in part, either immediately or upon a subsequent termination of employment or service, (C) the Performance Period applicable to some or all outstanding awards shall lapse in full or in part, and (D) the Performance Measures applicable to some or all outstanding awards shall be deemed to be satisfied at the target or any other level;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(ii) require that shares of the corporation or other entity resulting from such Change in Control, or a parent thereof, be substituted for some or all of the Shares subject to an outstanding award, with an appropriate and equitable adjustment to such award as shall be determined by the Board in accordance with Section 5.7; and/or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(iii) require outstanding awards, in whole or in part, to be surrendered to the Company by the holder, and to be immediately cancelled by the Company, and to provide for the holder to receive (A) a cash payment in an amount equal to (i) in the case of an option or an SAR, the number of Shares then subject to the portion of such option or SAR surrendered multiplied by the excess, if any, of the Fair Market Value of a Share as of the date of the Change in Control, over the purchase price or base price per Share subject to such option or SAR, (ii) in the case of a Share Award, the number of Shares then subject to the portion of such award surrendered multiplied by the Fair Market Value of a Share as of the date of the Change in Control, and (iii) in the case of a Performance Unit Award, the value of the Performance Units then subject to the portion of such award surrendered; (B) shares of the corporation or other entity resulting from such Change in Control, or a parent thereof, having a fair market value not less than the amount determined under clause (A) above; or (C) a combination of the payment of cash pursuant to clause (A) above and the issuance of shares pursuant to clause (B) above.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 “</w:t>
      </w:r>
      <w:r>
        <w:rPr>
          <w:rFonts w:ascii="Times New Roman;Times;serif" w:hAnsi="Times New Roman;Times;serif"/>
          <w:color w:val="000000"/>
          <w:sz w:val="20"/>
          <w:u w:val="single"/>
        </w:rPr>
        <w:t>Change in Control</w:t>
      </w:r>
      <w:r>
        <w:rPr>
          <w:rFonts w:ascii="Times New Roman;Times;serif" w:hAnsi="Times New Roman;Times;serif"/>
          <w:color w:val="000000"/>
          <w:sz w:val="20"/>
        </w:rPr>
        <w:t xml:space="preserve">” of the Company shall be deemed to have occurred upon the occurrence of any of the following events: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acquisition, other than from the Company, by any individual, entity or group (within the meaning of Section 13(d)(3) or 14(d)(2) of the Exchange Act) of beneficial ownership (within the meaning of Rule 13d-3 promulgated under the Exchange Act) of 50% or more of either the then outstanding Shares of the Company or the combined voting power of the then outstanding voting securities of the Company entitled to vote generally in the election of directors, but excluding, for this purpose, any such acquisition by the Company or any of its Subsidiaries, or any employee benefit plan (or related trust) of the Company or its Subsidiaries, or any corporation with respect to which, following such acquisition, more than 50% of, respectively, the then outstanding Shares of such corporation and the combined voting power of the then outstanding voting securities of such corporation entitled to vote generally in the election of all or substantially all directors is then beneficially owned, directly or indirectly, by the individuals and entities who were the beneficial owners, respectively, of Shares and voting securities of the Company immediately prior to such acquisition in substantially the same proportion as their ownership, immediately prior to such acquisition, of the then outstanding Shares of the Company or the combined voting power of the then outstanding voting securities of the Company entitled to vote generally in the election of directors, as the case may be;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consummation of a reorganization, merger or consolidation of the Company, in each case, with respect to which all or substantially all of the individuals and entities who were the respective beneficial owners of Shares and voting securities of the Company immediately prior to such reorganization, merger or consolidation do not, following such reorganization, merger or consolidation, beneficially own, directly or indirectly, more than 50% of, respectively, the then outstanding Shares and the combined voting power of the then outstanding voting securities entitled to vote generally in the election of directors, as the case may be, of the corporation resulting from such reorganization, merger or consolidation;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(iii) During any twenty-four (24) month period, individuals who, as of the beginning of such period, constitute the Board (the “Incumbent Directors”)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102" w:name="ny20064651x2_def14a_201-appendixb_pg11"/>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 complete liquidation or dissolution of the Company or of the sale or other disposition of all or substantially all of the assets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 event shall a Change in Control include the Initial Public Offering or any bona fide primary or secondary public offering following the occurrence of the Initial Public Offering.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5.9 </w:t>
      </w:r>
      <w:r>
        <w:rPr>
          <w:rFonts w:ascii="Times New Roman;Times;serif" w:hAnsi="Times New Roman;Times;serif"/>
          <w:b/>
          <w:color w:val="000000"/>
          <w:sz w:val="20"/>
          <w:u w:val="single"/>
        </w:rPr>
        <w:t>Deferrals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Committee may determine that the delivery of Shares or the payment of cash, or a combination thereof, upon the exercise or settlement of all or a portion of any award (other than awards of Incentive Stock Options, Nonqualified Options and SARs)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5.10 </w:t>
      </w:r>
      <w:r>
        <w:rPr>
          <w:rFonts w:ascii="Times New Roman;Times;serif" w:hAnsi="Times New Roman;Times;serif"/>
          <w:b/>
          <w:color w:val="000000"/>
          <w:sz w:val="20"/>
          <w:u w:val="single"/>
        </w:rPr>
        <w:t>No Right of Participation, Employment or Service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Unless otherwise set forth in an employment agreement, no person shall have any 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5.11 </w:t>
      </w:r>
      <w:r>
        <w:rPr>
          <w:rFonts w:ascii="Times New Roman;Times;serif" w:hAnsi="Times New Roman;Times;serif"/>
          <w:b/>
          <w:color w:val="000000"/>
          <w:sz w:val="20"/>
          <w:u w:val="single"/>
        </w:rPr>
        <w:t>Rights as Stockholder</w:t>
      </w:r>
      <w:r>
        <w:rPr>
          <w:rFonts w:ascii="Times New Roman;Times;serif" w:hAnsi="Times New Roman;Times;serif"/>
          <w:b/>
          <w:color w:val="000000"/>
          <w:sz w:val="20"/>
        </w:rPr>
        <w:t xml:space="preserve">. No </w:t>
      </w:r>
      <w:r>
        <w:rPr>
          <w:rFonts w:ascii="Times New Roman;Times;serif" w:hAnsi="Times New Roman;Times;serif"/>
          <w:b w:val="false"/>
          <w:color w:val="000000"/>
          <w:sz w:val="20"/>
        </w:rPr>
        <w:t xml:space="preserve">person shall have any right as a stockholder of the Company with respect to any Shares or other equity security of the Company which is subject to an award hereunder unless and until such person becomes a stockholder of record with respect to such Shares or equity security.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5.12 </w:t>
      </w:r>
      <w:r>
        <w:rPr>
          <w:rFonts w:ascii="Times New Roman;Times;serif" w:hAnsi="Times New Roman;Times;serif"/>
          <w:b/>
          <w:color w:val="000000"/>
          <w:sz w:val="20"/>
          <w:u w:val="single"/>
        </w:rPr>
        <w:t>Designation of Beneficiary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 holder of an award may file with the Committee a written designation of one 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beneficiary designation shall become effective only when filed in writing with the Committee during the holder’s lifetime on a form prescribed by the Committee. The spouse of a married holder domiciled in a community property jurisdiction shall join in any designation of a beneficiary other than such spouse. The filing with the Committee of a new beneficiary designation shall cancel all previously filed beneficiary designations.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holder fails to designate a beneficiary, or if all designated beneficiaries of a holder predecease the holder, then each outstanding option and SAR hereunder held by such holder, to the extent exercisable, may be exercised by such holder’s executor, administrator, legal representative or similar person.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5.13 </w:t>
      </w:r>
      <w:r>
        <w:rPr>
          <w:rFonts w:ascii="Times New Roman;Times;serif" w:hAnsi="Times New Roman;Times;serif"/>
          <w:b/>
          <w:color w:val="000000"/>
          <w:sz w:val="20"/>
          <w:u w:val="single"/>
        </w:rPr>
        <w:t>Governing Law</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This Plan, each award hereunder and the related Agreement, and all determinations made and actions taken pursuant thereto, to the extent not otherwise governed by the Code or the laws of the United States, shall be governed by the laws of the State of Delaware and construed in accordance therewith without giving effect to principles of conflicts of laws.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5.14 </w:t>
      </w:r>
      <w:r>
        <w:rPr>
          <w:rFonts w:ascii="Times New Roman;Times;serif" w:hAnsi="Times New Roman;Times;serif"/>
          <w:b/>
          <w:color w:val="000000"/>
          <w:sz w:val="20"/>
          <w:u w:val="single"/>
        </w:rPr>
        <w:t>Non-U.S. Service Providers</w:t>
      </w:r>
      <w:r>
        <w:rPr>
          <w:rFonts w:ascii="Times New Roman;Times;serif" w:hAnsi="Times New Roman;Times;serif"/>
          <w:b w:val="false"/>
          <w:color w:val="000000"/>
          <w:sz w:val="20"/>
        </w:rPr>
        <w:t xml:space="preserve">. Without amending this Plan, the Committee may grant awards to eligible persons who are foreign nationals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 or service providers.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5.15 </w:t>
      </w:r>
      <w:r>
        <w:rPr>
          <w:rFonts w:ascii="Times New Roman;Times;serif" w:hAnsi="Times New Roman;Times;serif"/>
          <w:b/>
          <w:color w:val="000000"/>
          <w:sz w:val="20"/>
          <w:u w:val="single"/>
        </w:rPr>
        <w:t>Awards Subject to Clawback</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awards granted under this Plan and any cash payment or Shares delivered pursuant to an award are subject to forfeiture, recovery by the Company or other action pursuant to the applicable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103" w:name="ny20064651x2_def14a_202-appendixc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4" w:name="tAPPC"/>
      <w:bookmarkEnd w:id="104"/>
      <w:r>
        <w:rPr>
          <w:rFonts w:ascii="Times New Roman;Times;serif" w:hAnsi="Times New Roman;Times;serif"/>
          <w:b/>
          <w:color w:val="000000"/>
          <w:sz w:val="20"/>
        </w:rPr>
        <w:t xml:space="preserve">Appendix 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CYTOMX THERAPEUTICS,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AMENDED AND RESTATED EMPLOYEE STOCK PURCHASE PLAN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Amended and Restated: June 11, 2025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(as Amended by the Board: March 18, 2026)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1. </w:t>
      </w:r>
      <w:r>
        <w:rPr>
          <w:rFonts w:ascii="Times New Roman;Times;serif" w:hAnsi="Times New Roman;Times;serif"/>
          <w:b/>
          <w:color w:val="000000"/>
          <w:sz w:val="20"/>
          <w:u w:val="single"/>
        </w:rPr>
        <w:t>Purpose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purpose of this Plan is to provide Employees of the Company and Participating Subsidiaries with an opportunity to purchase common stock of the Company through accumulated payroll deductions. It is the intention of the Company to have the Plan qualify as an “Employee Stock Purchase Plan” under Section 423 of the Code. The provisions of the Plan, accordingly, shall be construed so as to extend and limit participation in a manner consistent with the requirements of that Section of the Code. This Plan amends and restates the CytomX Therapeutics, Inc. Employee Stock Purchase Plan in its entirety, effective as of June 11, 2025.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2. </w:t>
      </w:r>
      <w:r>
        <w:rPr>
          <w:rFonts w:ascii="Times New Roman;Times;serif" w:hAnsi="Times New Roman;Times;serif"/>
          <w:b/>
          <w:color w:val="000000"/>
          <w:sz w:val="20"/>
          <w:u w:val="single"/>
        </w:rPr>
        <w:t>Definitions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As used herein, the terms set forth below have the meanings assigned to them in this Section 2 and shall include the plural as well as the singular.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1933 Act</w:t>
      </w:r>
      <w:r>
        <w:rPr>
          <w:rFonts w:ascii="Times New Roman;Times;serif" w:hAnsi="Times New Roman;Times;serif"/>
          <w:color w:val="000000"/>
          <w:sz w:val="20"/>
        </w:rPr>
        <w:t xml:space="preserve">” means the Securities Act of 1933,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1934 Act</w:t>
      </w:r>
      <w:r>
        <w:rPr>
          <w:rFonts w:ascii="Times New Roman;Times;serif" w:hAnsi="Times New Roman;Times;serif"/>
          <w:color w:val="000000"/>
          <w:sz w:val="20"/>
        </w:rPr>
        <w:t xml:space="preserve">” means the Securities Exchange Act of 1934,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Board</w:t>
      </w:r>
      <w:r>
        <w:rPr>
          <w:rFonts w:ascii="Times New Roman;Times;serif" w:hAnsi="Times New Roman;Times;serif"/>
          <w:color w:val="000000"/>
          <w:sz w:val="20"/>
        </w:rPr>
        <w:t xml:space="preserve">” means the Board of Directors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Business Day</w:t>
      </w:r>
      <w:r>
        <w:rPr>
          <w:rFonts w:ascii="Times New Roman;Times;serif" w:hAnsi="Times New Roman;Times;serif"/>
          <w:color w:val="000000"/>
          <w:sz w:val="20"/>
        </w:rPr>
        <w:t xml:space="preserve">” shall mean a day on which NASDAQ is open for trading.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Brokerage Account</w:t>
      </w:r>
      <w:r>
        <w:rPr>
          <w:rFonts w:ascii="Times New Roman;Times;serif" w:hAnsi="Times New Roman;Times;serif"/>
          <w:color w:val="000000"/>
          <w:sz w:val="20"/>
        </w:rPr>
        <w:t xml:space="preserve">” means the account in which the Purchased Shares are held.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means the Internal Revenue Code of 1986,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Committee</w:t>
      </w:r>
      <w:r>
        <w:rPr>
          <w:rFonts w:ascii="Times New Roman;Times;serif" w:hAnsi="Times New Roman;Times;serif"/>
          <w:color w:val="000000"/>
          <w:sz w:val="20"/>
        </w:rPr>
        <w:t xml:space="preserve">” means the Compensation Committee of the Board, or the designee of the Compensation Committee.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means CytomX Therapeutics, Inc., a Delaware corporation, or any successor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Compensation</w:t>
      </w:r>
      <w:r>
        <w:rPr>
          <w:rFonts w:ascii="Times New Roman;Times;serif" w:hAnsi="Times New Roman;Times;serif"/>
          <w:color w:val="000000"/>
          <w:sz w:val="20"/>
        </w:rPr>
        <w:t xml:space="preserve">” means solely the base pay received by a Participant. Compensation does not include: (1) commissions; (2) cash bonuses; (3) income related to stock option awards, stock grants and other equity incentive awards; (4) expense reimbursements; (5) relocation-related payments; (6) benefit plan payments (including but not limited to short-term disability pay, long-term disability pay, maternity pay, military pay, tuition reimbursement and adoption assistance); (7) deceased pay; (8) income from non-cash and fringe benefits; (9) severance payments; (10) overtime; or (11) other forms of compensation not specifically listed herein.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Employee</w:t>
      </w:r>
      <w:r>
        <w:rPr>
          <w:rFonts w:ascii="Times New Roman;Times;serif" w:hAnsi="Times New Roman;Times;serif"/>
          <w:color w:val="000000"/>
          <w:sz w:val="20"/>
        </w:rPr>
        <w:t xml:space="preserve">” means any individual who is a common law employee of the Company or any other Participating Subsidiary. For 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Enrollment Date</w:t>
      </w:r>
      <w:r>
        <w:rPr>
          <w:rFonts w:ascii="Times New Roman;Times;serif" w:hAnsi="Times New Roman;Times;serif"/>
          <w:color w:val="000000"/>
          <w:sz w:val="20"/>
        </w:rPr>
        <w:t xml:space="preserve">” means the first Business Day of each Offering Period.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Exercise Date</w:t>
      </w:r>
      <w:r>
        <w:rPr>
          <w:rFonts w:ascii="Times New Roman;Times;serif" w:hAnsi="Times New Roman;Times;serif"/>
          <w:color w:val="000000"/>
          <w:sz w:val="20"/>
        </w:rPr>
        <w:t xml:space="preserve">” means the last Business Day of each Offering Period.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Fair Market Value</w:t>
      </w:r>
      <w:r>
        <w:rPr>
          <w:rFonts w:ascii="Times New Roman;Times;serif" w:hAnsi="Times New Roman;Times;serif"/>
          <w:color w:val="000000"/>
          <w:sz w:val="20"/>
        </w:rPr>
        <w:t xml:space="preserve">” on or as of any date means the “NASDAQ Official Closing Price” (as defined on www.nasdaq.com) (or such substantially similar successor price thereto) for a Share as reported on www.nasdaq.com (or a substantially similar successor website) on the relevant valuation date or, if no NASDAQ Official Closing Price is reported on such date, on the preceding day on which a NASDAQ Official Closing Price was reported; or, if the Shares are no longer listed on NASDAQ, the closing price for Shares as reported on the official website for such other exchange on which the Shares are listed.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NASDAQ</w:t>
      </w:r>
      <w:r>
        <w:rPr>
          <w:rFonts w:ascii="Times New Roman;Times;serif" w:hAnsi="Times New Roman;Times;serif"/>
          <w:color w:val="000000"/>
          <w:sz w:val="20"/>
        </w:rPr>
        <w:t xml:space="preserve">” means the Nasdaq Global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105" w:name="ny20064651x2_def14a_202-appendixc_pg2"/>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Offering Period</w:t>
      </w:r>
      <w:r>
        <w:rPr>
          <w:rFonts w:ascii="Times New Roman;Times;serif" w:hAnsi="Times New Roman;Times;serif"/>
          <w:color w:val="000000"/>
          <w:sz w:val="20"/>
        </w:rPr>
        <w:t xml:space="preserve">” means every six-month period beginning each January 1st, and July 1st or such other period designated by the Committee; provided that in no event shall an Offering Period exceed twenty-seven (27) months. The first Offering Period under the Plan shall commence on July 1, 2016.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Option</w:t>
      </w:r>
      <w:r>
        <w:rPr>
          <w:rFonts w:ascii="Times New Roman;Times;serif" w:hAnsi="Times New Roman;Times;serif"/>
          <w:color w:val="000000"/>
          <w:sz w:val="20"/>
        </w:rPr>
        <w:t xml:space="preserve">” means an option granted under this Plan that entitles a Participant to purchase Shares.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Participant</w:t>
      </w:r>
      <w:r>
        <w:rPr>
          <w:rFonts w:ascii="Times New Roman;Times;serif" w:hAnsi="Times New Roman;Times;serif"/>
          <w:color w:val="000000"/>
          <w:sz w:val="20"/>
        </w:rPr>
        <w:t xml:space="preserve">” means an Employee who satisfies the requirements of Sections 3 and 5 of the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Participating Subsidiary</w:t>
      </w:r>
      <w:r>
        <w:rPr>
          <w:rFonts w:ascii="Times New Roman;Times;serif" w:hAnsi="Times New Roman;Times;serif"/>
          <w:color w:val="000000"/>
          <w:sz w:val="20"/>
        </w:rPr>
        <w:t xml:space="preserve">” means each Subsidiary other than those that the Committee or the Board has excluded from participation in the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Plan</w:t>
      </w:r>
      <w:r>
        <w:rPr>
          <w:rFonts w:ascii="Times New Roman;Times;serif" w:hAnsi="Times New Roman;Times;serif"/>
          <w:color w:val="000000"/>
          <w:sz w:val="20"/>
        </w:rPr>
        <w:t xml:space="preserve">” means this CytomX Therapeutics, Inc. Amended and Restated Employee Stock Purchase Plan. </w:t>
      </w:r>
    </w:p>
    <w:p>
      <w:pPr>
        <w:pStyle w:val="TextBody"/>
        <w:bidi w:val="0"/>
        <w:spacing w:before="170" w:after="283"/>
        <w:ind w:left="0" w:right="0" w:firstLine="400"/>
        <w:jc w:val="both"/>
        <w:rPr>
          <w:color w:val="000000"/>
        </w:rPr>
      </w:pPr>
      <w:r>
        <w:rPr>
          <w:color w:val="000000"/>
        </w:rPr>
        <w:t>“</w:t>
      </w:r>
      <w:r>
        <w:rPr>
          <w:rFonts w:ascii="Times New Roman;Times;serif" w:hAnsi="Times New Roman;Times;serif"/>
          <w:b/>
          <w:color w:val="000000"/>
          <w:sz w:val="20"/>
          <w:u w:val="single"/>
        </w:rPr>
        <w:t>Purchase Account</w:t>
      </w:r>
      <w:r>
        <w:rPr>
          <w:rFonts w:ascii="Times New Roman;Times;serif" w:hAnsi="Times New Roman;Times;serif"/>
          <w:color w:val="000000"/>
          <w:sz w:val="20"/>
        </w:rPr>
        <w:t xml:space="preserve">” means the account used to purchase Shares through the exercise of Options under the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Purchase Price</w:t>
      </w:r>
      <w:r>
        <w:rPr>
          <w:rFonts w:ascii="Times New Roman;Times;serif" w:hAnsi="Times New Roman;Times;serif"/>
          <w:color w:val="000000"/>
          <w:sz w:val="20"/>
        </w:rPr>
        <w:t xml:space="preserve">” shall be eighty-five percent (85%) of the lesser of (i) the Fair Market Value of a Share on the applicable Enrollment Date, or (ii) the Fair Market Value of a Share on the Exercise Date for such Offering Period;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85% of (i) the Fair Market Value of a Share on the applicable Enrollment Date or (ii) the Fair Market Value of a Share on the Exercise Date.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b/>
          <w:color w:val="000000"/>
          <w:sz w:val="20"/>
          <w:u w:val="single"/>
        </w:rPr>
        <w:t>Purchased Shares</w:t>
      </w:r>
      <w:r>
        <w:rPr>
          <w:rFonts w:ascii="Times New Roman;Times;serif" w:hAnsi="Times New Roman;Times;serif"/>
          <w:color w:val="000000"/>
          <w:sz w:val="20"/>
        </w:rPr>
        <w:t xml:space="preserve">” means the full Shares issued or delivered pursuant to the exercise of Options under the Plan.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Shares</w:t>
      </w:r>
      <w:r>
        <w:rPr>
          <w:rFonts w:ascii="Times New Roman;Times;serif" w:hAnsi="Times New Roman;Times;serif"/>
          <w:color w:val="000000"/>
          <w:sz w:val="20"/>
        </w:rPr>
        <w:t xml:space="preserve">” means the common stock, par value $0.00001 per share,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Subsidiary</w:t>
      </w:r>
      <w:r>
        <w:rPr>
          <w:rFonts w:ascii="Times New Roman;Times;serif" w:hAnsi="Times New Roman;Times;serif"/>
          <w:color w:val="000000"/>
          <w:sz w:val="20"/>
        </w:rPr>
        <w:t xml:space="preserve">” means an entity, domestic or foreign, of which not less than 50% of the voting equity is held by the Company or a Subsidiary, whether or not such entity now exists or is hereafter organized or acquired by the Company or a Subsidiary; provided such entity is also a “subsidiary” within the meaning of Section 424 of the Code.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Termination Date</w:t>
      </w:r>
      <w:r>
        <w:rPr>
          <w:rFonts w:ascii="Times New Roman;Times;serif" w:hAnsi="Times New Roman;Times;serif"/>
          <w:color w:val="000000"/>
          <w:sz w:val="20"/>
        </w:rPr>
        <w:t xml:space="preserve">” means the date on which a Participant terminates employment or on which the Participant ceases to provide services to the Company or a Subsidiary as an employee, and specifically does not include any period following that date which the Participant may be eligible for or in receipt of other payments from the Company including in lieu of notice or termination or severance pay or as wrongful dismissal damages.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3. </w:t>
      </w:r>
      <w:r>
        <w:rPr>
          <w:rFonts w:ascii="Times New Roman;Times;serif" w:hAnsi="Times New Roman;Times;serif"/>
          <w:b/>
          <w:color w:val="000000"/>
          <w:sz w:val="20"/>
          <w:u w:val="single"/>
        </w:rPr>
        <w:t>Eligibility</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(a) Only Employees of the Company or a Participating Subsidiary shall be eligible to be granted Options under the Plan and, in no event may a Participant be granted an Option under the Plan following his or her Termination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(b) Any provisions of the Plan to the contrary notwithstanding, no Employee shall be granted an Option under the Plan if (i) immediately after the grant, such Employee (or any other person whose stock would be attributed to such Employee pursuant to Section 424(d) of the Code) would own capital stock of the Company and/or hold outstanding Options or options to purchase stock possessing five percent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twenty-five thousand dollars ($25,000) of the Fair Market Value of such stock (determined at the time each such Option is granted) for each calendar year in which such Option is outstanding at any time. No Participant may purchase more than 6,000 Shares during any Offering Period.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4. </w:t>
      </w:r>
      <w:r>
        <w:rPr>
          <w:rFonts w:ascii="Times New Roman;Times;serif" w:hAnsi="Times New Roman;Times;serif"/>
          <w:b/>
          <w:color w:val="000000"/>
          <w:sz w:val="20"/>
          <w:u w:val="single"/>
        </w:rPr>
        <w:t>Exercise of an Option</w:t>
      </w:r>
      <w:r>
        <w:rPr>
          <w:rFonts w:ascii="Times New Roman;Times;serif" w:hAnsi="Times New Roman;Times;serif"/>
          <w:b w:val="false"/>
          <w:color w:val="000000"/>
          <w:sz w:val="20"/>
        </w:rPr>
        <w:t xml:space="preserve">. Options shall be exercised on behalf of Participants in the Plan every Exercise Date, using payroll deductions that have accumulated in the Participants’ Purchase Accounts during the immediately preceding Offering Period or that have been retained from a prior Offering Period pursuant to Section 8 hereof.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5. </w:t>
      </w:r>
      <w:r>
        <w:rPr>
          <w:rFonts w:ascii="Times New Roman;Times;serif" w:hAnsi="Times New Roman;Times;serif"/>
          <w:b/>
          <w:color w:val="000000"/>
          <w:sz w:val="20"/>
          <w:u w:val="single"/>
        </w:rPr>
        <w:t>Participation</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(a) An Employee shall be eligible to participate on the first Enrollment Date that occurs after such Employee’s employment with the Company or a Participating Subsidiary; provided, that such Employee properly completes and submits an election form by the deadline prescribed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(b) An Employee who does not become a Participant on the first Enrollment Date on which he or she is eligible may thereafter become a Participant on any subsequent Enrollment Date by properly completing and submitting an election form by the deadline prescribed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bidi w:val="0"/>
        <w:spacing w:before="200" w:after="200"/>
        <w:jc w:val="left"/>
        <w:rPr/>
      </w:pPr>
      <w:r>
        <w:rPr/>
      </w:r>
    </w:p>
    <w:p>
      <w:pPr>
        <w:pStyle w:val="TextBody"/>
        <w:bidi w:val="0"/>
        <w:jc w:val="left"/>
        <w:rPr/>
      </w:pPr>
      <w:hyperlink w:anchor="TOC">
        <w:bookmarkStart w:id="106" w:name="ny20064651x2_def14a_202-appendixc_pg3"/>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12 hereof.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6. </w:t>
      </w:r>
      <w:r>
        <w:rPr>
          <w:rFonts w:ascii="Times New Roman;Times;serif" w:hAnsi="Times New Roman;Times;serif"/>
          <w:b/>
          <w:color w:val="000000"/>
          <w:sz w:val="20"/>
          <w:u w:val="single"/>
        </w:rPr>
        <w:t>Payroll Deductions</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Participant shall elect to have payroll deductions made during an Offering Period equal to no less than 1% of the Participant’s Compensation up to a maximum of 15% (or such greater amount as the Committee establishes from time to time). The amount of such payroll deductions shall be in whole percentages (for example, 3%, 12%, 15%). All payroll deductions made by a Participant shall be credited to his or her Purchase Account. A Participant may not make any additional payments into his or her Purchase Account.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Participant may not increase or decrease the rate of payroll deductions during an Offering Period. A Participant may change his or her payroll deduction percentage under subsection (a) above for any subsequent Offering Period by properly completing and submitting an election change form in accordance with the procedures prescribed by the Committee. The change in amount shall be effective as of the first Enrollment Date following the date of filing of the election change form.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the foregoing, to the extent necessary to comply with Section 423(b)(8) of the Code and Section 3(b) hereof, a Participant’s payroll deductions may be decreased to zero percent (0%) at any time during an Offering Period. Payroll deductions shall recommence at the rate provided in such Participant’s election form at the beginning of the first Offering Period which is scheduled to end in the following calendar year, unless terminated by the Participant as provided in Section 12 hereof.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7. </w:t>
      </w:r>
      <w:r>
        <w:rPr>
          <w:rFonts w:ascii="Times New Roman;Times;serif" w:hAnsi="Times New Roman;Times;serif"/>
          <w:b/>
          <w:color w:val="000000"/>
          <w:sz w:val="20"/>
          <w:u w:val="single"/>
        </w:rPr>
        <w:t>Grant of Option</w:t>
      </w:r>
      <w:r>
        <w:rPr>
          <w:rFonts w:ascii="Times New Roman;Times;serif" w:hAnsi="Times New Roman;Times;serif"/>
          <w:b/>
          <w:color w:val="000000"/>
          <w:sz w:val="20"/>
        </w:rPr>
        <w:t xml:space="preserve"> . </w:t>
      </w:r>
      <w:r>
        <w:rPr>
          <w:rFonts w:ascii="Times New Roman;Times;serif" w:hAnsi="Times New Roman;Times;serif"/>
          <w:b w:val="false"/>
          <w:color w:val="000000"/>
          <w:sz w:val="20"/>
        </w:rPr>
        <w:t xml:space="preserve">On the applicable Enrollment Date, each Participant in an Offering Period shall be granted an Option to purchase on the next following Exercise Date a number of full Shares determined by dividing such Participant’s payroll deductions accumulated prior to such Exercise Date and retained in the Participant’s Purchase Account as of the Exercise Date by the applicable Purchase Price.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8. </w:t>
      </w:r>
      <w:r>
        <w:rPr>
          <w:rFonts w:ascii="Times New Roman;Times;serif" w:hAnsi="Times New Roman;Times;serif"/>
          <w:b/>
          <w:color w:val="000000"/>
          <w:sz w:val="20"/>
          <w:u w:val="single"/>
        </w:rPr>
        <w:t>Exercise of Option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 Participant’s Option for the purchase of Shares shall be exercised automatically on the Exercise Date, and the maximum number of Shares subject to the Option shall be purchased for such Participant at the applicable Purchase Price with the accumulated payroll deductions in his or her Purchase Account. No fractional Shares shall be purchased; any payroll deductions accumulated in a Participant’s Purchase Account which are not sufficient to purchase a full Share shall be retained in the Purchase Account for the next subsequent Offering Period, subject to earlier withdrawal by the Participant as provided in Section 12 hereof. All other payroll deductions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9. </w:t>
      </w:r>
      <w:r>
        <w:rPr>
          <w:rFonts w:ascii="Times New Roman;Times;serif" w:hAnsi="Times New Roman;Times;serif"/>
          <w:b/>
          <w:color w:val="000000"/>
          <w:sz w:val="20"/>
          <w:u w:val="single"/>
        </w:rPr>
        <w:t>Issuance of Stock</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Shares purchased by each Participant shall be issued in book entry form and shall be considered to be issued and outstanding to such Participant’s credit as of the end of the last day of each Offering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10. </w:t>
      </w:r>
      <w:r>
        <w:rPr>
          <w:rFonts w:ascii="Times New Roman;Times;serif" w:hAnsi="Times New Roman;Times;serif"/>
          <w:b/>
          <w:color w:val="000000"/>
          <w:sz w:val="20"/>
          <w:u w:val="single"/>
        </w:rPr>
        <w:t>Approval by Stockholders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Notwithstanding the above, the Plan is expressly made subject to the approval of the stockholders of the 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bidi w:val="0"/>
        <w:spacing w:before="200" w:after="200"/>
        <w:jc w:val="left"/>
        <w:rPr/>
      </w:pPr>
      <w:r>
        <w:rPr/>
      </w:r>
    </w:p>
    <w:p>
      <w:pPr>
        <w:pStyle w:val="TextBody"/>
        <w:bidi w:val="0"/>
        <w:jc w:val="left"/>
        <w:rPr/>
      </w:pPr>
      <w:hyperlink w:anchor="TOC">
        <w:bookmarkStart w:id="107" w:name="ny20064651x2_def14a_202-appendixc_pg4"/>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11. </w:t>
      </w:r>
      <w:r>
        <w:rPr>
          <w:rFonts w:ascii="Times New Roman;Times;serif" w:hAnsi="Times New Roman;Times;serif"/>
          <w:b/>
          <w:color w:val="000000"/>
          <w:sz w:val="20"/>
          <w:u w:val="single"/>
        </w:rPr>
        <w:t>Administration</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Powers and Duties of the Committee</w:t>
      </w:r>
      <w:r>
        <w:rPr>
          <w:rFonts w:ascii="Times New Roman;Times;serif" w:hAnsi="Times New Roman;Times;serif"/>
          <w:color w:val="000000"/>
          <w:sz w:val="20"/>
        </w:rPr>
        <w:t xml:space="preserve">. The Plan shall be administered by the Committee. Subject to the provisions of the Plan, Section 423 of the Code and the regulations thereunder, the Committee shall have the discretionary authority to determine the time and frequency of granting Options,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The Plan shall be administered so as to ensure that all Participants have the same rights and privileges as are provided by Section 423(b)(5)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Administrator</w:t>
      </w:r>
      <w:r>
        <w:rPr>
          <w:rFonts w:ascii="Times New Roman;Times;serif" w:hAnsi="Times New Roman;Times;serif"/>
          <w:color w:val="000000"/>
          <w:sz w:val="20"/>
        </w:rPr>
        <w:t xml:space="preserve">. The Company, Board or the Committee may engage the services of a brokerage firm or financial institution (the “Administrator”)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Each person who is or shall have been (a) a member of the Board, (b) a member of the Committee, or (c)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12. </w:t>
      </w:r>
      <w:r>
        <w:rPr>
          <w:rFonts w:ascii="Times New Roman;Times;serif" w:hAnsi="Times New Roman;Times;serif"/>
          <w:b/>
          <w:color w:val="000000"/>
          <w:sz w:val="20"/>
          <w:u w:val="single"/>
        </w:rPr>
        <w:t>Withdrawal</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 Participant may withdraw from the Plan by properly completing and submitting to the Company a 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13. </w:t>
      </w:r>
      <w:r>
        <w:rPr>
          <w:rFonts w:ascii="Times New Roman;Times;serif" w:hAnsi="Times New Roman;Times;serif"/>
          <w:b/>
          <w:color w:val="000000"/>
          <w:sz w:val="20"/>
          <w:u w:val="single"/>
        </w:rPr>
        <w:t>Termination of Employment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On the Termination Date of a Participant for any reason prior to the applicable Exercise Date, 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14. </w:t>
      </w:r>
      <w:r>
        <w:rPr>
          <w:rFonts w:ascii="Times New Roman;Times;serif" w:hAnsi="Times New Roman;Times;serif"/>
          <w:b/>
          <w:color w:val="000000"/>
          <w:sz w:val="20"/>
          <w:u w:val="single"/>
        </w:rPr>
        <w:t>Interest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No interest shall accrue on the payroll deductions of a Participant in the Plan.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15. </w:t>
      </w:r>
      <w:r>
        <w:rPr>
          <w:rFonts w:ascii="Times New Roman;Times;serif" w:hAnsi="Times New Roman;Times;serif"/>
          <w:b/>
          <w:color w:val="000000"/>
          <w:sz w:val="20"/>
          <w:u w:val="single"/>
        </w:rPr>
        <w:t>Stock</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stock subject to Options shall be common stock of the Company as traded on the NASDAQ or on such other exchange as the Shares may be listed.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bidi w:val="0"/>
        <w:spacing w:before="200" w:after="200"/>
        <w:jc w:val="left"/>
        <w:rPr/>
      </w:pPr>
      <w:r>
        <w:rPr/>
      </w:r>
    </w:p>
    <w:p>
      <w:pPr>
        <w:pStyle w:val="TextBody"/>
        <w:bidi w:val="0"/>
        <w:jc w:val="left"/>
        <w:rPr/>
      </w:pPr>
      <w:hyperlink w:anchor="TOC">
        <w:bookmarkStart w:id="108" w:name="ny20064651x2_def14a_202-appendixc_pg5"/>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adjustment upon changes in capitalization of the Company as provided in Section 18 hereof, the maximum aggregate number of Shares reserved for issuance under the Plan shall be 3,370,546 Shares.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 Participant shall have no interest or voting right in Shares covered by his or her Option until such Option has been exercised and the Participant has become a holder of record of Shares acquired pursuant to such exercise.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16. </w:t>
      </w:r>
      <w:r>
        <w:rPr>
          <w:rFonts w:ascii="Times New Roman;Times;serif" w:hAnsi="Times New Roman;Times;serif"/>
          <w:b/>
          <w:color w:val="000000"/>
          <w:sz w:val="20"/>
          <w:u w:val="single"/>
        </w:rPr>
        <w:t>Designation of Beneficiary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Committee may permit Participants to designate beneficiaries to receive any Purchased 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17. </w:t>
      </w:r>
      <w:r>
        <w:rPr>
          <w:rFonts w:ascii="Times New Roman;Times;serif" w:hAnsi="Times New Roman;Times;serif"/>
          <w:b/>
          <w:color w:val="000000"/>
          <w:sz w:val="20"/>
          <w:u w:val="single"/>
        </w:rPr>
        <w:t>Assignability of Options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Neither payroll deductions credited to a Participant’s Purchase Account nor any rights with regard to the exercise of an Option or to receive Shares under the Plan may be assigned, transferred, pledged or otherwise disposed of in any way (other than by will, the laws of descent and distribution or as provided in Section 16 hereof) by the Participant. Any such attempt at assignment, transfer, pledge or other disposition shall be without effect, except that the Company may treat such act as an election to withdraw from an Offering Period in accordance with Section 12 hereof.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18. </w:t>
      </w:r>
      <w:r>
        <w:rPr>
          <w:rFonts w:ascii="Times New Roman;Times;serif" w:hAnsi="Times New Roman;Times;serif"/>
          <w:b/>
          <w:color w:val="000000"/>
          <w:sz w:val="20"/>
          <w:u w:val="single"/>
        </w:rPr>
        <w:t>Adjustment of Number of Shares Subject to Options</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Adjustment</w:t>
      </w:r>
      <w:r>
        <w:rPr>
          <w:rFonts w:ascii="Times New Roman;Times;serif" w:hAnsi="Times New Roman;Times;serif"/>
          <w:color w:val="000000"/>
          <w:sz w:val="20"/>
        </w:rPr>
        <w:t xml:space="preserve">.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The Options granted pursuant to the Plan shall not be adjusted in a manner that causes the Options to fail to qualify as options issued pursuant to an “employee stock purchase plan” within the meaning of Section 423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Dissolution or Liquidation</w:t>
      </w:r>
      <w:r>
        <w:rPr>
          <w:rFonts w:ascii="Times New Roman;Times;serif" w:hAnsi="Times New Roman;Times;serif"/>
          <w:color w:val="000000"/>
          <w:sz w:val="20"/>
        </w:rPr>
        <w:t xml:space="preserve">. In the event of the proposed dissolution or liquidation of the Company, the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Merger or Asset Sale</w:t>
      </w:r>
      <w:r>
        <w:rPr>
          <w:rFonts w:ascii="Times New Roman;Times;serif" w:hAnsi="Times New Roman;Times;serif"/>
          <w:color w:val="000000"/>
          <w:sz w:val="20"/>
        </w:rPr>
        <w:t xml:space="preserv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19. </w:t>
      </w:r>
      <w:r>
        <w:rPr>
          <w:rFonts w:ascii="Times New Roman;Times;serif" w:hAnsi="Times New Roman;Times;serif"/>
          <w:b/>
          <w:color w:val="000000"/>
          <w:sz w:val="20"/>
          <w:u w:val="single"/>
        </w:rPr>
        <w:t>Amendments or Termination of the Plan</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bidi w:val="0"/>
        <w:spacing w:before="200" w:after="200"/>
        <w:jc w:val="left"/>
        <w:rPr/>
      </w:pPr>
      <w:r>
        <w:rPr/>
      </w:r>
    </w:p>
    <w:p>
      <w:pPr>
        <w:pStyle w:val="TextBody"/>
        <w:bidi w:val="0"/>
        <w:jc w:val="left"/>
        <w:rPr/>
      </w:pPr>
      <w:hyperlink w:anchor="TOC">
        <w:bookmarkStart w:id="109" w:name="ny20064651x2_def14a_202-appendixc_pg6"/>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stockholder consent and without regard to whether any Participant rights may be considered to have been “adversely affected,” the Board or the Committee shall be entitled to change the Purchase Price, Offering Periods, limit or increase the frequency and/or number of changes in the amount withheld during an Offering Period, establish the exchange ratio applicable to amounts withheld in a currency other than U.S. dollars, permit payroll withholding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provided, however, that changes to (i) the Purchase Price, (ii) the Offering Period, (iii) the maximum percentage of Compensation that may be deducted pursuant to Section 6(a) or (iv) the maximum number of Shares that may be purchased in an Offering Period, shall not be effective until communicated to Participants in a reasonable manner, with the determination of such reasonable manner in the sole discretion of the Board or the Committee.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20. </w:t>
      </w:r>
      <w:r>
        <w:rPr>
          <w:rFonts w:ascii="Times New Roman;Times;serif" w:hAnsi="Times New Roman;Times;serif"/>
          <w:b/>
          <w:color w:val="000000"/>
          <w:sz w:val="20"/>
          <w:u w:val="single"/>
        </w:rPr>
        <w:t>No Other Obligations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receipt of an Option pursuant to the Plan shall impose no obligation upon the Participant to purchase any Shares covered by such Option. Nor shall the granting of an Option pursuant to the Plan constitute an agreement or an understanding, express or implied, on the part of the Company to employ the Participant for any specified period.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21. </w:t>
      </w:r>
      <w:r>
        <w:rPr>
          <w:rFonts w:ascii="Times New Roman;Times;serif" w:hAnsi="Times New Roman;Times;serif"/>
          <w:b/>
          <w:color w:val="000000"/>
          <w:sz w:val="20"/>
          <w:u w:val="single"/>
        </w:rPr>
        <w:t>Notices and Communication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Any notice or other form of communication which the Company or a Participant may be required or permitted to give to the other shall be provided through such means as designated by the Committee, including but not limited to any paper or electronic method.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22. </w:t>
      </w:r>
      <w:r>
        <w:rPr>
          <w:rFonts w:ascii="Times New Roman;Times;serif" w:hAnsi="Times New Roman;Times;serif"/>
          <w:b/>
          <w:color w:val="000000"/>
          <w:sz w:val="20"/>
          <w:u w:val="single"/>
        </w:rPr>
        <w:t>Condition Upon Issuance of Shares</w:t>
      </w:r>
      <w:r>
        <w:rPr>
          <w:rFonts w:ascii="Times New Roman;Times;serif" w:hAnsi="Times New Roman;Times;serif"/>
          <w:b/>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23. </w:t>
      </w:r>
      <w:r>
        <w:rPr>
          <w:rFonts w:ascii="Times New Roman;Times;serif" w:hAnsi="Times New Roman;Times;serif"/>
          <w:b/>
          <w:color w:val="000000"/>
          <w:sz w:val="20"/>
          <w:u w:val="single"/>
        </w:rPr>
        <w:t>General Compliance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Plan will be administered and Options will be exercised in compliance with the 1933 Act, the 1934 Act and all other applicable securities laws and Company policies, including without limitation, any insider trading policy of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24. </w:t>
      </w:r>
      <w:r>
        <w:rPr>
          <w:rFonts w:ascii="Times New Roman;Times;serif" w:hAnsi="Times New Roman;Times;serif"/>
          <w:b/>
          <w:color w:val="000000"/>
          <w:sz w:val="20"/>
          <w:u w:val="single"/>
        </w:rPr>
        <w:t>Term of the Plan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Plan shall become effective upon the earlier to occur of its adoption by the Board or its approval by the stockholders of the Company and shall continue until terminated pursuant to Section 19.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25. </w:t>
      </w:r>
      <w:r>
        <w:rPr>
          <w:rFonts w:ascii="Times New Roman;Times;serif" w:hAnsi="Times New Roman;Times;serif"/>
          <w:b/>
          <w:color w:val="000000"/>
          <w:sz w:val="20"/>
          <w:u w:val="single"/>
        </w:rPr>
        <w:t>Governing Law</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Plan and all Options granted hereunder shall be construed in accordance with and governed by the laws of the State of Delaware without reference to choice of law principles and subject in all cases to the Code and the regulations thereunder.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26. </w:t>
      </w:r>
      <w:r>
        <w:rPr>
          <w:rFonts w:ascii="Times New Roman;Times;serif" w:hAnsi="Times New Roman;Times;serif"/>
          <w:b/>
          <w:color w:val="000000"/>
          <w:sz w:val="20"/>
          <w:u w:val="single"/>
        </w:rPr>
        <w:t>Non-U.S. Participants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To the extent permitted under Section 423 of the Code, without the amendment of the Plan, the 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bidi w:val="0"/>
        <w:spacing w:before="200" w:after="200"/>
        <w:jc w:val="left"/>
        <w:rPr/>
      </w:pPr>
      <w:r>
        <w:rPr/>
      </w:r>
    </w:p>
    <w:p>
      <w:pPr>
        <w:pStyle w:val="TextBody"/>
        <w:bidi w:val="0"/>
        <w:jc w:val="left"/>
        <w:rPr/>
      </w:pPr>
      <w:hyperlink w:anchor="TOC">
        <w:bookmarkStart w:id="110" w:name="ny20064651x2_def14a_300-proxycards_pg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11" w:name="ny20064651x2_def14a_300-proxycards_pg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50973</Words>
  <Characters>268075</Characters>
  <CharactersWithSpaces>320503</CharactersWithSpaces>
  <Paragraphs>4987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