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tmx-20240630.htm"/>
      <w:bookmarkStart w:id="1" w:name="ksctmx202406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QUARTERLY REPORT PURSUANT TO SECTION 13 OR 15(d) OF THE SECURITIES EXCHANGE ACT OF 1934</w:t>
            </w:r>
            <w:r>
              <w:rPr>
                <w:rFonts w:ascii="Times New Roman" w:hAnsi="Times New Roman"/>
                <w:color w:val="000000"/>
                <w:sz w:val="24"/>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283"/>
              <w:jc w:val="left"/>
              <w:rPr>
                <w:color w:val="000000"/>
              </w:rPr>
            </w:pPr>
            <w:r>
              <w:rPr>
                <w:color w:val="000000"/>
              </w:rPr>
              <w:t>☐</w:t>
            </w:r>
          </w:p>
        </w:tc>
        <w:tc>
          <w:tcPr>
            <w:tcW w:w="9874" w:type="dxa"/>
            <w:tcBorders/>
            <w:vAlign w:val="center"/>
          </w:tcPr>
          <w:p>
            <w:pPr>
              <w:pStyle w:val="TableContents"/>
              <w:bidi w:val="0"/>
              <w:spacing w:before="120" w:after="283"/>
              <w:jc w:val="left"/>
              <w:rPr>
                <w:rFonts w:ascii="Times New Roman" w:hAnsi="Times New Roman"/>
                <w:sz w:val="24"/>
              </w:rPr>
            </w:pP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4"/>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 to _</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001-37587</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8"/>
        </w:rPr>
        <w:t>CytomX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4543" w:type="dxa"/>
        <w:jc w:val="left"/>
        <w:tblInd w:w="0" w:type="dxa"/>
        <w:tblLayout w:type="fixed"/>
        <w:tblCellMar>
          <w:top w:w="28" w:type="dxa"/>
          <w:left w:w="28" w:type="dxa"/>
          <w:bottom w:w="28" w:type="dxa"/>
          <w:right w:w="28" w:type="dxa"/>
        </w:tblCellMar>
      </w:tblPr>
      <w:tblGrid>
        <w:gridCol w:w="2911"/>
        <w:gridCol w:w="146"/>
        <w:gridCol w:w="148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27-3521219</w:t>
            </w:r>
          </w:p>
        </w:tc>
      </w:tr>
      <w:tr>
        <w:trPr/>
        <w:tc>
          <w:tcPr>
            <w:tcW w:w="291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1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151 Oyster Point Blvd., Suite 400</w:t>
            </w:r>
          </w:p>
          <w:p>
            <w:pPr>
              <w:pStyle w:val="TableContents"/>
              <w:bidi w:val="0"/>
              <w:jc w:val="center"/>
              <w:rPr>
                <w:rFonts w:ascii="Times New Roman" w:hAnsi="Times New Roman"/>
                <w:b/>
                <w:color w:val="000000"/>
                <w:sz w:val="20"/>
              </w:rPr>
            </w:pPr>
            <w:r>
              <w:rPr>
                <w:rFonts w:ascii="Times New Roman" w:hAnsi="Times New Roman"/>
                <w:b/>
                <w:color w:val="000000"/>
                <w:sz w:val="20"/>
              </w:rPr>
              <w:t>South San Francisco, CA</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94080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sz w:val="20"/>
        </w:rPr>
      </w:pPr>
      <w:r>
        <w:rPr>
          <w:rFonts w:ascii="Times New Roman" w:hAnsi="Times New Roman"/>
          <w:b/>
          <w:color w:val="000000"/>
          <w:sz w:val="20"/>
        </w:rPr>
        <w:t>(650) 515-3185</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jc w:val="center"/>
        <w:rPr>
          <w:rFonts w:ascii="Times New Roman" w:hAnsi="Times New Roman"/>
          <w:b/>
          <w:color w:val="000000"/>
          <w:sz w:val="16"/>
        </w:rPr>
      </w:pPr>
      <w:r>
        <w:rPr>
          <w:rFonts w:ascii="Times New Roman" w:hAnsi="Times New Roman"/>
          <w:b/>
          <w:color w:val="000000"/>
          <w:sz w:val="16"/>
        </w:rPr>
        <w:t>__________________________________</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755" w:type="dxa"/>
        <w:jc w:val="left"/>
        <w:tblInd w:w="0" w:type="dxa"/>
        <w:tblLayout w:type="fixed"/>
        <w:tblCellMar>
          <w:top w:w="28" w:type="dxa"/>
          <w:left w:w="28" w:type="dxa"/>
          <w:bottom w:w="28" w:type="dxa"/>
          <w:right w:w="28" w:type="dxa"/>
        </w:tblCellMar>
      </w:tblPr>
      <w:tblGrid>
        <w:gridCol w:w="3421"/>
        <w:gridCol w:w="146"/>
        <w:gridCol w:w="1561"/>
        <w:gridCol w:w="146"/>
        <w:gridCol w:w="348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421" w:type="dxa"/>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Common Stock, $0.00001 par value per share</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CTMX</w:t>
            </w:r>
          </w:p>
        </w:tc>
        <w:tc>
          <w:tcPr>
            <w:tcW w:w="146" w:type="dxa"/>
            <w:tcBorders/>
            <w:vAlign w:val="center"/>
          </w:tcPr>
          <w:p>
            <w:pPr>
              <w:pStyle w:val="TableContents"/>
              <w:bidi w:val="0"/>
              <w:spacing w:before="0" w:after="283"/>
              <w:jc w:val="center"/>
              <w:rPr/>
            </w:pPr>
            <w:r>
              <w:rPr/>
              <w:t> </w:t>
            </w:r>
          </w:p>
        </w:tc>
        <w:tc>
          <w:tcPr>
            <w:tcW w:w="3481" w:type="dxa"/>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Global Select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July 31, 2024, the registrant had 78,117,601 shares of common stock, $0.00001 par value per share, outstanding. This number does not include 6,923,077 shares of common stock issuable upon the exercise of pre-funded warrants outstanding as of July 31, 2024 (which are immediately exercisable at an exercise price of $0.00001 per share of common stock, subject to beneficial ownership limitations) sold in the registrant’s private placement in July 2023.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FORM 10-Q FOR THE QUARTER ENDED JUNE 30, 2024</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30" w:type="dxa"/>
        <w:jc w:val="left"/>
        <w:tblInd w:w="0" w:type="dxa"/>
        <w:tblLayout w:type="fixed"/>
        <w:tblCellMar>
          <w:top w:w="28" w:type="dxa"/>
          <w:left w:w="28" w:type="dxa"/>
          <w:bottom w:w="28" w:type="dxa"/>
          <w:right w:w="28" w:type="dxa"/>
        </w:tblCellMar>
      </w:tblPr>
      <w:tblGrid>
        <w:gridCol w:w="811"/>
        <w:gridCol w:w="146"/>
        <w:gridCol w:w="7366"/>
        <w:gridCol w:w="14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 FINANCIAL INFORMATION</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condensed_financial_statements">
              <w:r>
                <w:rPr>
                  <w:rStyle w:val="InternetLink"/>
                  <w:rFonts w:ascii="Times New Roman" w:hAnsi="Times New Roman"/>
                  <w:color w:val="0000FF"/>
                  <w:sz w:val="20"/>
                  <w:u w:val="single"/>
                </w:rPr>
                <w:t>Condensed Financial Statements (Unaudited)</w:t>
              </w:r>
            </w:hyperlink>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condensed_statements_operations_comprehe">
              <w:r>
                <w:rPr>
                  <w:rStyle w:val="InternetLink"/>
                  <w:rFonts w:ascii="Times New Roman" w:hAnsi="Times New Roman"/>
                  <w:color w:val="0000FF"/>
                  <w:sz w:val="20"/>
                  <w:u w:val="single"/>
                </w:rPr>
                <w:t>Condensed Statements of Operations and Comprehensive Loss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statements_stockholders_equity">
              <w:r>
                <w:rPr>
                  <w:rStyle w:val="InternetLink"/>
                  <w:rFonts w:ascii="Times New Roman" w:hAnsi="Times New Roman"/>
                  <w:color w:val="0000FF"/>
                  <w:sz w:val="20"/>
                  <w:u w:val="single"/>
                </w:rPr>
                <w:t>Condensed Statements of Stockholders’ Deficit</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Statements of Cash Flows</w:t>
              </w:r>
            </w:hyperlink>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Condensed Financial Statements (Unaudited)</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quantitative_and_qualitative_disclosure">
              <w:r>
                <w:rPr>
                  <w:rStyle w:val="InternetLink"/>
                  <w:rFonts w:ascii="Times New Roman" w:hAnsi="Times New Roman"/>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 OTHER INFORMATION</w:t>
            </w:r>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323" w:type="dxa"/>
            <w:gridSpan w:val="3"/>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expectations regarding the potential benefits, activity, effectiveness and safety of our product candidates and therapeutics developed utilizing our PROBODY® conditionally activated platform technology;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timing of the completion of our ongoing clinical trials and the timing and availability of clinical data from such clinical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identify and develop additional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dependence on collaborators for developing, obtaining regulatory approval for and commercializing product candidates in the collaboration;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or a collaborator’s ability to obtain and maintain regulatory approval of any of our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receipt and timing of any milestone payments or royalties under any research collaboration and license agreements or arrangements;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expectations and beliefs regarding the evolution of the market for cancer therapies and development of the immuno-oncology industry;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rate and degree of market acceptance of any approved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commercialization of any approved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establish and maintain collaborations and retain commercial rights for our product candidates in such collaborations;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technologies and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estimates of our expenses, ongoing losses, future revenue and capital requirements;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obtain additional funds for our operations;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or any collaborator’s ability to obtain and maintain intellectual property protection for our technologies and product candidates and our ability to operate our business without infringing the intellectual property rights of others;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reliance on third parties to conduct our preclinical studies or any future clinical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reliance on third-party supply and manufacturing partners to supply the materials and components for, and manufacture, our research and development, preclinical and clinical trial product supplies;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attract and retain qualified key management and technical personnel;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secure and maintain licenses of intellectual property to protect our technologies and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developments relating to our competitors, our industry, international conflict or uncertainties;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extent to which any future pandemic and related governmental regulations and restrictions may impact our business, including our research, clinical trials, which include ongoing site initiation and patient enrollment, manufacturing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where the context otherwise requires, in this Quarterly Report on Form 10-Q, “we,” “us,” “our” and the “Company” refer to CytomX Therapeutics, Inc.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includes trademarks, service marks and trade names owned by us or other companies. All trademarks, service marks and trade names included in this Quarterly Report on Form 10-Q are the property of their respective owners.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2" w:name="condensed_financial_statements"/>
      <w:bookmarkEnd w:id="2"/>
      <w:r>
        <w:rPr>
          <w:rFonts w:ascii="Times New Roman" w:hAnsi="Times New Roman"/>
          <w:b/>
          <w:color w:val="000000"/>
          <w:sz w:val="20"/>
        </w:rPr>
        <w:t>Item 1. Condensed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3" w:name="condensed_balance_sheets"/>
      <w:bookmarkEnd w:id="3"/>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7262" w:type="dxa"/>
        <w:jc w:val="left"/>
        <w:tblInd w:w="0" w:type="dxa"/>
        <w:tblLayout w:type="fixed"/>
        <w:tblCellMar>
          <w:top w:w="28" w:type="dxa"/>
          <w:left w:w="28" w:type="dxa"/>
          <w:bottom w:w="28" w:type="dxa"/>
          <w:right w:w="28" w:type="dxa"/>
        </w:tblCellMar>
      </w:tblPr>
      <w:tblGrid>
        <w:gridCol w:w="4266"/>
        <w:gridCol w:w="146"/>
        <w:gridCol w:w="211"/>
        <w:gridCol w:w="841"/>
        <w:gridCol w:w="166"/>
        <w:gridCol w:w="146"/>
        <w:gridCol w:w="219"/>
        <w:gridCol w:w="876"/>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w:t>
            </w:r>
          </w:p>
        </w:tc>
        <w:tc>
          <w:tcPr>
            <w:tcW w:w="391" w:type="dxa"/>
            <w:tcBorders/>
            <w:shd w:fill="FFFFFF" w:val="clear"/>
            <w:vAlign w:val="center"/>
          </w:tcPr>
          <w:p>
            <w:pPr>
              <w:pStyle w:val="TableContents"/>
              <w:bidi w:val="0"/>
              <w:spacing w:before="0" w:after="283"/>
              <w:jc w:val="center"/>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157,338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182,936</w:t>
            </w:r>
          </w:p>
        </w:tc>
        <w:tc>
          <w:tcPr>
            <w:tcW w:w="391" w:type="dxa"/>
            <w:tcBorders/>
            <w:shd w:fill="CFF0FC" w:val="cle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w:t>
            </w:r>
          </w:p>
        </w:tc>
        <w:tc>
          <w:tcPr>
            <w:tcW w:w="391" w:type="dxa"/>
            <w:tcBorders/>
            <w:shd w:fill="FFFFFF" w:val="cle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391" w:type="dxa"/>
            <w:tcBorders/>
            <w:shd w:fill="CFF0FC" w:val="cle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391" w:type="dxa"/>
            <w:tcBorders/>
            <w:shd w:fill="FFFFFF" w:val="cle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391" w:type="dxa"/>
            <w:tcBorders/>
            <w:shd w:fill="CFF0FC" w:val="cle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12,220</w:t>
            </w:r>
          </w:p>
        </w:tc>
        <w:tc>
          <w:tcPr>
            <w:tcW w:w="391" w:type="dxa"/>
            <w:tcBorders/>
            <w:shd w:fill="FFFFFF" w:val="cle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 short term</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155,913</w:t>
            </w:r>
          </w:p>
        </w:tc>
        <w:tc>
          <w:tcPr>
            <w:tcW w:w="391" w:type="dxa"/>
            <w:tcBorders/>
            <w:shd w:fill="CFF0FC" w:val="cle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80,048</w:t>
            </w:r>
          </w:p>
        </w:tc>
        <w:tc>
          <w:tcPr>
            <w:tcW w:w="391" w:type="dxa"/>
            <w:tcBorders/>
            <w:shd w:fill="FFFFFF" w:val="cle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long term</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w:t>
            </w:r>
          </w:p>
        </w:tc>
        <w:tc>
          <w:tcPr>
            <w:tcW w:w="391" w:type="dxa"/>
            <w:tcBorders/>
            <w:shd w:fill="CFF0FC" w:val="cle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 term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249,239</w:t>
            </w:r>
          </w:p>
        </w:tc>
        <w:tc>
          <w:tcPr>
            <w:tcW w:w="391" w:type="dxa"/>
            <w:tcBorders/>
            <w:shd w:fill="CFF0FC" w:val="clear"/>
            <w:vAlign w:val="center"/>
          </w:tcPr>
          <w:p>
            <w:pPr>
              <w:pStyle w:val="TableContents"/>
              <w:bidi w:val="0"/>
              <w:spacing w:before="0" w:after="283"/>
              <w:jc w:val="left"/>
              <w:rPr/>
            </w:pPr>
            <w:r>
              <w:rPr/>
              <w:t> </w:t>
            </w:r>
          </w:p>
        </w:tc>
      </w:tr>
      <w:tr>
        <w:trPr/>
        <w:tc>
          <w:tcPr>
            <w:tcW w:w="4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675,905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condensed balance sheet as of December 31, 2023 was derived from the audited financial statements included in the Company's Annual Report on Form 10-K for the year ended December 31, 2023.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4" w:name="condensed_statements_operations_comprehe"/>
      <w:bookmarkEnd w:id="4"/>
      <w:r>
        <w:rPr>
          <w:rFonts w:ascii="Times New Roman" w:hAnsi="Times New Roman"/>
          <w:b/>
          <w:color w:val="000000"/>
          <w:sz w:val="20"/>
        </w:rPr>
        <w:t>CONDENSED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690"/>
        <w:gridCol w:w="211"/>
        <w:gridCol w:w="1036"/>
        <w:gridCol w:w="166"/>
        <w:gridCol w:w="146"/>
        <w:gridCol w:w="211"/>
        <w:gridCol w:w="1036"/>
        <w:gridCol w:w="166"/>
        <w:gridCol w:w="146"/>
        <w:gridCol w:w="211"/>
        <w:gridCol w:w="1036"/>
        <w:gridCol w:w="166"/>
        <w:gridCol w:w="146"/>
        <w:gridCol w:w="211"/>
        <w:gridCol w:w="1036"/>
        <w:gridCol w:w="591"/>
      </w:tblGrid>
      <w:tr>
        <w:trPr/>
        <w:tc>
          <w:tcPr>
            <w:tcW w:w="3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0" w:type="dxa"/>
            <w:tcBorders/>
            <w:shd w:fill="FFFFFF" w:val="clear"/>
            <w:vAlign w:val="center"/>
          </w:tcPr>
          <w:p>
            <w:pPr>
              <w:pStyle w:val="TableContents"/>
              <w:bidi w:val="0"/>
              <w:spacing w:before="0" w:after="283"/>
              <w:jc w:val="center"/>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vAlign w:val="center"/>
          </w:tcPr>
          <w:p>
            <w:pPr>
              <w:pStyle w:val="TableContents"/>
              <w:bidi w:val="0"/>
              <w:spacing w:before="0" w:after="283"/>
              <w:jc w:val="center"/>
              <w:rPr/>
            </w:pPr>
            <w:r>
              <w:rPr/>
              <w:t> </w:t>
            </w:r>
          </w:p>
        </w:tc>
      </w:tr>
      <w:tr>
        <w:trPr/>
        <w:tc>
          <w:tcPr>
            <w:tcW w:w="3690"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0"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48,223</w:t>
            </w:r>
          </w:p>
        </w:tc>
        <w:tc>
          <w:tcPr>
            <w:tcW w:w="591" w:type="dxa"/>
            <w:tcBorders/>
            <w:shd w:fill="CFF0FC" w:val="clear"/>
            <w:vAlign w:val="center"/>
          </w:tcPr>
          <w:p>
            <w:pPr>
              <w:pStyle w:val="TableContents"/>
              <w:bidi w:val="0"/>
              <w:spacing w:before="0" w:after="283"/>
              <w:jc w:val="left"/>
              <w:rPr/>
            </w:pPr>
            <w:r>
              <w:rPr/>
              <w:t> </w:t>
            </w:r>
          </w:p>
        </w:tc>
      </w:tr>
      <w:tr>
        <w:trPr/>
        <w:tc>
          <w:tcPr>
            <w:tcW w:w="36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6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69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69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6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gain on investments, net of tax</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6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6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net income (loss) per share</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69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84,880,632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66,536,202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83,455,047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66,393,391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84,880,632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66,536,202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84,115,530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66,393,391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5" w:name="statements_stockholders_equity"/>
      <w:bookmarkEnd w:id="5"/>
      <w:r>
        <w:rPr>
          <w:rFonts w:ascii="Times New Roman" w:hAnsi="Times New Roman"/>
          <w:b/>
          <w:color w:val="000000"/>
          <w:sz w:val="20"/>
        </w:rPr>
        <w:t>CONDENSED STATEMENTS OF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70"/>
        <w:gridCol w:w="146"/>
        <w:gridCol w:w="146"/>
        <w:gridCol w:w="1036"/>
        <w:gridCol w:w="146"/>
        <w:gridCol w:w="146"/>
        <w:gridCol w:w="261"/>
        <w:gridCol w:w="430"/>
        <w:gridCol w:w="146"/>
        <w:gridCol w:w="146"/>
        <w:gridCol w:w="211"/>
        <w:gridCol w:w="781"/>
        <w:gridCol w:w="146"/>
        <w:gridCol w:w="146"/>
        <w:gridCol w:w="370"/>
        <w:gridCol w:w="846"/>
        <w:gridCol w:w="166"/>
        <w:gridCol w:w="146"/>
        <w:gridCol w:w="211"/>
        <w:gridCol w:w="841"/>
        <w:gridCol w:w="166"/>
        <w:gridCol w:w="146"/>
        <w:gridCol w:w="231"/>
        <w:gridCol w:w="812"/>
        <w:gridCol w:w="213"/>
      </w:tblGrid>
      <w:tr>
        <w:trPr/>
        <w:tc>
          <w:tcPr>
            <w:tcW w:w="2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21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vAlign w:val="center"/>
          </w:tcPr>
          <w:p>
            <w:pPr>
              <w:pStyle w:val="TableContents"/>
              <w:bidi w:val="0"/>
              <w:spacing w:before="0" w:after="283"/>
              <w:jc w:val="center"/>
              <w:rPr/>
            </w:pPr>
            <w:r>
              <w:rPr/>
              <w:t> </w:t>
            </w:r>
          </w:p>
        </w:tc>
      </w:tr>
      <w:tr>
        <w:trPr/>
        <w:tc>
          <w:tcPr>
            <w:tcW w:w="21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21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67,310,838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(47,447</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 and release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826,797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13" w:type="dxa"/>
            <w:tcBorders/>
            <w:shd w:fill="FFFFFF" w:val="clear"/>
            <w:vAlign w:val="center"/>
          </w:tcPr>
          <w:p>
            <w:pPr>
              <w:pStyle w:val="TableContents"/>
              <w:bidi w:val="0"/>
              <w:spacing w:before="0" w:after="283"/>
              <w:jc w:val="left"/>
              <w:rPr/>
            </w:pPr>
            <w:r>
              <w:rPr/>
              <w:t> </w:t>
            </w:r>
          </w:p>
        </w:tc>
      </w:tr>
      <w:tr>
        <w:trPr/>
        <w:tc>
          <w:tcPr>
            <w:tcW w:w="21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213" w:type="dxa"/>
            <w:tcBorders/>
            <w:shd w:fill="CFF0FC" w:val="clear"/>
            <w:vAlign w:val="center"/>
          </w:tcPr>
          <w:p>
            <w:pPr>
              <w:pStyle w:val="TableContents"/>
              <w:bidi w:val="0"/>
              <w:spacing w:before="0" w:after="283"/>
              <w:jc w:val="left"/>
              <w:rPr/>
            </w:pPr>
            <w:r>
              <w:rPr/>
              <w:t> </w:t>
            </w:r>
          </w:p>
        </w:tc>
      </w:tr>
      <w:tr>
        <w:trPr/>
        <w:tc>
          <w:tcPr>
            <w:tcW w:w="217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0"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68,137,635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(31,680</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 and release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3" w:type="dxa"/>
            <w:tcBorders/>
            <w:shd w:fill="CFF0FC" w:val="clear"/>
            <w:vAlign w:val="center"/>
          </w:tcPr>
          <w:p>
            <w:pPr>
              <w:pStyle w:val="TableContents"/>
              <w:bidi w:val="0"/>
              <w:spacing w:before="0" w:after="283"/>
              <w:jc w:val="left"/>
              <w:rPr/>
            </w:pPr>
            <w:r>
              <w:rPr/>
              <w:t> </w:t>
            </w:r>
          </w:p>
        </w:tc>
      </w:tr>
      <w:tr>
        <w:trPr/>
        <w:tc>
          <w:tcPr>
            <w:tcW w:w="217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13" w:type="dxa"/>
            <w:tcBorders/>
            <w:shd w:fill="FFFFFF" w:val="clear"/>
            <w:vAlign w:val="center"/>
          </w:tcPr>
          <w:p>
            <w:pPr>
              <w:pStyle w:val="TableContents"/>
              <w:bidi w:val="0"/>
              <w:spacing w:before="0" w:after="283"/>
              <w:jc w:val="left"/>
              <w:rPr/>
            </w:pPr>
            <w:r>
              <w:rPr/>
              <w:t> </w:t>
            </w:r>
          </w:p>
        </w:tc>
      </w:tr>
      <w:tr>
        <w:trPr/>
        <w:tc>
          <w:tcPr>
            <w:tcW w:w="21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Open Market Sale Agreement, net of issuance cost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2,270,608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213" w:type="dxa"/>
            <w:tcBorders/>
            <w:shd w:fill="CFF0FC" w:val="clear"/>
            <w:vAlign w:val="center"/>
          </w:tcPr>
          <w:p>
            <w:pPr>
              <w:pStyle w:val="TableContents"/>
              <w:bidi w:val="0"/>
              <w:spacing w:before="0" w:after="283"/>
              <w:jc w:val="left"/>
              <w:rPr/>
            </w:pPr>
            <w:r>
              <w:rPr/>
              <w:t> </w:t>
            </w:r>
          </w:p>
        </w:tc>
      </w:tr>
      <w:tr>
        <w:trPr/>
        <w:tc>
          <w:tcPr>
            <w:tcW w:w="217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7,499,951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1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213" w:type="dxa"/>
            <w:tcBorders/>
            <w:shd w:fill="CFF0FC" w:val="clear"/>
            <w:vAlign w:val="center"/>
          </w:tcPr>
          <w:p>
            <w:pPr>
              <w:pStyle w:val="TableContents"/>
              <w:bidi w:val="0"/>
              <w:spacing w:before="0" w:after="283"/>
              <w:jc w:val="left"/>
              <w:rPr/>
            </w:pPr>
            <w:r>
              <w:rPr/>
              <w:t> </w:t>
            </w:r>
          </w:p>
        </w:tc>
      </w:tr>
      <w:tr>
        <w:trPr/>
        <w:tc>
          <w:tcPr>
            <w:tcW w:w="217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3" w:type="dxa"/>
            <w:tcBorders/>
            <w:shd w:fill="FFFFFF" w:val="clear"/>
            <w:vAlign w:val="center"/>
          </w:tcPr>
          <w:p>
            <w:pPr>
              <w:pStyle w:val="TableContents"/>
              <w:bidi w:val="0"/>
              <w:spacing w:before="0" w:after="283"/>
              <w:jc w:val="left"/>
              <w:rPr/>
            </w:pPr>
            <w:r>
              <w:rPr/>
              <w:t> </w:t>
            </w:r>
          </w:p>
        </w:tc>
      </w:tr>
      <w:tr>
        <w:trPr/>
        <w:tc>
          <w:tcPr>
            <w:tcW w:w="21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0"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78,117,601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21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21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vAlign w:val="center"/>
          </w:tcPr>
          <w:p>
            <w:pPr>
              <w:pStyle w:val="TableContents"/>
              <w:bidi w:val="0"/>
              <w:spacing w:before="0" w:after="283"/>
              <w:jc w:val="center"/>
              <w:rPr/>
            </w:pPr>
            <w:r>
              <w:rPr/>
              <w:t> </w:t>
            </w:r>
          </w:p>
        </w:tc>
      </w:tr>
      <w:tr>
        <w:trPr/>
        <w:tc>
          <w:tcPr>
            <w:tcW w:w="21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21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0"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66,228,046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(722,879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(85,751</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17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213" w:type="dxa"/>
            <w:tcBorders/>
            <w:shd w:fill="FFFFFF" w:val="clear"/>
            <w:vAlign w:val="center"/>
          </w:tcPr>
          <w:p>
            <w:pPr>
              <w:pStyle w:val="TableContents"/>
              <w:bidi w:val="0"/>
              <w:spacing w:before="0" w:after="283"/>
              <w:jc w:val="left"/>
              <w:rPr/>
            </w:pPr>
            <w:r>
              <w:rPr/>
              <w:t> </w:t>
            </w:r>
          </w:p>
        </w:tc>
      </w:tr>
      <w:tr>
        <w:trPr/>
        <w:tc>
          <w:tcPr>
            <w:tcW w:w="21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3" w:type="dxa"/>
            <w:tcBorders/>
            <w:shd w:fill="CFF0FC" w:val="clear"/>
            <w:vAlign w:val="center"/>
          </w:tcPr>
          <w:p>
            <w:pPr>
              <w:pStyle w:val="TableContents"/>
              <w:bidi w:val="0"/>
              <w:spacing w:before="0" w:after="283"/>
              <w:jc w:val="left"/>
              <w:rPr/>
            </w:pPr>
            <w:r>
              <w:rPr/>
              <w:t> </w:t>
            </w:r>
          </w:p>
        </w:tc>
      </w:tr>
      <w:tr>
        <w:trPr/>
        <w:tc>
          <w:tcPr>
            <w:tcW w:w="217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66,338,938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(86,637</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3" w:type="dxa"/>
            <w:tcBorders/>
            <w:shd w:fill="FFFFFF" w:val="clear"/>
            <w:vAlign w:val="center"/>
          </w:tcPr>
          <w:p>
            <w:pPr>
              <w:pStyle w:val="TableContents"/>
              <w:bidi w:val="0"/>
              <w:spacing w:before="0" w:after="283"/>
              <w:jc w:val="left"/>
              <w:rPr/>
            </w:pPr>
            <w:r>
              <w:rPr/>
              <w:t> </w:t>
            </w:r>
          </w:p>
        </w:tc>
      </w:tr>
      <w:tr>
        <w:trPr/>
        <w:tc>
          <w:tcPr>
            <w:tcW w:w="21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17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13" w:type="dxa"/>
            <w:tcBorders/>
            <w:shd w:fill="FFFFFF" w:val="clear"/>
            <w:vAlign w:val="center"/>
          </w:tcPr>
          <w:p>
            <w:pPr>
              <w:pStyle w:val="TableContents"/>
              <w:bidi w:val="0"/>
              <w:spacing w:before="0" w:after="283"/>
              <w:jc w:val="left"/>
              <w:rPr/>
            </w:pPr>
            <w:r>
              <w:rPr/>
              <w:t> </w:t>
            </w:r>
          </w:p>
        </w:tc>
      </w:tr>
      <w:tr>
        <w:trPr/>
        <w:tc>
          <w:tcPr>
            <w:tcW w:w="21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213" w:type="dxa"/>
            <w:tcBorders/>
            <w:shd w:fill="CFF0FC" w:val="clear"/>
            <w:vAlign w:val="center"/>
          </w:tcPr>
          <w:p>
            <w:pPr>
              <w:pStyle w:val="TableContents"/>
              <w:bidi w:val="0"/>
              <w:spacing w:before="0" w:after="283"/>
              <w:jc w:val="left"/>
              <w:rPr/>
            </w:pPr>
            <w:r>
              <w:rPr/>
              <w:t> </w:t>
            </w:r>
          </w:p>
        </w:tc>
      </w:tr>
      <w:tr>
        <w:trPr/>
        <w:tc>
          <w:tcPr>
            <w:tcW w:w="217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3" w:type="dxa"/>
            <w:tcBorders/>
            <w:shd w:fill="FFFFFF" w:val="clear"/>
            <w:vAlign w:val="center"/>
          </w:tcPr>
          <w:p>
            <w:pPr>
              <w:pStyle w:val="TableContents"/>
              <w:bidi w:val="0"/>
              <w:spacing w:before="0" w:after="283"/>
              <w:jc w:val="left"/>
              <w:rPr/>
            </w:pPr>
            <w:r>
              <w:rPr/>
              <w:t> </w:t>
            </w:r>
          </w:p>
        </w:tc>
      </w:tr>
      <w:tr>
        <w:trPr/>
        <w:tc>
          <w:tcPr>
            <w:tcW w:w="21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0"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66,767,779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(85,027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992" w:type="dxa"/>
            <w:gridSpan w:val="24"/>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sz w:val="20"/>
        </w:rPr>
      </w:pPr>
      <w:bookmarkStart w:id="6" w:name="condensed_statements_cash_flows"/>
      <w:bookmarkEnd w:id="6"/>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102"/>
        <w:gridCol w:w="146"/>
        <w:gridCol w:w="196"/>
        <w:gridCol w:w="691"/>
        <w:gridCol w:w="166"/>
        <w:gridCol w:w="146"/>
        <w:gridCol w:w="196"/>
        <w:gridCol w:w="751"/>
        <w:gridCol w:w="811"/>
      </w:tblGrid>
      <w:tr>
        <w:trPr/>
        <w:tc>
          <w:tcPr>
            <w:tcW w:w="7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1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811" w:type="dxa"/>
            <w:tcBorders/>
            <w:shd w:fill="FFFFFF" w:val="clear"/>
            <w:vAlign w:val="center"/>
          </w:tcPr>
          <w:p>
            <w:pPr>
              <w:pStyle w:val="TableContents"/>
              <w:bidi w:val="0"/>
              <w:spacing w:before="0" w:after="283"/>
              <w:jc w:val="center"/>
              <w:rPr/>
            </w:pPr>
            <w:r>
              <w:rPr/>
              <w:t> </w:t>
            </w:r>
          </w:p>
        </w:tc>
      </w:tr>
      <w:tr>
        <w:trPr/>
        <w:tc>
          <w:tcPr>
            <w:tcW w:w="71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2"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710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(4,398</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0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Adjustments to reconcile net income (loss) to net cash (used in) provided by operating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710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710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710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Accretion of discounts on short-term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(3,260</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0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4,780</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710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710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600"/>
              <w:jc w:val="right"/>
              <w:rPr/>
            </w:pPr>
            <w:r>
              <w:rPr/>
              <w:t> </w:t>
            </w:r>
          </w:p>
        </w:tc>
      </w:tr>
      <w:tr>
        <w:trPr/>
        <w:tc>
          <w:tcPr>
            <w:tcW w:w="710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34,083</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710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2,362</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710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10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Accrued liabilities and other long-term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(10,477</w:t>
            </w:r>
          </w:p>
        </w:tc>
        <w:tc>
          <w:tcPr>
            <w:tcW w:w="811"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10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(40,173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10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(15,829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02"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710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0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(93,392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(220,037</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0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Maturities of short-term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10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(120,602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02"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710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common stock, net of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710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employee purchase plan and exercise of stock options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10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(136,114</w:t>
            </w:r>
          </w:p>
        </w:tc>
        <w:tc>
          <w:tcPr>
            <w:tcW w:w="8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0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194,567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58,453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bookmarkStart w:id="7" w:name="notes_to_condensed_financial_statements"/>
      <w:bookmarkEnd w:id="7"/>
      <w:r>
        <w:rPr>
          <w:rFonts w:ascii="Times New Roman" w:hAnsi="Times New Roman"/>
          <w:b/>
          <w:color w:val="000000"/>
          <w:sz w:val="20"/>
        </w:rPr>
        <w:t>1. 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CytomX Therapeutics, Inc. (the “Company”) is a clinical-stage, oncology-focused biopharmaceutical company developing potent biologics designed to remain masked and inactive in healthy tissue and to be unmasked and preferentially activated in the tumor microenvironment. The Company aims to build a commercial enterprise to maximize its impact on the treatment of cancer. The Company is advancing potential first-in-class and best-in-class therapeutics created using its PROBODY® therapeutic technology platform that could meaningfully improve outcomes for cancer patients. Its proprietary and unique PROBODY technology platform is designed to enable “conditional activation” of masked antibody-based drugs in the tumor microenvironment across multiple therapeutic modalities. The Company is located in South San Francisco, California and was incorporated in the state of Delaware in September 2010.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Basis of Presentation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results of operations for the three and six months ended June 30, 2024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2023 filed with the SEC.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purchased with original maturities of three months or less at the date of purchase to be cash equivalents. Restricted cash represents a standby letter of credit issued pursuant to an office lease.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Due to the early stage of the Company’s licensed technology, the license of such technology is typically combined with research and development services and steering committee participation as one performance obligation. Under the collaboration and license agreements, each collaboration target or program is generally considered to be a separate combined performance obligation. 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Variable consideration is allocated to certain performance obligations if it is triggered by the Company’s efforts to satisfy or a specific outcome from satisfying these performance obligations.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 The Company recognizes revenue from upfront payments over the estimated period of performance under the agreement using an input method for the performance obligation. In applying the input method of revenue recognition, the Company uses actual full-time equivalent (FTE) hours incurred relative to estimated total FTE hours expected to be incurred for each combined performance obligation over the estimated research service period of each collaboration target.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consideration payable to the Company’s customers is treated as a reduction to the transaction price and revenue, unless the payment to the customer is in exchange for distinct good and services.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Improvements to Income Tax Disclosures ("ASU 2023-09"), which enhances transparency in income tax disclosures. ASU 2023-09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amendments are set to be effective for fiscal years beginning after December 15, 2024, and are required to be applied on a prospective basis. The Company is evaluating the impact on our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Income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Basic net income (loss) per share is calculated by dividing the net income (loss) by the weighted-average number of shares of common stock outstanding for the period. Diluted net income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 The pre-funded warrants are included in both the basic and diluted EPS calculation.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calculation of basic and diluted net income (loss) per share:</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810"/>
        <w:gridCol w:w="211"/>
        <w:gridCol w:w="1036"/>
        <w:gridCol w:w="166"/>
        <w:gridCol w:w="146"/>
        <w:gridCol w:w="211"/>
        <w:gridCol w:w="1036"/>
        <w:gridCol w:w="166"/>
        <w:gridCol w:w="146"/>
        <w:gridCol w:w="211"/>
        <w:gridCol w:w="1036"/>
        <w:gridCol w:w="146"/>
        <w:gridCol w:w="146"/>
        <w:gridCol w:w="211"/>
        <w:gridCol w:w="1036"/>
        <w:gridCol w:w="491"/>
      </w:tblGrid>
      <w:tr>
        <w:trPr/>
        <w:tc>
          <w:tcPr>
            <w:tcW w:w="3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10" w:type="dxa"/>
            <w:tcBorders/>
            <w:shd w:fill="FFFFFF" w:val="clear"/>
            <w:vAlign w:val="center"/>
          </w:tcPr>
          <w:p>
            <w:pPr>
              <w:pStyle w:val="TableContents"/>
              <w:bidi w:val="0"/>
              <w:spacing w:before="0" w:after="283"/>
              <w:jc w:val="center"/>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91" w:type="dxa"/>
            <w:tcBorders/>
            <w:shd w:fill="FFFFFF" w:val="clear"/>
            <w:vAlign w:val="center"/>
          </w:tcPr>
          <w:p>
            <w:pPr>
              <w:pStyle w:val="TableContents"/>
              <w:bidi w:val="0"/>
              <w:spacing w:before="0" w:after="283"/>
              <w:jc w:val="center"/>
              <w:rPr/>
            </w:pPr>
            <w:r>
              <w:rPr/>
              <w:t> </w:t>
            </w:r>
          </w:p>
        </w:tc>
      </w:tr>
      <w:tr>
        <w:trPr/>
        <w:tc>
          <w:tcPr>
            <w:tcW w:w="3810"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0"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0" w:type="dxa"/>
            <w:tcBorders/>
            <w:shd w:fill="FFFFFF" w:val="clear"/>
            <w:vAlign w:val="center"/>
          </w:tcPr>
          <w:p>
            <w:pPr>
              <w:pStyle w:val="TableContents"/>
              <w:bidi w:val="0"/>
              <w:spacing w:before="0" w:after="283"/>
              <w:jc w:val="left"/>
              <w:rPr/>
            </w:pPr>
            <w:r>
              <w:rPr/>
              <w:t> </w:t>
            </w:r>
          </w:p>
        </w:tc>
        <w:tc>
          <w:tcPr>
            <w:tcW w:w="590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data)</w:t>
            </w:r>
          </w:p>
        </w:tc>
        <w:tc>
          <w:tcPr>
            <w:tcW w:w="491" w:type="dxa"/>
            <w:tcBorders/>
            <w:shd w:fill="FFFFFF" w:val="clear"/>
            <w:vAlign w:val="center"/>
          </w:tcPr>
          <w:p>
            <w:pPr>
              <w:pStyle w:val="TableContents"/>
              <w:bidi w:val="0"/>
              <w:spacing w:before="0" w:after="283"/>
              <w:jc w:val="center"/>
              <w:rPr/>
            </w:pPr>
            <w:r>
              <w:rPr/>
              <w:t> </w:t>
            </w:r>
          </w:p>
        </w:tc>
      </w:tr>
      <w:tr>
        <w:trPr/>
        <w:tc>
          <w:tcPr>
            <w:tcW w:w="38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r>
      <w:tr>
        <w:trPr/>
        <w:tc>
          <w:tcPr>
            <w:tcW w:w="38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0"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81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100"/>
              <w:jc w:val="right"/>
              <w:rPr/>
            </w:pPr>
            <w:r>
              <w:rPr/>
              <w:t> </w:t>
            </w:r>
          </w:p>
        </w:tc>
      </w:tr>
      <w:tr>
        <w:trPr/>
        <w:tc>
          <w:tcPr>
            <w:tcW w:w="3810"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Basic</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00"/>
              <w:jc w:val="right"/>
              <w:rPr/>
            </w:pPr>
            <w:r>
              <w:rPr/>
              <w:t> </w:t>
            </w:r>
          </w:p>
        </w:tc>
      </w:tr>
      <w:tr>
        <w:trPr/>
        <w:tc>
          <w:tcPr>
            <w:tcW w:w="381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77,957,506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66,536,202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76,531,921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66,393,391</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81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pre-funded warrants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1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Weighted-average common shares outstanding used to calculate basic net income (loss) per share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84,880,632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66,536,202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83,455,047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66,393,391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10"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Diluted</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00"/>
              <w:jc w:val="right"/>
              <w:rPr/>
            </w:pPr>
            <w:r>
              <w:rPr/>
              <w:t> </w:t>
            </w:r>
          </w:p>
        </w:tc>
      </w:tr>
      <w:tr>
        <w:trPr/>
        <w:tc>
          <w:tcPr>
            <w:tcW w:w="381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common shares outstanding used to calculate basic net income (loss) per share</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84,880,632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66,536,202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83,455,047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66,393,391</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81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potentially dilutive securities:</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300"/>
              <w:jc w:val="right"/>
              <w:rPr/>
            </w:pPr>
            <w:r>
              <w:rPr/>
              <w:t> </w:t>
            </w:r>
          </w:p>
        </w:tc>
      </w:tr>
      <w:tr>
        <w:trPr/>
        <w:tc>
          <w:tcPr>
            <w:tcW w:w="3810"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Stock options, ESPP &amp; 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1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Weighted-average common shares outstanding used to calculate diluted net income (loss) per share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84,880,632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66,536,202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84,115,530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66,393,391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0"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right"/>
              <w:rPr/>
            </w:pPr>
            <w:r>
              <w:rPr/>
              <w:t> </w:t>
            </w:r>
          </w:p>
        </w:tc>
      </w:tr>
      <w:tr>
        <w:trPr/>
        <w:tc>
          <w:tcPr>
            <w:tcW w:w="38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100"/>
              <w:jc w:val="right"/>
              <w:rPr/>
            </w:pPr>
            <w:r>
              <w:rPr/>
              <w:t> </w:t>
            </w:r>
          </w:p>
        </w:tc>
      </w:tr>
      <w:tr>
        <w:trPr/>
        <w:tc>
          <w:tcPr>
            <w:tcW w:w="381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Diluted</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weighted-average outstanding shares of potentially dilutive securities are excluded from the computation of diluted net income (loss) per share for the periods presented, because including them would have been anti-dilutive:</w:t>
      </w:r>
    </w:p>
    <w:tbl>
      <w:tblPr>
        <w:tblW w:w="9691" w:type="dxa"/>
        <w:jc w:val="left"/>
        <w:tblInd w:w="0" w:type="dxa"/>
        <w:tblLayout w:type="fixed"/>
        <w:tblCellMar>
          <w:top w:w="28" w:type="dxa"/>
          <w:left w:w="28" w:type="dxa"/>
          <w:bottom w:w="28" w:type="dxa"/>
          <w:right w:w="28" w:type="dxa"/>
        </w:tblCellMar>
      </w:tblPr>
      <w:tblGrid>
        <w:gridCol w:w="3796"/>
        <w:gridCol w:w="146"/>
        <w:gridCol w:w="1036"/>
        <w:gridCol w:w="146"/>
        <w:gridCol w:w="146"/>
        <w:gridCol w:w="146"/>
        <w:gridCol w:w="1036"/>
        <w:gridCol w:w="146"/>
        <w:gridCol w:w="146"/>
        <w:gridCol w:w="146"/>
        <w:gridCol w:w="1036"/>
        <w:gridCol w:w="146"/>
        <w:gridCol w:w="146"/>
        <w:gridCol w:w="146"/>
        <w:gridCol w:w="1036"/>
        <w:gridCol w:w="2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center"/>
              <w:rPr/>
            </w:pPr>
            <w:r>
              <w:rPr/>
              <w:t> </w:t>
            </w:r>
          </w:p>
        </w:tc>
        <w:tc>
          <w:tcPr>
            <w:tcW w:w="2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91" w:type="dxa"/>
            <w:tcBorders/>
            <w:shd w:fill="FFFFFF" w:val="cle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96" w:type="dxa"/>
            <w:tcBorders/>
            <w:shd w:fill="FFFFFF" w:val="clear"/>
            <w:vAlign w:val="center"/>
          </w:tcPr>
          <w:p>
            <w:pPr>
              <w:pStyle w:val="TableContents"/>
              <w:bidi w:val="0"/>
              <w:spacing w:before="0" w:after="283"/>
              <w:ind w:left="100" w:right="0" w:firstLine="100"/>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and ESPP to purchase common stock</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14,517,509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14,091,647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13,729,742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14,039,714</w:t>
            </w:r>
          </w:p>
        </w:tc>
        <w:tc>
          <w:tcPr>
            <w:tcW w:w="2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11,538,462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11,538,462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1,566,926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27,954,762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15,686,140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25,461,991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15,606,640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I: Inputs which include quoted prices in active markets for identical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III: Unobservable inputs that are supported by little or no market activity and that are significant to the fair value of the assets or liabilities.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carrying amounts of the Company’s financial instruments, including restricted cash, accounts receivable, accounts payable and accrued liabilities approximate fair value due to their relatively short maturities. The Company’s financial instruments consist of Level I and Level II assets which consist primarily of highly liquid money market funds, some of which are included in restricted cash and U.S. Treasury securities that are included in cash equivalents or short-term investments.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tables set forth the fair value of the Company’s investments subject to fair value measurements on a recurring basis and the level of inputs used in such measurements:</w:t>
      </w:r>
    </w:p>
    <w:p>
      <w:pPr>
        <w:pStyle w:val="TextBody"/>
        <w:bidi w:val="0"/>
        <w:jc w:val="left"/>
        <w:rPr/>
      </w:pPr>
      <w:r>
        <w:rPr/>
        <w:t> </w:t>
      </w:r>
    </w:p>
    <w:tbl>
      <w:tblPr>
        <w:tblW w:w="8033" w:type="dxa"/>
        <w:jc w:val="left"/>
        <w:tblInd w:w="0" w:type="dxa"/>
        <w:tblLayout w:type="fixed"/>
        <w:tblCellMar>
          <w:top w:w="28" w:type="dxa"/>
          <w:left w:w="28" w:type="dxa"/>
          <w:bottom w:w="28" w:type="dxa"/>
          <w:right w:w="28" w:type="dxa"/>
        </w:tblCellMar>
      </w:tblPr>
      <w:tblGrid>
        <w:gridCol w:w="3266"/>
        <w:gridCol w:w="856"/>
        <w:gridCol w:w="146"/>
        <w:gridCol w:w="211"/>
        <w:gridCol w:w="781"/>
        <w:gridCol w:w="146"/>
        <w:gridCol w:w="146"/>
        <w:gridCol w:w="335"/>
        <w:gridCol w:w="551"/>
        <w:gridCol w:w="166"/>
        <w:gridCol w:w="146"/>
        <w:gridCol w:w="211"/>
        <w:gridCol w:w="781"/>
        <w:gridCol w:w="291"/>
      </w:tblGrid>
      <w:tr>
        <w:trPr/>
        <w:tc>
          <w:tcPr>
            <w:tcW w:w="326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vAlign w:val="center"/>
          </w:tcPr>
          <w:p>
            <w:pPr>
              <w:pStyle w:val="TableContents"/>
              <w:bidi w:val="0"/>
              <w:spacing w:before="0" w:after="283"/>
              <w:jc w:val="center"/>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vAlign w:val="center"/>
          </w:tcPr>
          <w:p>
            <w:pPr>
              <w:pStyle w:val="TableContents"/>
              <w:bidi w:val="0"/>
              <w:spacing w:before="0" w:after="283"/>
              <w:jc w:val="center"/>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74"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3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8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2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(money market funds)</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2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II</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6"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85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138,190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8359" w:type="dxa"/>
        <w:jc w:val="left"/>
        <w:tblInd w:w="0" w:type="dxa"/>
        <w:tblLayout w:type="fixed"/>
        <w:tblCellMar>
          <w:top w:w="28" w:type="dxa"/>
          <w:left w:w="28" w:type="dxa"/>
          <w:bottom w:w="28" w:type="dxa"/>
          <w:right w:w="28" w:type="dxa"/>
        </w:tblCellMar>
      </w:tblPr>
      <w:tblGrid>
        <w:gridCol w:w="3266"/>
        <w:gridCol w:w="346"/>
        <w:gridCol w:w="856"/>
        <w:gridCol w:w="146"/>
        <w:gridCol w:w="211"/>
        <w:gridCol w:w="781"/>
        <w:gridCol w:w="146"/>
        <w:gridCol w:w="146"/>
        <w:gridCol w:w="335"/>
        <w:gridCol w:w="551"/>
        <w:gridCol w:w="146"/>
        <w:gridCol w:w="146"/>
        <w:gridCol w:w="211"/>
        <w:gridCol w:w="781"/>
        <w:gridCol w:w="291"/>
      </w:tblGrid>
      <w:tr>
        <w:trPr/>
        <w:tc>
          <w:tcPr>
            <w:tcW w:w="32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4"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3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FFFFFF" w:val="clear"/>
            <w:vAlign w:val="center"/>
          </w:tcPr>
          <w:p>
            <w:pPr>
              <w:pStyle w:val="TableContents"/>
              <w:bidi w:val="0"/>
              <w:spacing w:before="0" w:after="283"/>
              <w:ind w:left="100" w:right="0" w:firstLine="100"/>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(money market funds)</w:t>
            </w:r>
          </w:p>
        </w:tc>
        <w:tc>
          <w:tcPr>
            <w:tcW w:w="346" w:type="dxa"/>
            <w:tcBorders/>
            <w:shd w:fill="CFF0FC" w:val="clear"/>
            <w:vAlign w:val="center"/>
          </w:tcPr>
          <w:p>
            <w:pPr>
              <w:pStyle w:val="TableContents"/>
              <w:bidi w:val="0"/>
              <w:spacing w:before="0" w:after="283"/>
              <w:ind w:left="100" w:right="0" w:firstLine="100"/>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vAlign w:val="center"/>
          </w:tcPr>
          <w:p>
            <w:pPr>
              <w:pStyle w:val="TableContents"/>
              <w:bidi w:val="0"/>
              <w:spacing w:before="0" w:after="283"/>
              <w:ind w:left="100" w:right="0" w:firstLine="100"/>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II</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CFF0FC" w:val="clear"/>
            <w:vAlign w:val="center"/>
          </w:tcPr>
          <w:p>
            <w:pPr>
              <w:pStyle w:val="TableContents"/>
              <w:bidi w:val="0"/>
              <w:spacing w:before="0" w:after="283"/>
              <w:ind w:left="0" w:right="0" w:firstLine="200"/>
              <w:jc w:val="left"/>
              <w:rPr/>
            </w:pPr>
            <w:r>
              <w:rPr/>
              <w:t> </w:t>
            </w:r>
          </w:p>
        </w:tc>
        <w:tc>
          <w:tcPr>
            <w:tcW w:w="85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175,364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2024, the remaining contractual terms of those investments are less than a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consisted of the following:</w:t>
      </w:r>
    </w:p>
    <w:tbl>
      <w:tblPr>
        <w:tblW w:w="5557" w:type="dxa"/>
        <w:jc w:val="left"/>
        <w:tblInd w:w="0" w:type="dxa"/>
        <w:tblLayout w:type="fixed"/>
        <w:tblCellMar>
          <w:top w:w="28" w:type="dxa"/>
          <w:left w:w="28" w:type="dxa"/>
          <w:bottom w:w="28" w:type="dxa"/>
          <w:right w:w="28" w:type="dxa"/>
        </w:tblCellMar>
      </w:tblPr>
      <w:tblGrid>
        <w:gridCol w:w="2746"/>
        <w:gridCol w:w="146"/>
        <w:gridCol w:w="211"/>
        <w:gridCol w:w="676"/>
        <w:gridCol w:w="146"/>
        <w:gridCol w:w="146"/>
        <w:gridCol w:w="260"/>
        <w:gridCol w:w="835"/>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clinical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w:t>
            </w:r>
          </w:p>
        </w:tc>
        <w:tc>
          <w:tcPr>
            <w:tcW w:w="39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w:t>
            </w:r>
          </w:p>
        </w:tc>
        <w:tc>
          <w:tcPr>
            <w:tcW w:w="391" w:type="dxa"/>
            <w:tcBorders/>
            <w:shd w:fill="FFFFFF" w:val="cle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39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Collaboration and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revenue by collaboration partner:</w:t>
      </w:r>
    </w:p>
    <w:p>
      <w:pPr>
        <w:pStyle w:val="TextBody"/>
        <w:bidi w:val="0"/>
        <w:jc w:val="left"/>
        <w:rPr/>
      </w:pPr>
      <w:r>
        <w:rPr/>
        <w:t> </w:t>
      </w:r>
    </w:p>
    <w:tbl>
      <w:tblPr>
        <w:tblW w:w="7476" w:type="dxa"/>
        <w:jc w:val="left"/>
        <w:tblInd w:w="0" w:type="dxa"/>
        <w:tblLayout w:type="fixed"/>
        <w:tblCellMar>
          <w:top w:w="28" w:type="dxa"/>
          <w:left w:w="28" w:type="dxa"/>
          <w:bottom w:w="28" w:type="dxa"/>
          <w:right w:w="28" w:type="dxa"/>
        </w:tblCellMar>
      </w:tblPr>
      <w:tblGrid>
        <w:gridCol w:w="2061"/>
        <w:gridCol w:w="211"/>
        <w:gridCol w:w="676"/>
        <w:gridCol w:w="246"/>
        <w:gridCol w:w="246"/>
        <w:gridCol w:w="211"/>
        <w:gridCol w:w="676"/>
        <w:gridCol w:w="246"/>
        <w:gridCol w:w="246"/>
        <w:gridCol w:w="211"/>
        <w:gridCol w:w="676"/>
        <w:gridCol w:w="246"/>
        <w:gridCol w:w="246"/>
        <w:gridCol w:w="211"/>
        <w:gridCol w:w="676"/>
        <w:gridCol w:w="391"/>
      </w:tblGrid>
      <w:tr>
        <w:trPr/>
        <w:tc>
          <w:tcPr>
            <w:tcW w:w="2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vAlign w:val="center"/>
          </w:tcPr>
          <w:p>
            <w:pPr>
              <w:pStyle w:val="TableContents"/>
              <w:bidi w:val="0"/>
              <w:spacing w:before="0" w:after="283"/>
              <w:jc w:val="center"/>
              <w:rPr/>
            </w:pPr>
            <w:r>
              <w:rPr/>
              <w:t> </w:t>
            </w:r>
          </w:p>
        </w:tc>
        <w:tc>
          <w:tcPr>
            <w:tcW w:w="22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2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vAlign w:val="center"/>
          </w:tcPr>
          <w:p>
            <w:pPr>
              <w:pStyle w:val="TableContents"/>
              <w:bidi w:val="0"/>
              <w:spacing w:before="0" w:after="283"/>
              <w:jc w:val="center"/>
              <w:rPr/>
            </w:pPr>
            <w:r>
              <w:rPr/>
              <w:t> </w:t>
            </w:r>
          </w:p>
        </w:tc>
      </w:tr>
      <w:tr>
        <w:trPr/>
        <w:tc>
          <w:tcPr>
            <w:tcW w:w="2061" w:type="dxa"/>
            <w:tcBorders/>
            <w:shd w:fill="FFFFFF" w:val="clear"/>
            <w:vAlign w:val="center"/>
          </w:tcPr>
          <w:p>
            <w:pPr>
              <w:pStyle w:val="TableContents"/>
              <w:bidi w:val="0"/>
              <w:spacing w:before="0" w:after="283"/>
              <w:jc w:val="center"/>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vAlign w:val="center"/>
          </w:tcPr>
          <w:p>
            <w:pPr>
              <w:pStyle w:val="TableContents"/>
              <w:bidi w:val="0"/>
              <w:spacing w:before="0" w:after="283"/>
              <w:jc w:val="center"/>
              <w:rPr/>
            </w:pPr>
            <w:r>
              <w:rPr/>
              <w:t> </w:t>
            </w:r>
          </w:p>
        </w:tc>
        <w:tc>
          <w:tcPr>
            <w:tcW w:w="22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2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ind w:left="0" w:right="0" w:firstLine="200"/>
              <w:jc w:val="center"/>
              <w:rPr/>
            </w:pPr>
            <w:r>
              <w:rPr/>
              <w:t> </w:t>
            </w:r>
          </w:p>
        </w:tc>
      </w:tr>
      <w:tr>
        <w:trPr/>
        <w:tc>
          <w:tcPr>
            <w:tcW w:w="20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AbbVie</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Amgen</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Astellas</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Bristol Myers Squibb</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13,879</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33,065</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Regeneron</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Moderna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pPr>
      <w:r>
        <w:rPr/>
        <w:t> </w:t>
      </w:r>
    </w:p>
    <w:p>
      <w:pPr>
        <w:pStyle w:val="TextBody"/>
        <w:bidi w:val="0"/>
        <w:spacing w:before="160" w:after="160"/>
        <w:jc w:val="left"/>
        <w:rPr>
          <w:rFonts w:ascii="Times New Roman" w:hAnsi="Times New Roman"/>
          <w:sz w:val="20"/>
        </w:rPr>
      </w:pPr>
      <w:r>
        <w:rPr>
          <w:rFonts w:ascii="Times New Roman" w:hAnsi="Times New Roman"/>
          <w:b/>
          <w:i/>
          <w:color w:val="000000"/>
          <w:sz w:val="20"/>
        </w:rPr>
        <w:t>AbbVie Ireland Unlimited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were co-developing a conditionally activated antibody-drug conjugate (“ADC”), CX-2029, against CD71, with the Company being responsible for preclinical and early clinical development. AbbVie was to be responsible for later development and commercialization, with global late-stage development costs shared between the two companies. Under the CD71 Agreement, the Company has received in aggregate $100.0 million in upfront and milestone payments. AbbVie had entered into a license agreement with Seattle Genetics, Inc. (“SGEN”) to license certain intellectual property rights pursuant to which the Company was required to pay SGEN sublicense fees for certain milestone achievements and an annual maintenance fee. These sublicense fees were treated as reductions to the transaction price and combined with the performance obligation to which they relate.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2023, the Company announced that it would evaluate the potential next steps for CX-2029 following the decision from AbbVie, to not advance CX-2029 into additional clinical studies. As a result of AbbVie’s decision, the 2016 CD71 License and Collaboration Agreement was terminated in May 2023 and the Company re-acquired full rights to CX-2029. The Company has completed the performance obligation under the CD71 Agreement as of March 31, 2023, and recognized the related remaining deferred revenue of $4.0 million in the first quarter of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2022, the research on the two discovery targets under the Discovery Agreement concluded with no plans to advance the discovery targets into clinical studies or to pursue new programs. The Discovery Agreement was also terminated and all target rights have reverted back to CytomX.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August 2023, the Company entered into a Transition Agreement (the “Transition Agreement”) with AbbVie Global Enterprises Ltd. ("AbbVie Global", an affiliate entity of AbbVie), pursuant to which the Company regained exclusive worldwide rights to develop CX-2029, a CD71-targeting conditionally activated antibody drug conjugate. The Transition Agreement supersedes the CD71 Agreement that was terminated in May 2023, and grants certain intellectual property rights from AbbVie Global to enable the continued development of CX-2029 by the Company for all human and nonhuman diagnostic, prophylactic, and therapeutic uses. Pursuant to the Transition Agreement, AbbVie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Global is eligible to receive tiered sales royalties for CX-2029 ranging from the low-to-mid single digit percentages. In the fourth quarter of 2023, the Company decided to not to make any further substantial investments in the CX-2029 program in the near-term but continues to view CD71 as a target of strategic interest, including novel next-generation strategies.</w:t>
      </w:r>
    </w:p>
    <w:p>
      <w:pPr>
        <w:pStyle w:val="TextBody"/>
        <w:bidi w:val="0"/>
        <w:spacing w:before="360" w:after="283"/>
        <w:jc w:val="left"/>
        <w:rPr>
          <w:rFonts w:ascii="Times New Roman" w:hAnsi="Times New Roman"/>
          <w:sz w:val="20"/>
        </w:rPr>
      </w:pPr>
      <w:r>
        <w:rPr>
          <w:rFonts w:ascii="Times New Roman" w:hAnsi="Times New Roman"/>
          <w:b/>
          <w:i/>
          <w:color w:val="000000"/>
          <w:sz w:val="20"/>
        </w:rPr>
        <w:t>Amgen,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 In each of May 2023 and March 2024, CytomX and Amgen executed an amendment to the Amgen Agreement to extend the target selection period for Amgen to select its additional targets for research and development as further discussed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Amgen Agreement, as amended, the Company and Amgen will co-develop a conditionally activated T-cell engager (“TCE”) targeting epidermal growth factor receptor (the “EGFR Products”). The Company is responsible for early-stage development of EGFR Products and Amgen will be responsible for late-stage development and commercialization of EGFR Products. Following early-stage development, the Company will have the right to elect to participate financially in the global co-development of EGFR Products with Amgen, during which the Company would bear a certain percentage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also eligible to receive up to $460.0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 In January 2022, the IND for the EGFR product (CX-904) was allowed to proceed by the U.S. Food and Drug Administration (“FDA”) and the program continues in an ongoing Phase 1 study.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Amgen also has the right to select a total of up to three targets, including the two additional targets discussed below. The Company and Amgen collaborate in the research and development of conditionally activated T-cell engaging bispecifics therapies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and subsequent amendments, Amgen’s option to select the two additional targets is not a material right and does not represent a performance obligation of the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initiation of the collaboration, CytomX had the option to select from programs specified in the Amgen Agreement, an existing preclinical stage TCE product from the Amgen preclinical pipeline. In March 2018, CytomX selected the program and this program is currently in preclinical development. CytomX is responsible, at its expense, for converting this program to a conditionally activated TCE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and December 31, 2023, deferred revenue related to the EGFR Products performance obligation was $10.5 million and $12.8 million, respectively. Deferred revenue related to the Amgen Other Products performance obligation was immaterial as of June 30, 2024 and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Astellas Pharma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had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participation is at the Company’s discretion.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Astellas Agreement, the consideration from Astellas is comprised of an upfront fee of $80.0 million and contingent payments for development, regulatory and sales milestones of up to an aggregate of approximately $1.6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full-time employee ("FTE") 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January 2023, the Company announced that it achieved a clinical candidate milestone under the Astellas Agreement which triggered a $5.0 million milestone payment to the Company. The $5.0 million milestone payment was fully recognized in the first quarter of 2023 as the Company had completed its related performance obligation of the collaboration target which resulted in the clinical candidate nomination for further development. In March 2024, the Company announced that it achieved the good laboratory practices ("GLPs") toxicology milestone for this candidate which triggered a $5.0 million milestone payment to the Company. The $5.0 million milestone payment was fully recognized in the first quarter of 2024 as the Company had completed its related performance obligation of the collaboration target. Also, in March 2024, the Company announced that it achieved a clinical candidate milestone for a second collaboration target under the Astellas Agreement which triggered an additional $5.0 million milestone payment to the Company. The $5.0 million milestone payment was fully recognized in the first quarter of 2024 as the Company had completed its related performance obligation of the collaboration target which resulted in the clinical candidate nomination for further development.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and December 31, 2023, deferred revenue relating to the Astellas Agreement was $23.6 million and $31.0 million, respectively. The amount due from Astellas under the Astellas Agreement was $1.5 million as of June 30, 2024 and $2.2 million as of December 31, 2023.</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Bristol Myers Squibb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including the target CTLA-4. The effective date of the BMS Agreement was July 7, 2014.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BMS Agreement, the financial consideration from Bristol Myers Squibb was comprised of an upfront payment of $50.0 million and estimated research and development service fees, and the Company was initially entitled to receive contingent payments of up to $25.0 million for additional targets and contingent payments for development, regulatory and sales milestones. In addition, the Company was entitled to royalty payments in the mid-single digits to low double-digit percentages from potential future sales.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17, 2017, the Company and Bristol Myers Squibb amended the BMS agreement and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Amendment 1, the financial consideration from Bristol Myers Squibb was comprised of an upfront payment of $200.0 million, estimated research and development service fees, and contingent payments for development, regulatory and sales milestones for the eight targets. The Company was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initial transaction price for the BMS Agreement and Amendment 1, collectively, was $304.7 million consisting of the upfront fees of $250.0 million, target selection fees for the third and fourth targets of $25.0 million, estimated research and development service fees of $17.7 million and milestone payments received up to January 1, 2018,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initial transaction price for the combined obligation for each collaboration target is recognized using an input measure.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February 2021, the Company and Bristol Myers Squibb amended the BMS agreement and entered into Amendment Number 2 to amend the Collaboration and License Agreement (“Amendment 2”), as previously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in 2022, all remaining targets were selected. The Company will continue to collaborate with Bristol Myers Squibb to discover and conduct preclinical development of PROBODY therapeutics against targets selected by Bristol Myers Squibb over the estimated research period, which is projected to end in April 2025. Pursuant to Amendment 2, the Company was eligible to receive contingent payments for development, regulatory and sales milestones. It is also entitled to tiered mid-single to low double-digit percentage of royalties from potential future sales. The Company accounted for Amendment 2 as a modification and reallocated the remaining unrecognized transaction price to the remaining performance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October 2022, the Company and Bristol Myers Squibb amended the BMS Agreement and entered into Amendment Number 3 (“Amendment 3”), as previously amended by Amendment 1 and Amendment 2, to clarify the rights and restrictions of certain new proprietary antibodies that the parties exchanged. There were no substantive changes to each party's performance obligations.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2024, following a Bristol Myers Squibb corporate portfolio prioritization process, Bristol Myers Squibb notified CytomX that it does not intend to continue the development of BMS-986288 beyond the current Phase 2 study and terminated its collaboration license on the CTLA-4 target under the collaboration. BMS-986288 was Bristol Myers Squibb’s leading next generation PROBODY CTLA-4 program that it had previously prioritized over BMS-986249, which was a PROBODY version of ipilumamab.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2024, Bristol Myers Squibb prioritized its pre-clinical research activities under the collaboration and revised the research scope by one collaboration target. The Company determined that it has no further obligations related to the target that was deprioritized and accounted for the reduction of the target as a modification and the related remaining unrecognized transaction price was reallocated to the remaining performance obligations. The Company continues to be obligated to perform research work under Amendment 2 executed in February 2021 for multiple ongoing research programs.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the Company is eligible to receive approximately $1.3 billion in contingent payments for development, regulatory and sales milestones for the ongoing collaboration programs.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reevaluated the remaining potential milestone payments and determined that significant revenue reversal was probable as the achievement of such milestones was highly dependent on factors outside the Company’s control. As a result, these payments continued to be fully constrained and were not included in the transaction price as of June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deferred revenue relating to the BMS Agreement was $86.8 million and $119.9 million,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ModernaTX,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manufacturing, and commercialization of any products under the Moderna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Moderna Agreement, the Company granted Moderna an exclusive, worldwide right to develop and commercialize PROBODY therapeutics for the collaboration programs. In exchange, the Company received an upfront payment of $35.0 million in January 2023, including $5.0 million of prepaid research and development service fees. The Company will continue to receive research and development service fees according to the preclinical research work plans based on a prescribed FTE rate and is eligible to receive up to approximately $1.2 billion in future development, regulatory, and commercial milestone payments. The Company is also eligible to receive tiered royalties from high-single digit to low-teen percentage rates of annual global net sales of any products that are commercialized under the Moderna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deferred revenue relating to the Moderna Agreement was $19.1 million and $24.2 million, respectively. The amount due from Moderna under the Moderna Agreement was $0.2 million as of June 30, 2024 and $0 as of December 31,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Regeneron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and Regeneron Pharmaceuticals Inc. (“Regeneron”) entered into a Collaboration and License Agreement (the “Regeneron Agreement”) on November 16, 2022, to collaborate on creation of conditionally-activated investigational bispecific cancer therapies utilizing the Company’s PROBODY® therapeutic platform and Regeneron’s Veloci-Bi®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manufacturing and commercialization of all Licensed Products worldwide.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Regeneron Agreement, the consideration from Regeneron is comprised of an upfront fee of $30.0 million, contingent payments for development and regulatory milestones and commercial milestone payments of up to an aggregate of approximately $0.8 billion. If Regeneron exercises its Additional Collaboration Program Option, the Company would be eligible to receive additional upfront and milestone payments aggregating up to approximately $1.2 billion. The Company is also entitled to tiered royalties from high-single digit to low-teen percentage royalties from potential future sales. In addition, the Company will receive research and development service fees based on a prescribed FTE 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and December 31, 2023, deferred revenue relating to the Regeneron Agreement was $20.4 million and $24.4 million, respectively. The amount due from Regeneron under the Regeneron Agreement was $1.0 million and $1.1 million as of June 30, 2024 and December 31,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changes in the Company’s total contract liabilities during the six months ended June 30, 2024 and 2023:</w:t>
      </w:r>
    </w:p>
    <w:p>
      <w:pPr>
        <w:pStyle w:val="TextBody"/>
        <w:bidi w:val="0"/>
        <w:jc w:val="left"/>
        <w:rPr/>
      </w:pPr>
      <w:r>
        <w:rPr/>
        <w:t> </w:t>
      </w:r>
    </w:p>
    <w:tbl>
      <w:tblPr>
        <w:tblW w:w="3332" w:type="dxa"/>
        <w:jc w:val="left"/>
        <w:tblInd w:w="0" w:type="dxa"/>
        <w:tblLayout w:type="fixed"/>
        <w:tblCellMar>
          <w:top w:w="28" w:type="dxa"/>
          <w:left w:w="28" w:type="dxa"/>
          <w:bottom w:w="28" w:type="dxa"/>
          <w:right w:w="28" w:type="dxa"/>
        </w:tblCellMar>
      </w:tblPr>
      <w:tblGrid>
        <w:gridCol w:w="1561"/>
        <w:gridCol w:w="332"/>
        <w:gridCol w:w="1228"/>
        <w:gridCol w:w="211"/>
      </w:tblGrid>
      <w:tr>
        <w:trPr/>
        <w:tc>
          <w:tcPr>
            <w:tcW w:w="156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vAlign w:val="center"/>
          </w:tcPr>
          <w:p>
            <w:pPr>
              <w:pStyle w:val="TableContents"/>
              <w:bidi w:val="0"/>
              <w:spacing w:before="0" w:after="283"/>
              <w:jc w:val="left"/>
              <w:rPr/>
            </w:pPr>
            <w:r>
              <w:rPr/>
              <w:t> </w:t>
            </w:r>
          </w:p>
        </w:tc>
        <w:tc>
          <w:tcPr>
            <w:tcW w:w="1560"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Deferred Revenue</w:t>
            </w:r>
          </w:p>
        </w:tc>
        <w:tc>
          <w:tcPr>
            <w:tcW w:w="211" w:type="dxa"/>
            <w:tcBorders/>
            <w:shd w:fill="FFFFFF" w:val="cle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2023</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212,315</w:t>
            </w:r>
          </w:p>
        </w:tc>
        <w:tc>
          <w:tcPr>
            <w:tcW w:w="211" w:type="dxa"/>
            <w:tcBorders/>
            <w:shd w:fill="CFF0FC"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w:t>
            </w:r>
          </w:p>
        </w:tc>
        <w:tc>
          <w:tcPr>
            <w:tcW w:w="332"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211" w:type="dxa"/>
            <w:tcBorders/>
            <w:shd w:fill="FFFFFF" w:val="cle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recognized</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June 30, 2024</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pPr>
            <w:r>
              <w:rPr/>
              <w:t> </w:t>
            </w:r>
          </w:p>
        </w:tc>
        <w:tc>
          <w:tcPr>
            <w:tcW w:w="1560" w:type="dxa"/>
            <w:gridSpan w:val="2"/>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2022</w:t>
            </w:r>
          </w:p>
        </w:tc>
        <w:tc>
          <w:tcPr>
            <w:tcW w:w="3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301,326</w:t>
            </w:r>
          </w:p>
        </w:tc>
        <w:tc>
          <w:tcPr>
            <w:tcW w:w="211" w:type="dxa"/>
            <w:tcBorders/>
            <w:shd w:fill="FFFFFF" w:val="cle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w:t>
            </w:r>
          </w:p>
        </w:tc>
        <w:tc>
          <w:tcPr>
            <w:tcW w:w="332"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211" w:type="dxa"/>
            <w:tcBorders/>
            <w:shd w:fill="CFF0FC"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recognized</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June 30, 2023</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that the $160.5 million of deferred revenue related to the following contracts as of June 30, 2024 will be recognized as revenue based on actual FTE effort and estimated program progress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The $10.5</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of deferred revenue related to the Amgen EGFR Products is expected to be recognized until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The $23.6</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 xml:space="preserve">of deferred revenue related to the Astellas Agreement is expected to be recognized until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The $86.8</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of deferred revenue related to the BMS Agreement is expected to be recognized through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The $19.1</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of deferred revenue related to the Moderna Agreement, together with research and development service fees, is expected to be recognized until</w:t>
      </w:r>
      <w:r>
        <w:rPr>
          <w:rFonts w:ascii="Times New Roman" w:hAnsi="Times New Roman"/>
          <w:color w:val="000000"/>
          <w:sz w:val="24"/>
        </w:rPr>
        <w:t xml:space="preserve"> </w:t>
      </w:r>
      <w:r>
        <w:rPr>
          <w:rFonts w:ascii="Times New Roman" w:hAnsi="Times New Roman"/>
          <w:color w:val="000000"/>
          <w:sz w:val="20"/>
        </w:rPr>
        <w:t>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The $20.4</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of deferred revenue related to the Regeneron Agreement, together with research and development service fees,</w:t>
      </w:r>
      <w:r>
        <w:rPr>
          <w:rFonts w:ascii="Times New Roman" w:hAnsi="Times New Roman"/>
          <w:color w:val="000000"/>
          <w:sz w:val="24"/>
        </w:rPr>
        <w:t xml:space="preserve"> </w:t>
      </w:r>
      <w:r>
        <w:rPr>
          <w:rFonts w:ascii="Times New Roman" w:hAnsi="Times New Roman"/>
          <w:color w:val="000000"/>
          <w:sz w:val="20"/>
        </w:rPr>
        <w:t>is expected to be recognized until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2020, the Company entered into the Open Market Sale Agreement (the “Sales Agreement”) with Jefferies LLC (“Jefferies”), to sell its common stock, at par value $0.00001 per share, with aggregate gross sales proceeds of up to $75,000,000, from time to time upon the Company’s request, through an at the market offering under which Jefferies will act as sales agent. Pursuant to the Sales Agreement, Jefferies as the sales agent will receive a commission of 3.0% of the gross sales price for shares of common stock sold under the Sales Agreement. In April 2024, under the Sales Agreement, the Company sold 2,270,608 shares at an average price of $2.20 per share and received net proceeds of approximately $4.8 million after deducting the 3.0% sales commission and related issuance cost.</w:t>
      </w:r>
    </w:p>
    <w:p>
      <w:pPr>
        <w:pStyle w:val="TextBody"/>
        <w:bidi w:val="0"/>
        <w:jc w:val="left"/>
        <w:rPr>
          <w:rFonts w:ascii="Times New Roman" w:hAnsi="Times New Roman"/>
          <w:color w:val="000000"/>
          <w:sz w:val="20"/>
        </w:rPr>
      </w:pPr>
      <w:r>
        <w:rPr>
          <w:rFonts w:ascii="Times New Roman" w:hAnsi="Times New Roman"/>
          <w:color w:val="000000"/>
          <w:sz w:val="20"/>
        </w:rPr>
        <w:t>In June 2023, the Company entered into an agreement with BVF Partners L.P. (“BVF”) for a private placement and received an aggregate net proceeds of approximately $29.7 million in July 2023, after deducting issuance costs of approximately $0.3 million. In the private placement, CytomX issued pre-funded warrants to BVF to purchase up to 14,423,077 shares of common stock, accompanying Tranche 1 warrants to purchase up to 5,769,231 shares of common stock and accompanying Tranche 2 warrants to purchase up to 5,769,231 shares of common stock, at a combined price of $2.08 per share. On May 1, 2024, BVF exercised its right to purchase 7.5 million shares of common stock through its pre-funded warrants at an exercise price of $0.00001 per share.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outstanding warrants as of June 30, 2024:</w:t>
      </w:r>
    </w:p>
    <w:p>
      <w:pPr>
        <w:pStyle w:val="TextBody"/>
        <w:bidi w:val="0"/>
        <w:jc w:val="left"/>
        <w:rPr/>
      </w:pPr>
      <w:r>
        <w:rPr/>
        <w:t> </w:t>
      </w:r>
    </w:p>
    <w:tbl>
      <w:tblPr>
        <w:tblW w:w="10258" w:type="dxa"/>
        <w:jc w:val="left"/>
        <w:tblInd w:w="0" w:type="dxa"/>
        <w:tblLayout w:type="fixed"/>
        <w:tblCellMar>
          <w:top w:w="28" w:type="dxa"/>
          <w:left w:w="28" w:type="dxa"/>
          <w:bottom w:w="28" w:type="dxa"/>
          <w:right w:w="28" w:type="dxa"/>
        </w:tblCellMar>
      </w:tblPr>
      <w:tblGrid>
        <w:gridCol w:w="1326"/>
        <w:gridCol w:w="146"/>
        <w:gridCol w:w="146"/>
        <w:gridCol w:w="931"/>
        <w:gridCol w:w="246"/>
        <w:gridCol w:w="246"/>
        <w:gridCol w:w="211"/>
        <w:gridCol w:w="781"/>
        <w:gridCol w:w="246"/>
        <w:gridCol w:w="246"/>
        <w:gridCol w:w="146"/>
        <w:gridCol w:w="931"/>
        <w:gridCol w:w="246"/>
        <w:gridCol w:w="246"/>
        <w:gridCol w:w="266"/>
        <w:gridCol w:w="590"/>
        <w:gridCol w:w="246"/>
        <w:gridCol w:w="246"/>
        <w:gridCol w:w="146"/>
        <w:gridCol w:w="931"/>
        <w:gridCol w:w="246"/>
        <w:gridCol w:w="246"/>
        <w:gridCol w:w="266"/>
        <w:gridCol w:w="590"/>
        <w:gridCol w:w="391"/>
      </w:tblGrid>
      <w:tr>
        <w:trPr/>
        <w:tc>
          <w:tcPr>
            <w:tcW w:w="1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5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Pre-funded Warrants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24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Tranche 1 Warrants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24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Tranche 2 Warrants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warrants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Exercise Price </w:t>
              <w:br/>
              <w:t>Per Share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warrants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Exercise Price </w:t>
              <w:br/>
              <w:t>Per Share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warrants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Exercise Price </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right"/>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right"/>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ind w:left="0" w:right="0" w:firstLine="200"/>
              <w:jc w:val="center"/>
              <w:rPr/>
            </w:pPr>
            <w:r>
              <w:rPr/>
              <w:t> </w:t>
            </w:r>
          </w:p>
        </w:tc>
      </w:tr>
      <w:tr>
        <w:trPr/>
        <w:tc>
          <w:tcPr>
            <w:tcW w:w="13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Warrants Outstanding</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6,923,077</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0.00001</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5,769,231</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5,769,231</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May 2024 annual meeting of stockholders, the Company's authorized shares of common stock were approved to increase from 150,000,000 shares to 300,000,000 shares.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Activities for the Company’s stock option plans for the six months ended June 30, 2024 were as follows: </w:t>
      </w:r>
    </w:p>
    <w:p>
      <w:pPr>
        <w:pStyle w:val="TextBody"/>
        <w:bidi w:val="0"/>
        <w:jc w:val="left"/>
        <w:rPr/>
      </w:pPr>
      <w:r>
        <w:rPr/>
        <w:t> </w:t>
      </w:r>
    </w:p>
    <w:tbl>
      <w:tblPr>
        <w:tblW w:w="5887" w:type="dxa"/>
        <w:jc w:val="left"/>
        <w:tblInd w:w="0" w:type="dxa"/>
        <w:tblLayout w:type="fixed"/>
        <w:tblCellMar>
          <w:top w:w="28" w:type="dxa"/>
          <w:left w:w="28" w:type="dxa"/>
          <w:bottom w:w="28" w:type="dxa"/>
          <w:right w:w="28" w:type="dxa"/>
        </w:tblCellMar>
      </w:tblPr>
      <w:tblGrid>
        <w:gridCol w:w="2686"/>
        <w:gridCol w:w="146"/>
        <w:gridCol w:w="146"/>
        <w:gridCol w:w="1036"/>
        <w:gridCol w:w="166"/>
        <w:gridCol w:w="146"/>
        <w:gridCol w:w="314"/>
        <w:gridCol w:w="856"/>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6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Exercise Price </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12,949,612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 forfeited/expired</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3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14,508,197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3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recorded $1.5 million and $1.7 million of stock-based compensation expense related to the stock options for the three months ended June 30, 2024 and 2023, respectively.</w:t>
      </w:r>
    </w:p>
    <w:p>
      <w:pPr>
        <w:pStyle w:val="TextBody"/>
        <w:bidi w:val="0"/>
        <w:jc w:val="left"/>
        <w:rPr>
          <w:rFonts w:ascii="Times New Roman" w:hAnsi="Times New Roman"/>
          <w:color w:val="000000"/>
          <w:sz w:val="20"/>
        </w:rPr>
      </w:pPr>
      <w:r>
        <w:rPr>
          <w:rFonts w:ascii="Times New Roman" w:hAnsi="Times New Roman"/>
          <w:color w:val="000000"/>
          <w:sz w:val="20"/>
        </w:rPr>
        <w:t>The Company recorded $2.9 million and $3.6 million of stock-based compensation expense related to the stock option plans for the six months ended June 30, 2024 and 2023,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Time-based RSUs ("TRSU")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Activities for the Company’s TRSUs for the six months ended June 30, 2024 were as follows:</w:t>
      </w:r>
    </w:p>
    <w:p>
      <w:pPr>
        <w:pStyle w:val="TextBody"/>
        <w:bidi w:val="0"/>
        <w:jc w:val="left"/>
        <w:rPr/>
      </w:pPr>
      <w:r>
        <w:rPr/>
        <w:t> </w:t>
      </w:r>
    </w:p>
    <w:tbl>
      <w:tblPr>
        <w:tblW w:w="8542" w:type="dxa"/>
        <w:jc w:val="left"/>
        <w:tblInd w:w="0" w:type="dxa"/>
        <w:tblLayout w:type="fixed"/>
        <w:tblCellMar>
          <w:top w:w="28" w:type="dxa"/>
          <w:left w:w="28" w:type="dxa"/>
          <w:bottom w:w="28" w:type="dxa"/>
          <w:right w:w="28" w:type="dxa"/>
        </w:tblCellMar>
      </w:tblPr>
      <w:tblGrid>
        <w:gridCol w:w="2686"/>
        <w:gridCol w:w="146"/>
        <w:gridCol w:w="146"/>
        <w:gridCol w:w="931"/>
        <w:gridCol w:w="166"/>
        <w:gridCol w:w="146"/>
        <w:gridCol w:w="1224"/>
        <w:gridCol w:w="2706"/>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0"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1,400,529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RSU's awarded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1,195,833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pPr>
            <w:r>
              <w:rPr/>
              <w:t> </w:t>
            </w:r>
          </w:p>
        </w:tc>
        <w:tc>
          <w:tcPr>
            <w:tcW w:w="2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(706,923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pPr>
            <w:r>
              <w:rPr/>
              <w:t> </w:t>
            </w:r>
          </w:p>
        </w:tc>
        <w:tc>
          <w:tcPr>
            <w:tcW w:w="2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RSU's 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pPr>
            <w:r>
              <w:rPr/>
              <w:t> </w:t>
            </w:r>
          </w:p>
        </w:tc>
        <w:tc>
          <w:tcPr>
            <w:tcW w:w="2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recorded $0.4 million and $0.5 million of stock-based compensation expense related to the TRSUs for the three months ended June 30, 2024 and 2023,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$0.8 million and $1.0 million of stock-based compensation expense related to the TRSUs for the six months ended June 30, 2024 and 2023, respectively.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Performance-based RSUs ("PSUs")</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2022 PSU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the Company granted 250,000 PSUs to executive employees with an aggregated grant date fair value of approximately $0.4 million. Vesting for 50% of the PSUs granted was set to occur upon attaining certain specific milestones by December 2023 (“2022-Tranche 1”), and the remaining 50% are set to vest upon attaining certain specific milestones by December 2024 (“2022-Tranche 2”). In December 2023, the Company determined that the performance conditions for 2022-Tranche 1 was satisfied and the award was vested in December 2023. As a result, the Company recorded $55,000 and the remaining $128,000 compensation cost for the 2022-Tranche 1 award for the year ended December 31, 2022 and 2023, respectively. As of June 30, 2024 and December 31, 2023, the Company determined that it is probable that the performance conditions for the 2022-Tranche 2 will be satisfied and recorded $19,000, $38,000 and $106,000 compensation cost for these awards for the three and six months ended June 30, 2024 and for the fiscal year 2023, respectively.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2023 PSU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granted 760,000 PSUs to executive employees with an aggregated grant date fair value of approximately $1.9 million. Vesting for 50% of the PSUs granted will occur upon attaining certain specific milestones by December 2024 (“2023-Tranche 1”), and the remaining 50% will vest upon attaining certain specific milestones by December 2025 (“2023-Tranche 2”). The Company determined that it is not probable that the performance conditions will be satisfied for each of these tranches and hence no compensation cost was recorded for these awards through June 30, 2024.</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2024 PSU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granted 810,000 PSUs to executive employees with an aggregated grant date fair value of approximately $1.3 million. Vesting for 50% of the PSUs granted will occur upon attaining certain specific milestones by December 2025 (“2024-Tranche 1”), and the remaining 50% will vest upon attaining certain specific milestones by December 2026 (“2024-Tranche 2”). The Company determined that it is not probable that the performance conditions will be satisfied for each of these tranches and hence no compensation cost was recorded for these awards through June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Activities for the Company’s PSUs for the six months ended June 30, 2024, were as follows: </w:t>
      </w:r>
    </w:p>
    <w:p>
      <w:pPr>
        <w:pStyle w:val="TextBody"/>
        <w:bidi w:val="0"/>
        <w:jc w:val="left"/>
        <w:rPr/>
      </w:pPr>
      <w:r>
        <w:rPr/>
        <w:t> </w:t>
      </w:r>
    </w:p>
    <w:tbl>
      <w:tblPr>
        <w:tblW w:w="8522" w:type="dxa"/>
        <w:jc w:val="left"/>
        <w:tblInd w:w="0" w:type="dxa"/>
        <w:tblLayout w:type="fixed"/>
        <w:tblCellMar>
          <w:top w:w="28" w:type="dxa"/>
          <w:left w:w="28" w:type="dxa"/>
          <w:bottom w:w="28" w:type="dxa"/>
          <w:right w:w="28" w:type="dxa"/>
        </w:tblCellMar>
      </w:tblPr>
      <w:tblGrid>
        <w:gridCol w:w="2686"/>
        <w:gridCol w:w="146"/>
        <w:gridCol w:w="146"/>
        <w:gridCol w:w="931"/>
        <w:gridCol w:w="146"/>
        <w:gridCol w:w="146"/>
        <w:gridCol w:w="1224"/>
        <w:gridCol w:w="2706"/>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0"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PSU's awarded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pPr>
            <w:r>
              <w:rPr/>
              <w:t> </w:t>
            </w:r>
          </w:p>
        </w:tc>
        <w:tc>
          <w:tcPr>
            <w:tcW w:w="2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1,685,000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stock-based compensation recorded was as follows:</w:t>
      </w:r>
    </w:p>
    <w:tbl>
      <w:tblPr>
        <w:tblW w:w="8592" w:type="dxa"/>
        <w:jc w:val="left"/>
        <w:tblInd w:w="0" w:type="dxa"/>
        <w:tblLayout w:type="fixed"/>
        <w:tblCellMar>
          <w:top w:w="28" w:type="dxa"/>
          <w:left w:w="28" w:type="dxa"/>
          <w:bottom w:w="28" w:type="dxa"/>
          <w:right w:w="28" w:type="dxa"/>
        </w:tblCellMar>
      </w:tblPr>
      <w:tblGrid>
        <w:gridCol w:w="3851"/>
        <w:gridCol w:w="146"/>
        <w:gridCol w:w="211"/>
        <w:gridCol w:w="571"/>
        <w:gridCol w:w="146"/>
        <w:gridCol w:w="146"/>
        <w:gridCol w:w="211"/>
        <w:gridCol w:w="571"/>
        <w:gridCol w:w="146"/>
        <w:gridCol w:w="146"/>
        <w:gridCol w:w="211"/>
        <w:gridCol w:w="571"/>
        <w:gridCol w:w="146"/>
        <w:gridCol w:w="146"/>
        <w:gridCol w:w="211"/>
        <w:gridCol w:w="571"/>
        <w:gridCol w:w="591"/>
      </w:tblGrid>
      <w:tr>
        <w:trPr/>
        <w:tc>
          <w:tcPr>
            <w:tcW w:w="3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vAlign w:val="center"/>
          </w:tcPr>
          <w:p>
            <w:pPr>
              <w:pStyle w:val="TableContents"/>
              <w:bidi w:val="0"/>
              <w:spacing w:before="0" w:after="283"/>
              <w:jc w:val="center"/>
              <w:rPr/>
            </w:pPr>
            <w:r>
              <w:rPr/>
              <w:t> </w:t>
            </w:r>
          </w:p>
        </w:tc>
      </w:tr>
      <w:tr>
        <w:trPr/>
        <w:tc>
          <w:tcPr>
            <w:tcW w:w="3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vAlign w:val="center"/>
          </w:tcPr>
          <w:p>
            <w:pPr>
              <w:pStyle w:val="TableContents"/>
              <w:bidi w:val="0"/>
              <w:spacing w:before="0" w:after="283"/>
              <w:ind w:left="0" w:right="0" w:firstLine="200"/>
              <w:jc w:val="center"/>
              <w:rPr/>
            </w:pPr>
            <w:r>
              <w:rPr/>
              <w:t> </w:t>
            </w:r>
          </w:p>
        </w:tc>
      </w:tr>
      <w:tr>
        <w:trPr/>
        <w:tc>
          <w:tcPr>
            <w:tcW w:w="38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8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In September 2022, the Company filed a motion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dismiss the case and the Court granted the parties’ stipulation to stay all pending case deadlines until that motion is finally resolved. On October 30, 2023, Magistrate Judge Burke issued a Report &amp; Recommendation that recommended granting Company’s motion to dismiss all counts of the complaint. In January 2024, the case was transferred to a new Judge and the case will remain stayed pending a ruling by the trial judge on the Magistrate’s Report &amp; Recommendation. The Company believes that the lawsuit is without merit and intends to vigorously defend itself. The Company does not believe a loss is probable and has not recorded any amount as a contingent liability for claims associated with this lawsuit as of June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License Agreement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UCSB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August 2010, the Company entered into an exclusive, worldwide license agreement with University of California, Santa Barbara (“UCSB”), relating to the use of certain patents and technology relating to its core technology, including its therapeutic antibodies, and to certain patent rights the Company co-owns with UCSB covering PROBODY antibodies and other pro-proteins (the “UCSB Agreement”). 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As part of the UCSB Agreement, the Company has annual minimum royalty obligations of $0.2 million under the terms of certain exclusive licensed patent rights. In April 2019, the Company entered into Amendment No.3 to the UCSB Agreement to adjust and clarify certain sublicense terms (“Amendment No.3”). Under the terms of Amendment No.3, the Company and UCSB agreed to modify the determination of sublicense revenues payable by the Company to UCSB on certain existing collaboration agreements and on collaboration agreements executed subsequent to Amendment No.3. In exchange, the Company agreed to make an upfront payment of $1.0 million as well as additional annual license maintenance fees of $0.8 million through 2031.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March 2024, the Company incurred $0.6 million of sublicense fees triggered by achieving the GLP toxicology studies milestone for the first clinical candidate which was nominated by Astellas in 2023, as well as by achieving the clinical candidate nomination milestone for a second collaboration target under the Astellas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2024, the Company incurred sublicense expenses of $0.1 million and $1.6 million under the provisions of the UCSB Agreement. For the three and six months ended June 30, 2023, the Company incurred sublicense expenses of $0 and $1.1 million under the provisions of the UCSB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ImmunoGen (acquired by AbbVie in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PROBODY technology that targets EpCAM in any human therapeutic field on a worldwide basis.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April 2024, the Company incurred a $5.0 million milestone payment to AbbVie (formerly ImmunoGen) with respect to achieving the milestone of dosing the first patient for CX-2051 under the ImmunoGen 2019 License Agreement.</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maintains a full valuation allowance against its net deferred tax assets due to the Company’s history of losses through December 31, 2023</w:t>
      </w:r>
      <w:r>
        <w:rPr>
          <w:rFonts w:ascii="Times New Roman" w:hAnsi="Times New Roman"/>
          <w:i/>
          <w:color w:val="000000"/>
          <w:sz w:val="20"/>
        </w:rPr>
        <w:t>.</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files income taxes in the U.S. federal jurisdiction, the state of California and various other U.S. states. The state of California contested the Company’s tax position on revenue apportionment for upfront and milestone payments resulting from the Company’s collaboration and licensing agreements for the years 2017 and 2018. In September 2023, the Company received Notice of Proposed Assessment (“NOPA”) from the Franchise Tax Board. The Company recorded an uncertain tax position of $4.0 million in long term liabilities for the proposed tax assessment, penalties and interest through June 30, 2024. Of the unrecognized tax benefits as of June 30, 2024, approximately $4.0 million would affect the Company’s effective tax rate if recognized. In addition, utilization of carryforward attributes and indirect federal tax effects of the assessment would result in a reduction in deferred tax assets of $5.1 million. The Company filed a protest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contest the proposed assessment in November 2023. Due to the ongoing nature of the examination and discussions with the state of California, the Company is unable to estimate a date by which this matter will be resolved.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b/>
          <w:color w:val="000000"/>
          <w:sz w:val="20"/>
        </w:rPr>
      </w:pPr>
      <w:bookmarkStart w:id="8" w:name="managements_discussion_and_analysis"/>
      <w:bookmarkEnd w:id="8"/>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2023, included in our Annual Report on Form 10-K as filed with the U.S. Securities and Exchange Commission (“SEC”) on March 11, 2024.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clinical-stage, oncology-focused biopharmaceutical company focused on developing novel, conditionally activated, masked biologics designed to be preferentially unmasked and activated in the tumor microenvironment. We aim to build a commercial enterprise to maximize our impact on the treatment of cancer. By pioneering a novel class of localized biologic drug candidates, powered by our PROBODY® therapeutic technology platform, we lead the field of masked, conditionally activated oncology therapeutics and have established biologics localization as a strategic area of research and development in the biopharmaceutical industry. Our vision is to transform lives with safer, more effective therapies with the goal to address major unmet needs in oncology.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proprietary, versatile, multi-modality PROBODY technology platform is designed to enable conditional activation of potent biologic therapeutic candidates within the tumor microenvironment, while minimizing drug activity in healthy tissues and circulation. Our platform is built on a strong foundation of tumor biology expertise, including deep knowledge of tumor-associated enzymes known as proteases. Proteases are tightly controlled in normal tissues but often dysregulated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are employing our leading, masking platform technology to address some of the biggest challenges in oncology biologics research and development. These include the validation of potential new targets for antibody-drug conjugates (“ADCs”), opening therapeutic window for novel T-cell engagers (“TCEs”) targeting solid tumors, and increasing the therapeutic index for immune modulators such as cytokines. We are also exploring the potential for our PROBODY platform in preclinical research in areas outside of oncology, including in our collaboration with Moderna.</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have utilized our PROBODY therapeutic platform and masking technology to build a promising, broad pipeline of potential first-in-class and best-in-class clinical-stage molecules. These are CX-904, a conditionally activated, PROBODY® TCE, targeting the epidermal growth factor receptor (“EGFR”) on tumor cells and the CD3 receptor on T cells; CX-2051, an investigational, conditionally activated ADC targeting epithelial cell adhesion molecule (“EpCAM”); and CX-801, an investigational, masked version of interferon alpha-2b (“IFNα2b”). Our current clinical-stage molecules address targets or mechanisms that have been previously validated as having anti-cancer activity but have been limited in their utilization due to systemic toxicities. We have incorporated our significant, multi-modality masking expertise and clinical learnings to optimize predicted therapeutic index and the clinical potential of these promising agents through tumor localized conditional activation.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Reinforcing our leadership in the field of conditional activation, in 2022 we advanced our first TCE into the clinic. CX-904, partnered with Amgen, is a conditionally activated TCE against EGFR and CD3. In preclinical studies, CytomX’s PROBODY EGFRxCD3 TCE demonstrated anti-tumor activity and better tolerability when compared to TCEs without PROBODY masking. In May 2022, the first patient was dosed in a Phase 1 study evaluating CX-904 as a treatment for patients with advanced solid tumors. Patient enrollment in the Phase 1 dose escalation portion of the study continues to progress. We reported in January 2023 that the initial single patient cohort phase of the study was complete and that the “3+3” patient cohort phase had been initiated.</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On May 8, 2024, we reported initial Phase 1a data based on an April 16, 2024 data cutoff. As of the data cutoff, the CX-904-101 study had enrolled 35 patients with advanced metastatic solid tumor types that are generally known to express EGFR, including pancreatic, colorectal (CRC), non-small cell lung cancer (NSCLC), head and neck squamous cell carcinoma (HNSCC), gastric, and esophageal cancers. Patients enrolled in the study were heavily pre-treated and had a median of 4 prior lines of therapy. 19 patients were enrolled into initial non-step dosing cohorts with target doses ranging from 0.007 mg to 6 mg, and 16 patients were subsequently enrolled into step-dosing cohorts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target doses ranging from 5 mg to 10 mg and with tocilizumab prophylaxis. As of the April 16, 2024 data cutoff enrollment into a cohort with a target dose of 15 mg was ongoing.</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the cutoff date, CX-904 demonstrated a favorable safety profile. There were no observed cases of cytokine release syndrome (CRS) of any grade in step-dosing cohorts as of the cutoff date. In non-step dosing cohorts, only Grade 1 CRS was observed in patients treated at the highest dose of 6 mg. Overall, the most common treatment-related adverse events (TRAEs) were rash, arthralgia, arthritis, pruritis, and vomiting, the majority of which were low grade, being observed in 14 (40%), 13 (37%), 5 (14%), 5 (14%) and 5 (14%) of patients, respectively. Grade 3 adverse events were tenosynovitis (n=1), arthralgia (n=2), arthritis (n=1), rash (n=1).</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the April 16, 2024 data cutoff, 8 patients had measurable tumor reduction per RECIST 1.1, including 2 of 6 efficacy-evaluable patients (33%) with pancreatic cancer with confirmed partial responses. All 6 efficacy-evaluable patients with pancreatic cancer achieved disease control (objective response or stable disease). For the two patients with a confirmed partial response, one patient (6 mg target dose) achieved an 83% tumor reduction. A second patient (5 mg target dose) with a confirmed response achieved a 51% tumor reduction and remained on study treatment as of the data cutoff. In addition, a third pancreatic cancer patient maintained stable disease with no evidence of tumor growth through 3.5 months of study treatment, and remained on treatment as of the data cutoff.</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Preliminary pharmacokinetic and pharmacodynamic data were consistent with the PROBODY TCE mechanism of action, including maintained masking in circulation, and CD8+ T-cell margination and tumor infiltration.</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CX-904 Phase 1 dose escalation is ongoing with enrollment focused in patients with pancreatic ductal carcinoma, non-small cell lung cancer, and head and neck squamous cell carcinoma across multiple target dose cohorts with a focus on determining a recommended Phase 1b dose, or doses. A CX-904 Phase 1 program update is expected by the end of 2024, including a potential decision, to initiate Phase 1b expansion cohorts in specific EGFR positive tumor types.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Our pipeline also includes CX-2051, a wholly-owned conditionally activated, PROBODY ADC paired with a next-generation camptothecin payload (Topoisomerase-1 inhibitor) and directed toward the epithelial cellular adhesion molecule (EpCAM). CX-2051 is licensed from AbbVie (formerly ImmunoGen). CX-2051 has been tailored to optimize the therapeutic index for the systemic treatment of EpCAM-expressing epithelial cancers where previous industry efforts targeting EpCAM have not been successful due to dose-limiting toxicities. CX-2051 has demonstrated a wide predicted therapeutic index and strong preclinical activity and tolerability in multiple preclinical models, including colorectal cancer.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IND for CX-2051 was cleared by the FDA in January 2024 and Phase 1 clinical initiation in EpCAM expressing solid tumors, including CRC commenced in April 2024. As of August 2024, the third cohort in the Phase 1 study had been opened with early enrollment focused primarily in CRC. The Phase 1 dose escalation is intended to demonstrate clinical proof of concept to potentially move into dose expansion studies in 2025. Initial Phase 1 data for CX-2051 is expected in the first half of 2025.</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Another wholly-owned product candidate is CX-801, an interferon ("IFN") alpha-2b PROBODY. IFNα2b provides a potentially superior approach to activating anti-tumor immune responses than other cytokines. CX-801 is a dually masked, conditionally activated version of IFNα2b that has the potential to become a cornerstone of combination therapy for a wide range of tumor types. The IND for CX-801 was cleared by the FDA in January 2024, and in June 2024 the first clinical site for the CX-801 Phase 1 dose escalation study in solid tumors was activated. The Phase 1 dose escalation study will enroll patients with melanoma, renal cell carcinoma, and head and neck squamous cell carcinoma. In Phase 1 dose escalation, we will evaluate safety and signs of clinical activity for CX-801 monotherapy and in combination with KEYTRUDA®. In second quarter of 2024, CytomX announced a clinical collaboration with Merck to supply KEYTRUDA for evaluation of CX-801 in combination with KEYTRUDA® in the Phase 1 study.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CX-2029 was previously developed in a global co-development collaboration with AbbVie. This program is intended to open a therapeutic window for successful targeting of CD71, also known as the transferrin receptor 1 (“TfR1”). CD71 is a cell surface protein essential for iron uptake in dividing cells and is highly expressed in a number of solid and hematologic cancers. However, given its central role in iron metabolism, CD71 is present on most healthy cells and is thought to be an undruggable target with conventional ADCs. CX-2029 is conjugated with the tubulin inhibitor, monomethyl auristatin E (“MMAE”), as the payload. In March 2023, following the completion of the Phase 2 Study in squamous non-small cell lung cancer (“sqNSCLC”), head and neck squamous cell carcinoma (“HNSCC”), esophageal and gastro-esophageal junction (“E/GEJ”) cancers, AbbVie notified CytomX that it would not advance CX-2029 into additional clinical studies and terminated the 2016 CD71 License and Collaboration Agreement. CytomX re-acquired full rights to CX-2029 but does not currently have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plans to make further significant investments in the solid tumor program in the near-term but continues to view CD71 as a target of strategic interest, including novel next-generation strategies.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are also continuously engaged in drug discovery efforts towards the generation of new clinical candidates across multiple modalities for the treatment of cancer, including additional ADCs, Cytokines, TCEs, and mRNAs reflecting the versatility of our PROBODY platform. We currently have more than 15 active drug discovery and/or development programs.</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do not have any products approved for sale, and we continue to incur significant research and development and general administrative expenses related to our operations. As of June 30, 2024 and December 31, 2023, we had an accumulated deficit of $716.2 million and $723.4 million, respectively.</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There are no material changes to our critical accounting policies and estimates as presented in Part II, Item 7 of our Annual Report on Form 10-K for the year ended December 31, 2023.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applying the input method of revenue recognition, we use actual full-time equivalent (FTE) hours incurred relative to estimated total FTE hours expected to be incurred for each combined performance obligation over the estimated research service period of each collaboration target.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are also recognized over the performance period based on a similar method.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Amgen, Astellas, Bristol Myers Squibb, Regeneron, Moderna and any other collaboration partners, and as a result of the fluctuations in the research and development expenses we incur in the performance of assigned activities under these agreements.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AbbVie, one of our previous collaboration partners, entered into a license agreement with Seagen Inc. (“SGEN”) to license certain intellectual property rights. As part of the collaboration agreement with AbbVie, we received a sublicense to these intellectual property rights and therefore paid SGEN sublicense fees. These sublicense fees were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pStyle w:val="TextBody"/>
        <w:bidi w:val="0"/>
        <w:jc w:val="left"/>
        <w:rPr>
          <w:rFonts w:ascii="Times New Roman" w:hAnsi="Times New Roman"/>
          <w:color w:val="000000"/>
          <w:sz w:val="20"/>
        </w:rPr>
      </w:pPr>
      <w:r>
        <w:rPr>
          <w:rFonts w:ascii="Times New Roman" w:hAnsi="Times New Roman"/>
          <w:color w:val="000000"/>
          <w:sz w:val="20"/>
        </w:rPr>
        <w:t>We also account for uncertain tax positions in accordance with the provisions of ASC 740. When uncertain tax positions exist, we recognize the tax benefit of tax positions to the extent that the benefit will be more likely than not be realized. The determination as to whether the tax benefit will more likely than not be realized is based upon the technical merits of the tax position as well as consideration of the available facts and circumstances.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primarily consists of interest income from our cash equivalents and investments, and accretion of discounts or amortization of premiums on our investments.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consists primarily of gains and losses resulting from changes to currency exchange rates.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480" w:after="283"/>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revenue by collaboration partner during the respective periods: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1"/>
        <w:gridCol w:w="146"/>
        <w:gridCol w:w="211"/>
        <w:gridCol w:w="676"/>
        <w:gridCol w:w="246"/>
        <w:gridCol w:w="246"/>
        <w:gridCol w:w="211"/>
        <w:gridCol w:w="676"/>
        <w:gridCol w:w="246"/>
        <w:gridCol w:w="246"/>
        <w:gridCol w:w="211"/>
        <w:gridCol w:w="481"/>
        <w:gridCol w:w="266"/>
        <w:gridCol w:w="246"/>
        <w:gridCol w:w="211"/>
        <w:gridCol w:w="676"/>
        <w:gridCol w:w="246"/>
        <w:gridCol w:w="246"/>
        <w:gridCol w:w="211"/>
        <w:gridCol w:w="676"/>
        <w:gridCol w:w="246"/>
        <w:gridCol w:w="246"/>
        <w:gridCol w:w="211"/>
        <w:gridCol w:w="676"/>
        <w:gridCol w:w="41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364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vAlign w:val="center"/>
          </w:tcPr>
          <w:p>
            <w:pPr>
              <w:pStyle w:val="TableContents"/>
              <w:bidi w:val="0"/>
              <w:spacing w:before="0" w:after="283"/>
              <w:jc w:val="center"/>
              <w:rPr/>
            </w:pPr>
            <w:r>
              <w:rPr/>
              <w:t> </w:t>
            </w:r>
          </w:p>
        </w:tc>
      </w:tr>
      <w:tr>
        <w:trPr/>
        <w:tc>
          <w:tcPr>
            <w:tcW w:w="2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36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364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2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AbbVie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Amgen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Astellas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Bristol Myers Squibb</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13,879</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33,065</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Regeneron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Moderna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revenue of $0.4 million for the three months ended June 30, 2024 compared to the corresponding period of 2023 was primarily due to an increase in revenue under the Regeneron Agreement and Moderna Agreement driven by higher percentage of completion of research collaboration programs that commenced in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revenue of $18.4 million for the six months ended June 30, 2024 compared to the corresponding period of 2023 was primarily due to: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increase in revenue under the BMS Agreement driven by higher percentage of completion of the existing targets;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revenue under the Astellas Agreement primarily driven by two milestone payments of $5.0 million each, triggered in March 2024. One was related to the nomination of a second clinical candidate while the other was related to the milestone achievement of GLP toxicology study initiation for the first clinical candidate. Astellas revenue in the first quarter of 2023 included the $5.0 million milestone for the 1st clinical candidate nomination achieved in the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revenue under the Regeneron Agreement and Moderna Agreement driven by higher percentage of completion of research collaboration programs that commenced in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revenue under the AbbVie Agreement due to termination of the agreement in March 2023.</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Costs and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research and development expenses by program incurred during the respective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6"/>
        <w:gridCol w:w="146"/>
        <w:gridCol w:w="211"/>
        <w:gridCol w:w="676"/>
        <w:gridCol w:w="246"/>
        <w:gridCol w:w="246"/>
        <w:gridCol w:w="211"/>
        <w:gridCol w:w="676"/>
        <w:gridCol w:w="246"/>
        <w:gridCol w:w="246"/>
        <w:gridCol w:w="211"/>
        <w:gridCol w:w="631"/>
        <w:gridCol w:w="266"/>
        <w:gridCol w:w="246"/>
        <w:gridCol w:w="211"/>
        <w:gridCol w:w="676"/>
        <w:gridCol w:w="246"/>
        <w:gridCol w:w="246"/>
        <w:gridCol w:w="211"/>
        <w:gridCol w:w="676"/>
        <w:gridCol w:w="246"/>
        <w:gridCol w:w="246"/>
        <w:gridCol w:w="211"/>
        <w:gridCol w:w="631"/>
        <w:gridCol w:w="391"/>
      </w:tblGrid>
      <w:tr>
        <w:trPr/>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60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360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vAlign w:val="center"/>
          </w:tcPr>
          <w:p>
            <w:pPr>
              <w:pStyle w:val="TableContents"/>
              <w:bidi w:val="0"/>
              <w:spacing w:before="0" w:after="283"/>
              <w:jc w:val="center"/>
              <w:rPr/>
            </w:pPr>
            <w:r>
              <w:rPr/>
              <w:t> </w:t>
            </w:r>
          </w:p>
        </w:tc>
      </w:tr>
      <w:tr>
        <w:trPr/>
        <w:tc>
          <w:tcPr>
            <w:tcW w:w="1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 incurred by product candidate (target):</w:t>
            </w:r>
          </w:p>
        </w:tc>
        <w:tc>
          <w:tcPr>
            <w:tcW w:w="146" w:type="dxa"/>
            <w:tcBorders/>
            <w:shd w:fill="FFFFFF" w:val="clear"/>
            <w:vAlign w:val="center"/>
          </w:tcPr>
          <w:p>
            <w:pPr>
              <w:pStyle w:val="TableContents"/>
              <w:bidi w:val="0"/>
              <w:spacing w:before="0" w:after="283"/>
              <w:jc w:val="right"/>
              <w:rPr/>
            </w:pPr>
            <w:r>
              <w:rPr/>
              <w:t> </w:t>
            </w:r>
          </w:p>
        </w:tc>
        <w:tc>
          <w:tcPr>
            <w:tcW w:w="360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360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1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CX-904 (EGFRxCD3)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266" w:type="dxa"/>
            <w:tcBorders/>
            <w:shd w:fill="CFF0FC" w:val="clear"/>
            <w:vAlign w:val="center"/>
          </w:tcPr>
          <w:p>
            <w:pPr>
              <w:pStyle w:val="TableContents"/>
              <w:bidi w:val="0"/>
              <w:spacing w:before="0" w:after="283"/>
              <w:ind w:left="0" w:right="0" w:firstLine="80"/>
              <w:jc w:val="left"/>
              <w:rPr/>
            </w:pPr>
            <w:r>
              <w:rPr/>
              <w:t> </w:t>
            </w:r>
          </w:p>
        </w:tc>
        <w:tc>
          <w:tcPr>
            <w:tcW w:w="246" w:type="dxa"/>
            <w:tcBorders/>
            <w:shd w:fill="CFF0FC" w:val="clear"/>
            <w:vAlign w:val="center"/>
          </w:tcPr>
          <w:p>
            <w:pPr>
              <w:pStyle w:val="TableContents"/>
              <w:bidi w:val="0"/>
              <w:spacing w:before="0" w:after="283"/>
              <w:ind w:left="80" w:right="0" w:firstLine="8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391" w:type="dxa"/>
            <w:tcBorders/>
            <w:shd w:fill="CFF0FC"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CX-2051 (EpCAM)</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266" w:type="dxa"/>
            <w:tcBorders/>
            <w:shd w:fill="FFFFFF" w:val="clear"/>
            <w:vAlign w:val="center"/>
          </w:tcPr>
          <w:p>
            <w:pPr>
              <w:pStyle w:val="TableContents"/>
              <w:bidi w:val="0"/>
              <w:spacing w:before="0" w:after="283"/>
              <w:ind w:left="0" w:right="0" w:firstLine="80"/>
              <w:jc w:val="left"/>
              <w:rPr/>
            </w:pPr>
            <w:r>
              <w:rPr/>
              <w:t> </w:t>
            </w:r>
          </w:p>
        </w:tc>
        <w:tc>
          <w:tcPr>
            <w:tcW w:w="246" w:type="dxa"/>
            <w:tcBorders/>
            <w:shd w:fill="FFFFFF" w:val="clear"/>
            <w:vAlign w:val="center"/>
          </w:tcPr>
          <w:p>
            <w:pPr>
              <w:pStyle w:val="TableContents"/>
              <w:bidi w:val="0"/>
              <w:spacing w:before="0" w:after="283"/>
              <w:ind w:left="80" w:right="0" w:firstLine="8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7,751</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391" w:type="dxa"/>
            <w:tcBorders/>
            <w:shd w:fill="FFFFFF" w:val="clear"/>
            <w:vAlign w:val="center"/>
          </w:tcPr>
          <w:p>
            <w:pPr>
              <w:pStyle w:val="TableContents"/>
              <w:bidi w:val="0"/>
              <w:spacing w:before="0" w:after="283"/>
              <w:jc w:val="left"/>
              <w:rPr/>
            </w:pPr>
            <w:r>
              <w:rPr/>
              <w:t> </w:t>
            </w:r>
          </w:p>
        </w:tc>
      </w:tr>
      <w:tr>
        <w:trPr/>
        <w:tc>
          <w:tcPr>
            <w:tcW w:w="1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CX-801 (IFNα2b)</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CX-2029 (CD71)</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programs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4,428</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391" w:type="dxa"/>
            <w:tcBorders/>
            <w:shd w:fill="CFF0FC"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research and development expenses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external costs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increased by $4.5 million and $5.4 million for the three and six months ended June 30, 2024 compared to the corresponding periods of 2023. This was primarily due 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$5.0 million milestone payment to AbbVie (formerly ImmunoGen) in the current period, included in the general research and development expenses, for dosing the first patient for CX-2051 in Phase 1 under the ImmunoGen 2019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manufacturing activities for the CX-2051 program and clinical trial activities for the CX-904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in consulting and personnel related expenses, offset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in laboratory contract services and manufacturing activities for the CX-801 program and winding down of clinical study activities related to the CX-2029 and CX-2009 programs.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tbl>
      <w:tblPr>
        <w:tblW w:w="8768"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20"/>
        <w:gridCol w:w="441"/>
        <w:gridCol w:w="146"/>
        <w:gridCol w:w="146"/>
        <w:gridCol w:w="211"/>
        <w:gridCol w:w="676"/>
        <w:gridCol w:w="146"/>
        <w:gridCol w:w="146"/>
        <w:gridCol w:w="211"/>
        <w:gridCol w:w="676"/>
        <w:gridCol w:w="146"/>
        <w:gridCol w:w="146"/>
        <w:gridCol w:w="220"/>
        <w:gridCol w:w="44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9"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9"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9"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9"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$1.0 million for the three months ended June 30, 2024, compared to the corresponding period of 2023, primarily due to higher consulting expenses, personnel related expenses and intellectual property related legal services expenses.</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$0.8 million for the six months ended June 30, 2024, compared to the corresponding period of 2023, primarily due to higher consulting expenses, personnel related expenses and intellectual property related legal services expenses partially offset by lower rent as a result of partial sublease of the Company’s headquarters started in March 2023.</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 and Other Income (Expense), Net</w:t>
      </w:r>
    </w:p>
    <w:tbl>
      <w:tblPr>
        <w:tblW w:w="9990" w:type="dxa"/>
        <w:jc w:val="left"/>
        <w:tblInd w:w="0" w:type="dxa"/>
        <w:tblLayout w:type="fixed"/>
        <w:tblCellMar>
          <w:top w:w="28" w:type="dxa"/>
          <w:left w:w="28" w:type="dxa"/>
          <w:bottom w:w="28" w:type="dxa"/>
          <w:right w:w="28" w:type="dxa"/>
        </w:tblCellMar>
      </w:tblPr>
      <w:tblGrid>
        <w:gridCol w:w="3361"/>
        <w:gridCol w:w="146"/>
        <w:gridCol w:w="211"/>
        <w:gridCol w:w="571"/>
        <w:gridCol w:w="166"/>
        <w:gridCol w:w="146"/>
        <w:gridCol w:w="211"/>
        <w:gridCol w:w="571"/>
        <w:gridCol w:w="166"/>
        <w:gridCol w:w="146"/>
        <w:gridCol w:w="211"/>
        <w:gridCol w:w="481"/>
        <w:gridCol w:w="166"/>
        <w:gridCol w:w="146"/>
        <w:gridCol w:w="211"/>
        <w:gridCol w:w="571"/>
        <w:gridCol w:w="166"/>
        <w:gridCol w:w="146"/>
        <w:gridCol w:w="211"/>
        <w:gridCol w:w="571"/>
        <w:gridCol w:w="166"/>
        <w:gridCol w:w="146"/>
        <w:gridCol w:w="211"/>
        <w:gridCol w:w="481"/>
        <w:gridCol w:w="4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8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8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vAlign w:val="center"/>
          </w:tcPr>
          <w:p>
            <w:pPr>
              <w:pStyle w:val="TableContents"/>
              <w:bidi w:val="0"/>
              <w:spacing w:before="0" w:after="283"/>
              <w:jc w:val="center"/>
              <w:rPr/>
            </w:pPr>
            <w:r>
              <w:rPr/>
              <w:t> </w:t>
            </w:r>
          </w:p>
        </w:tc>
      </w:tr>
      <w:tr>
        <w:trPr/>
        <w:tc>
          <w:tcPr>
            <w:tcW w:w="3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8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8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33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income and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$0.3 million and $0.5 million for the three and six months ended June 30, 2024, respectively, compared to the corresponding periods of 2023 was primarily driven by lower interest rates and the lower cash and cash equivalents and short-term investments position as compared to the corresponding periods.</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Income Taxes</w:t>
      </w:r>
    </w:p>
    <w:tbl>
      <w:tblPr>
        <w:tblW w:w="8073" w:type="dxa"/>
        <w:jc w:val="left"/>
        <w:tblInd w:w="0" w:type="dxa"/>
        <w:tblLayout w:type="fixed"/>
        <w:tblCellMar>
          <w:top w:w="28" w:type="dxa"/>
          <w:left w:w="28" w:type="dxa"/>
          <w:bottom w:w="28" w:type="dxa"/>
          <w:right w:w="28" w:type="dxa"/>
        </w:tblCellMar>
      </w:tblPr>
      <w:tblGrid>
        <w:gridCol w:w="2481"/>
        <w:gridCol w:w="146"/>
        <w:gridCol w:w="211"/>
        <w:gridCol w:w="316"/>
        <w:gridCol w:w="146"/>
        <w:gridCol w:w="146"/>
        <w:gridCol w:w="211"/>
        <w:gridCol w:w="346"/>
        <w:gridCol w:w="146"/>
        <w:gridCol w:w="146"/>
        <w:gridCol w:w="264"/>
        <w:gridCol w:w="397"/>
        <w:gridCol w:w="146"/>
        <w:gridCol w:w="146"/>
        <w:gridCol w:w="211"/>
        <w:gridCol w:w="421"/>
        <w:gridCol w:w="146"/>
        <w:gridCol w:w="146"/>
        <w:gridCol w:w="211"/>
        <w:gridCol w:w="346"/>
        <w:gridCol w:w="146"/>
        <w:gridCol w:w="146"/>
        <w:gridCol w:w="220"/>
        <w:gridCol w:w="441"/>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9"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34"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9"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34"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ind w:left="0" w:right="0" w:firstLine="200"/>
              <w:jc w:val="center"/>
              <w:rPr/>
            </w:pPr>
            <w:r>
              <w:rPr/>
              <w:t> </w:t>
            </w:r>
          </w:p>
        </w:tc>
      </w:tr>
      <w:tr>
        <w:trPr/>
        <w:tc>
          <w:tcPr>
            <w:tcW w:w="24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$0.1 million and $0.1 million tax provision represented the interest accrued for the three and six months ended June 30, 2024, respectively, related to the proposed assessment received from the state of California for the years 2017 and 2018.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we had cash, cash equivalents and short-term investments of $137.2 million and an accumulated deficit of $716.2 million, compared to cash, cash equivalents and short-term investments of $174.5 million and an accumulated deficit of $723.4 million as of December 31, 2023. To date, we have financed our operations primarily through sales of our common stock in conjunction with the IPO, subsequent stock offerings and through our at-the-market offering, sales of our convertible preferred securities prior to our IPO, payments received under our collaboration agreements and proceeds from private placements of our common stock, warrants and pre-funded warrants. In July 2023, we completed a private placement and issued pre-funded warrants to purchase an aggregate of 14,423,077 shares of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accompanying Tranche 1 warrants to purchase up to 5,769,231 shares of common stock and accompanying Tranche 2 warrants to purchase up to 5,769,231 shares of common stock, at a combined price of $2.08 per share. We received gross proceeds of approximately $30.0 million. In March 2024, we achieved a clinical candidate milestone for a second collaboration target as well as the GLP toxicology studies milestone for the first collaboration target nominated in January 2023 under the Astellas Agreement. We collected the two milestones payment totaled $10.0 million in April 2024. In April 2024, we sold 2,270,608 shares at an average price of $2.20 per share under our at-the-market offering and received net proceeds of approximately $4.8 million after deducting the 3.0% sales commission and related issuance cost.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Based upon our current operating plan, we expect our existing capital resources will be sufficient to fund operations to the end of 2025.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Summary Statement of 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8234"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841"/>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(120,602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2024, cash used in operating activities was $45.6 million, which consisted of a net income of $7.3 million and non-cash charges of $3.4 million, adjusted by a net decrease of $56.3 million relating to the change of our net operating assets and liabilities. The non-cash charges primarily consisted of $3.8 million in stock-based compensation, $2.0 million in non-cash lease expense, $0.9 million in depreciation and amortization, partially offset by $3.3 million in accretion of discounts on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 in our net operating assets and liabilities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net decrease of $51.8 million in deferred revenue resulting from the continued recognition of deferred revenue from existing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$7.0 million in accounts payable, accrued and other long-term liabilities primarily due to timing of payments;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$2.5 million in cashflows from accounts receivable, prepaid and other current assets primarily due to decrease in advance payments due to timing of payment.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2023, cash used in operating activities was $15.8 million, which consisted of a net loss of $4.4 million, adjusted by non-cash charges of $4.6 million and a net decrease of $16.0 million relating to the change of our net operating assets and liabilities. The non-cash charges primarily consisted of $4.8 million in stock-based compensation, $1.8 million in non-cash lease expense, $1.2 million in depreciation and amortization, partially offset by $3.2 million in accretion of discounts on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 in our net operating assets and liabilities was primarily due 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net decrease of $40.2 million in deferred revenue resulting from the continued recognition of deferred revenue from existing and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$12.3 million in accounts payable, accrued and other long-term liabilities primarily due to decrease of payroll-related expenses and restructuring related expenses as well as timing of other payments;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$34.1 million in cash flows from accounts receivable primarily related to the receipt of the $35.0 million upfront payment and prepaid research under the Moderna agreement entered into in December 2022.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$2.4 million in cashflows from prepaid and other current assets primarily due to a decrease in advance payments to our third party manufacturing vendors and timing of payments.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2024, cash provided by investing activities was $66.4 million, which consisted of $160.0 million of proceeds from the maturities of short-term investments partially offset by $93.4 million used in the purchase of short-term investments and $0.2 million of capital expenditures used to purchase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2023, cash used in investing activities was $120.6 million, which consisted of $220.0 million used in the purchase of short-term investments and $0.6 million of capital expenditures used to purchase property and equipment, partially offset by $100.0 million in proceeds received upon the maturity of marketable securities.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2024, cash provided by financing activities was $5.2 million, which consisted of $4.8 million of net proceeds from issuance of common stock, net of issuance costs and $0.4 million of proceeds from the exercise of stock options and employee stock purchases under the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2023, cash provided by financing activities consisted of $0.3 million of proceeds from the exercise of stock options and employee stock purchases under the employee stock purchase plan.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2024, there were no material changes in contractual obligations from the amounts disclosed in our Annual Report on Form 10-K for the year ended December 31, 2023.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360" w:after="283"/>
        <w:jc w:val="left"/>
        <w:rPr>
          <w:rFonts w:ascii="Times New Roman" w:hAnsi="Times New Roman"/>
          <w:b/>
          <w:color w:val="000000"/>
          <w:sz w:val="20"/>
        </w:rPr>
      </w:pPr>
      <w:bookmarkStart w:id="9" w:name="quantitative_and_qualitative_disclosure"/>
      <w:bookmarkEnd w:id="9"/>
      <w:r>
        <w:rPr>
          <w:rFonts w:ascii="Times New Roman" w:hAnsi="Times New Roman"/>
          <w:b/>
          <w:color w:val="000000"/>
          <w:sz w:val="20"/>
        </w:rPr>
        <w:t>Item 3. Quantitative and Qualitative Disclosure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0" w:name="controls_and_procedures"/>
      <w:bookmarkEnd w:id="1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and Principal Financial Officers, has evaluated the effectiveness of our disclosure controls and procedures as of June 30, 2024, the end of the period covered by this Quarterly Report on Form 10-Q. Based on their evaluation and subject to the foregoing, the Principal Executive and Principal Financial Officers concluded that our disclosure controls and procedures were effective at the reasonable assurance level as of June 30,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Controls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(as defined in Rules 13a-15(f) and 15d-15(f) under the Exchange Act) that occurred during our fiscal quarter ended June 30, 2024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FF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In September 2022, we filed a motion to dismiss the case and the Court granted the parties’ stipulation to stay all pending case deadlines until that motion is finally resolved. On October 30, 2023, Magistrate Judge Burke issued a Report &amp; Recommendation that recommended granting CytomX’s motion to dismiss all counts of the complaint. In January 2024, the case was transferred to a new Judge and the case will remain stayed pending a ruling by the trial judge on the Magistrate’s Report &amp; Recommendation.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pStyle w:val="TextBody"/>
        <w:bidi w:val="0"/>
        <w:spacing w:before="200" w:after="283"/>
        <w:jc w:val="left"/>
        <w:rPr>
          <w:rFonts w:ascii="Times New Roman" w:hAnsi="Times New Roman"/>
          <w:sz w:val="20"/>
        </w:rPr>
      </w:pPr>
      <w:bookmarkStart w:id="12" w:name="item_1a_risk_factors"/>
      <w:bookmarkEnd w:id="12"/>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and have not generated any revenue from product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we will need to raise substantial additional funds to advance development of our product candidates and we cannot guarantee that this additional funding will be available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 involves a lengthy and expensive process with an uncertain outcome, and results of earlier studies and trials may not be predictive of future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in early stages of development and may fail or suffer delays that materially and adversely affect their commercial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initial and preliminary data from our clinical trials, including the ongoing Phase 1 clinical trial of CX-904,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or difficulties in the enrollment of patients in clinical trials, our receipt of necessary regulatory approvals could be delayed or prevented.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conducting and will continue to conduct clinical trials and will contract with third-party manufacturers in foreign countries, including China, which could expose us to risks that could have a material adverse effect on the success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 parties to conduct all of our clinical trials and certain of our preclinical studies and intend to continue to do so, and if such third parties do not perform as contractually required, fail to satisfy regulatory or legal requirements or miss expected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deadlines, our development programs could be delayed with material and adverse effects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approach to the discovery and development of our therapeutic treatments is based on novel technologies that are unproven and may not result in marketable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may not be receptive to our product candidates based on a novel therapeutic modality, and we may not generate any future revenue from the sale or licensing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our projected development and commercialization goals in the timeframes we announce and expect the commercialization of any of our product candidates may be delayed, or never attained, and our business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develop companion diagnostic tests for certain of our product candidates, or experience significant delays in doing so, we may not realize the full commercial potential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may be volatile and purchasers of our common stock could incur substantial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pandemic could adversely impact our business, including our research, development, including clinical trials, manufacturing and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developing a novel class of therapeutic antibody product candidates, based on our proprietary biologic PROBODY® conditionally activated technology platform. Since our inception, we have devoted our resources to the development of PROBODY therapeutics. We have had significant operating losses since our inception. As of June 30, 2024 and December 31, 2023, we had an accumulated deficit of $716.2 million and $723.4 million, respectively. Substantially all of our losses have resulted from expenses incurred in connection with our research and development programs and from general and administrative costs associated with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pStyle w:val="TextBody"/>
        <w:bidi w:val="0"/>
        <w:jc w:val="left"/>
        <w:rPr>
          <w:rFonts w:ascii="Times New Roman" w:hAnsi="Times New Roman"/>
          <w:color w:val="000000"/>
          <w:sz w:val="20"/>
        </w:rPr>
      </w:pPr>
      <w:r>
        <w:rPr>
          <w:rFonts w:ascii="Times New Roman" w:hAnsi="Times New Roman"/>
          <w:color w:val="000000"/>
          <w:sz w:val="20"/>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pStyle w:val="TextBody"/>
        <w:bidi w:val="0"/>
        <w:jc w:val="left"/>
        <w:rPr>
          <w:rFonts w:ascii="Times New Roman" w:hAnsi="Times New Roman"/>
          <w:color w:val="000000"/>
          <w:sz w:val="20"/>
        </w:rPr>
      </w:pPr>
      <w:r>
        <w:rPr>
          <w:rFonts w:ascii="Times New Roman" w:hAnsi="Times New Roman"/>
          <w:color w:val="000000"/>
          <w:sz w:val="20"/>
        </w:rPr>
        <w:t xml:space="preserve">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However, financial market conditions, including the public equity markets, and government regulation, including the Inflation Reduction Act of 2022, signed into law by President Biden in August 2022, have made it difficult for biotechnology companies to raise additional funds and may continue to do so. We cannot predict when or if market conditions will change. </w:t>
      </w:r>
    </w:p>
    <w:p>
      <w:pPr>
        <w:pStyle w:val="TextBody"/>
        <w:bidi w:val="0"/>
        <w:jc w:val="left"/>
        <w:rPr>
          <w:rFonts w:ascii="Times New Roman" w:hAnsi="Times New Roman"/>
          <w:color w:val="000000"/>
          <w:sz w:val="20"/>
        </w:rPr>
      </w:pPr>
      <w:r>
        <w:rPr>
          <w:rFonts w:ascii="Times New Roman" w:hAnsi="Times New Roman"/>
          <w:color w:val="000000"/>
          <w:sz w:val="20"/>
        </w:rPr>
        <w:t>As of June 30, 2024, we had cash, cash equivalents and investments of $137.2 million. We believe that our existing capital resources will be sufficient to fund our planned operations to the end of 2025.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pStyle w:val="TextBody"/>
        <w:bidi w:val="0"/>
        <w:jc w:val="left"/>
        <w:rPr>
          <w:rFonts w:ascii="Times New Roman" w:hAnsi="Times New Roman"/>
          <w:color w:val="000000"/>
          <w:sz w:val="20"/>
        </w:rPr>
      </w:pPr>
      <w:r>
        <w:rPr>
          <w:rFonts w:ascii="Times New Roman" w:hAnsi="Times New Roman"/>
          <w:color w:val="000000"/>
          <w:sz w:val="20"/>
        </w:rPr>
        <w:t>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and progress of our ongoing clinical trials as well as any other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size and type of clinical trials and preclinical studies that we may be required to complete for our product candidates, as well as the cost and time of such studies and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scope and prioritization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produce clinical supplies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scale our manufacturing capabilities prior to or following regulatory approval and commercial launch of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of the development efforts of parties with whom we have entered or may in the future enter into collaborations and research and development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payments we may receive or are obligated to pay under our collaboration agreements and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licenses and research and development programs and to establish new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prosecuting and enforcing patent and other intellectual property claims, including the ongoing patent infringement lawsuit brought by Vytacera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any existing or future litigation to which we are or may become a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hire additional personnel, including personnel to support development and commercialization of our product candidates and satisfy our obligations as a public company.</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For example, in November 2023, we announced that we would not direct significant further investment in the development of CX-2029 in the near-term.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date, we have financed our operations primarily through sales of our common stock, sale of our convertible preferred securities prior to our IPO, payments received under our collaboration agreements, including, more recently, the collaboration and license agreements that we entered into with each of Regeneron and Moderna in November and December 2022, respectively, and funding we received in a private placement of our common stock, warrants and pre-funded warrants in July 2023.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For example, when we issue shares of common stock upon exercise of the pre-funded warrants, Tranche 1 warrants and Tranche 2 warrants (collectively, the Tranche 1 warrants and Tranche 2 warrants, the “Tranche Warrants”) issued in our July 2023 private placement, our existing stockholders will suffer dilution and such dilutive impact may be difficult to compute.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pStyle w:val="TextBody"/>
        <w:bidi w:val="0"/>
        <w:jc w:val="left"/>
        <w:rPr>
          <w:rFonts w:ascii="Times New Roman" w:hAnsi="Times New Roman"/>
          <w:color w:val="000000"/>
          <w:sz w:val="20"/>
        </w:rPr>
      </w:pPr>
      <w:r>
        <w:rPr>
          <w:rFonts w:ascii="Times New Roman" w:hAnsi="Times New Roman"/>
          <w:color w:val="000000"/>
          <w:sz w:val="20"/>
        </w:rPr>
        <w:t xml:space="preserve">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our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patients to participate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validating any companion diagnostic to be used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requiring us to submit additional data or imposing other requirements before permitting us to initiate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authority clearance to commence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reaching agreement on acceptable terms with prospective contract research organizations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institutional review board (“IRB”) approval at each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having patients complete a clinical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adding new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our product candidates in sufficient quality and quantity for use in clinical trials;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electing to not pursue development and commercialization of our product candidates.</w:t>
      </w:r>
    </w:p>
    <w:p>
      <w:pPr>
        <w:pStyle w:val="TextBody"/>
        <w:bidi w:val="0"/>
        <w:jc w:val="left"/>
        <w:rPr>
          <w:rFonts w:ascii="Times New Roman" w:hAnsi="Times New Roman"/>
          <w:color w:val="000000"/>
          <w:sz w:val="20"/>
        </w:rPr>
      </w:pPr>
      <w:r>
        <w:rPr>
          <w:rFonts w:ascii="Times New Roman" w:hAnsi="Times New Roman"/>
          <w:color w:val="000000"/>
          <w:sz w:val="20"/>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pStyle w:val="TextBody"/>
        <w:bidi w:val="0"/>
        <w:jc w:val="left"/>
        <w:rPr>
          <w:rFonts w:ascii="Times New Roman" w:hAnsi="Times New Roman"/>
          <w:color w:val="000000"/>
          <w:sz w:val="20"/>
        </w:rPr>
      </w:pPr>
      <w:r>
        <w:rPr>
          <w:rFonts w:ascii="Times New Roman" w:hAnsi="Times New Roman"/>
          <w:color w:val="000000"/>
          <w:sz w:val="20"/>
        </w:rPr>
        <w:t>We are very early in our development efforts, including with CX-904 and CX-2051 currently continuing in early-stage clinical development. We received clearance to proceed for an IND filed for CX-801 and are in the process of initiating enrollment in a Phase 1 clinical trial for that product candidate.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purity and potency (or efficacy) of our product candidates in patients.</w:t>
      </w:r>
    </w:p>
    <w:p>
      <w:pPr>
        <w:pStyle w:val="TextBody"/>
        <w:bidi w:val="0"/>
        <w:jc w:val="left"/>
        <w:rPr>
          <w:rFonts w:ascii="Times New Roman" w:hAnsi="Times New Roman"/>
          <w:color w:val="000000"/>
          <w:sz w:val="20"/>
        </w:rPr>
      </w:pPr>
      <w:r>
        <w:rPr>
          <w:rFonts w:ascii="Times New Roman" w:hAnsi="Times New Roman"/>
          <w:color w:val="000000"/>
          <w:sz w:val="20"/>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product-related side effects experienced by participants in our clinical trials, the clinical trials of our collaborators or by individuals using drugs or therapeutic biologics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submitting INDs or comparable foreign applications or delays or failure in obtaining the necessary approvals or allowances from regulators to commence a clinical trial, or a suspension or termination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imposed by the FDA or comparable foreign authorities regarding the scope or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enrolling research subjects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drop-out rates of research subjects;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supply or quality of product candidate components or materials or other supplies necessary for the conduct of our or our collaborators’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than anticipated clinical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the development or approval of companion diagnostic tests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the manufacturing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FDA or other regulatory agency inspection and review of a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third-party contractors or investigators to comply with regulatory requirements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varying interpretations of data by the FDA and similar foreign regulatory agencies.</w:t>
      </w:r>
    </w:p>
    <w:p>
      <w:pPr>
        <w:pStyle w:val="TextBody"/>
        <w:bidi w:val="0"/>
        <w:jc w:val="left"/>
        <w:rPr>
          <w:rFonts w:ascii="Times New Roman" w:hAnsi="Times New Roman"/>
          <w:color w:val="000000"/>
          <w:sz w:val="20"/>
        </w:rPr>
      </w:pPr>
      <w:r>
        <w:rPr>
          <w:rFonts w:ascii="Times New Roman" w:hAnsi="Times New Roman"/>
          <w:color w:val="000000"/>
          <w:sz w:val="20"/>
        </w:rPr>
        <w:t>We could find that the therapeutics we or our collaborators pursue are not safe, pure, potent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pStyle w:val="TextBody"/>
        <w:bidi w:val="0"/>
        <w:jc w:val="left"/>
        <w:rPr>
          <w:rFonts w:ascii="Times New Roman" w:hAnsi="Times New Roman"/>
          <w:color w:val="000000"/>
          <w:sz w:val="20"/>
        </w:rPr>
      </w:pPr>
      <w:r>
        <w:rPr>
          <w:rFonts w:ascii="Times New Roman" w:hAnsi="Times New Roman"/>
          <w:color w:val="000000"/>
          <w:sz w:val="20"/>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For example, in March 2023, AbbVie announced that it would not advance CX-2029 into additional clinical trials and terminated our 2016 CD71 License and Collaboration Agreement for CX-2029. In November 2023, we announced that we would not direct significant further investment in the development of CX-2029 in the near-term.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Interim, “top-line,” initial and preliminary data from our clinical trials, including the ongoing Phase 1 clinical trial of CX-904, that we announce or publish from time to time may change as more patient data become available and are subject to audit and verification procedures that could result in material changes in the final data.</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May 2024, we disclosed initial data from our ongoing Phase 1a dose escalation clinical trial of CX-904. The clinical trial continues to enroll patients and we cannot provide any assurance that future data in this Phase 1 clinical trial or any subsequent clinical trials of CX-904 will confirm the early results generated in this ongoing clinical trial.</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pStyle w:val="TextBody"/>
        <w:bidi w:val="0"/>
        <w:jc w:val="left"/>
        <w:rPr>
          <w:rFonts w:ascii="Times New Roman" w:hAnsi="Times New Roman"/>
          <w:color w:val="000000"/>
          <w:sz w:val="20"/>
        </w:rPr>
      </w:pPr>
      <w:r>
        <w:rPr>
          <w:rFonts w:ascii="Times New Roman" w:hAnsi="Times New Roman"/>
          <w:color w:val="000000"/>
          <w:sz w:val="20"/>
        </w:rPr>
        <w:t xml:space="preserve">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CX-904, CX-2051 and CX-801. In May 2024, we disclosed initial data from our ongoing Phase 1a dose escalation clinical trial for CX-904. There can be no assurance that unexpected adverse events will not occur in our ongoing trials, including the ongoing Phase 1 clinical trial of CX-904, or in future trials involving our product candidates or the product candidates of our collaborators. Undesirable side effects may appear in later trials that were not observed in our earlier trials or may be more severe in later trials than earlier trials.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2022 we initiated a first-in-human Phase 1 clinical trial with CX-904 and, while we believe our preclinical studies indicate the potential to reach a favorable therapeutic index, clinical data will be necessary to specify an acceptable dose. We cannot provide assurance that we will reach an acceptable dose for CX-904 or for CX-2051 and CX-801. Furthermore, any ongoing or future clinical trials of our product candidates, including those for CX-904, CX-2051 and CX-801, could face risks related to undesirable side effects, including unacceptable toxicity.</w:t>
      </w:r>
    </w:p>
    <w:p>
      <w:pPr>
        <w:pStyle w:val="TextBody"/>
        <w:bidi w:val="0"/>
        <w:jc w:val="left"/>
        <w:rPr>
          <w:rFonts w:ascii="Times New Roman" w:hAnsi="Times New Roman"/>
          <w:color w:val="000000"/>
          <w:sz w:val="20"/>
        </w:rPr>
      </w:pPr>
      <w:r>
        <w:rPr>
          <w:rFonts w:ascii="Times New Roman" w:hAnsi="Times New Roman"/>
          <w:color w:val="000000"/>
          <w:sz w:val="20"/>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In addition, any occurrences of 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pStyle w:val="TextBody"/>
        <w:bidi w:val="0"/>
        <w:jc w:val="left"/>
        <w:rPr>
          <w:rFonts w:ascii="Times New Roman" w:hAnsi="Times New Roman"/>
          <w:color w:val="000000"/>
          <w:sz w:val="20"/>
        </w:rPr>
      </w:pPr>
      <w:r>
        <w:rPr>
          <w:rFonts w:ascii="Times New Roman" w:hAnsi="Times New Roman"/>
          <w:color w:val="000000"/>
          <w:sz w:val="20"/>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their approval of the product or seize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be required to recall the product or change the way the product is administered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the particular product or the manufacturing processes for the product or any component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“black box” warning or a contraindication;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 or to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p>
    <w:p>
      <w:pPr>
        <w:pStyle w:val="TextBody"/>
        <w:bidi w:val="0"/>
        <w:jc w:val="left"/>
        <w:rPr>
          <w:rFonts w:ascii="Times New Roman" w:hAnsi="Times New Roman"/>
          <w:color w:val="000000"/>
          <w:sz w:val="20"/>
        </w:rPr>
      </w:pPr>
      <w:r>
        <w:rPr>
          <w:rFonts w:ascii="Times New Roman" w:hAnsi="Times New Roman"/>
          <w:color w:val="000000"/>
          <w:sz w:val="20"/>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target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or condition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criteria for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an appropriate genomic screening test;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efficacy of approved therapies for the disease or condition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a trial;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and availability of clinical trial sites for prospective patients.</w:t>
      </w:r>
    </w:p>
    <w:p>
      <w:pPr>
        <w:pStyle w:val="TextBody"/>
        <w:bidi w:val="0"/>
        <w:jc w:val="left"/>
        <w:rPr>
          <w:rFonts w:ascii="Times New Roman" w:hAnsi="Times New Roman"/>
          <w:color w:val="000000"/>
          <w:sz w:val="20"/>
        </w:rPr>
      </w:pPr>
      <w:r>
        <w:rPr>
          <w:rFonts w:ascii="Times New Roman" w:hAnsi="Times New Roman"/>
          <w:color w:val="000000"/>
          <w:sz w:val="20"/>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new or further trials with our current or future drug candidates will not be adversely affected by a limited patient population. Our clinical trials of CX-904, CX-2051 and CX-801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trials of CX-904, CX-2051 and CX-801 are also competing with thousands of other anti-cancer clinical trials. Any clinical trials of our product candidates initiated by our collaborators will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will continue to conduct clinical trials and contract with third-party manufacturers in foreign countries, including China, which could expose us to risks that could have a material adverse effect on the success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enrolled or are planning to enroll patients in our clinical trials outside the United States, including in Europe and South Korea.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(“GCPs”)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trial was not subject to an IND, the FDA will not accept the data as support for an application for marketing approval unless the study was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we currently contract manufacturing operations to third parties, and certain of our product candidates are manufactured by and will in the future be manufactured by third parties outside the U.S., including in China. For example, we have a contract with a third-party manufacturer located in China for product candidates, including CX-2051 and CX-801, and accordingly we are exposed to the possibility of drug product supply disruption, delay and increased costs in the event of changes in the policies of the U.S. or Chinese governments, political unrest or unstable economic conditions in China.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in January 2024, the U.S. House of Representatives introduced the BIOSECURE Act (H.R. 7085) and the Senate advance a substantially similar bill (S.3558), which legislation, if passed and enacted into law, would have the potential to restrict the ability of U.S. biopharmaceutical companies like us to purchase services or products from, or otherwise collaborate with, certain Chinese biotechnology companies “of concern”, including a third-party manufacturer we use for certain product candidates, without losing the ability to contract with, or otherwise receive funding from, the U.S. government.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Conducting clinical trials and contracting with third-party manufacturers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r>
        <w:rPr>
          <w:rFonts w:ascii="Times New Roman" w:hAnsi="Times New Roman"/>
          <w:b/>
          <w:i/>
          <w:color w:val="000000"/>
          <w:sz w:val="20"/>
        </w:rPr>
        <w: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third-party contract manufacturers to manufacture our clinical trial and preclinical study product supplies, some of which are located in foreign countries. Most of our clinical trial manufacturing contractors and suppliers are our sole source for their respective manufacturing and supplies. Failure of any of these contractors could put our ability to have clinical trial material available when needed at risk. Any such failure to have clinical trial material available when needed could result in a substantial delay of our clinical trials. For each of CX-904, CX-2051 and CX-801 our manufacturing supply chain includes several contract manufacturers, and failure by any of these manufacturers could result in interruptions of our clinical studies. For example, beginning in October 2023, one of our contract manufacturers of CX-2051 experienced production failures. Although we are taking steps to manage our long-term supply of CX-2051, there can be no assurance that we will not have future production failures, which could affect our ability to conduct our trials for CX-2051 or any other clinical trial drug candidates, including CX-801 and CX-904,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0"/>
        </w:rPr>
        <w:t>addition, we may encounter issues with transferring technology to a new third-party manufacturer, and we may encounter regulatory delays if we need to move the manufacturing of our products from one third-party manufacturer to another</w:t>
      </w:r>
      <w:r>
        <w:rPr>
          <w:rFonts w:ascii="Times New Roman" w:hAnsi="Times New Roman"/>
          <w:b/>
          <w:i/>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CX-2051 manufacturing production failures our contract manufacturer experienced in 2023,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r>
        <w:rPr>
          <w:rFonts w:ascii="Times New Roman" w:hAnsi="Times New Roman"/>
          <w:b/>
          <w:i/>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initiate or continue clinical trials of product candidates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submitting regulatory applications, or receiving regulatory approvals, for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the cooperation of a collaborator;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subjecting third-party manufacturing facilities or our manufacturing facilities to additional inspections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cease distribution or to recall batches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approval to market and commercialize a product candidate, an inability to meet commercial demands for our products.</w:t>
      </w:r>
    </w:p>
    <w:p>
      <w:pPr>
        <w:pStyle w:val="TextBody"/>
        <w:bidi w:val="0"/>
        <w:jc w:val="left"/>
        <w:rPr>
          <w:rFonts w:ascii="Times New Roman" w:hAnsi="Times New Roman"/>
          <w:color w:val="000000"/>
          <w:sz w:val="20"/>
        </w:rPr>
      </w:pPr>
      <w:r>
        <w:rPr>
          <w:rFonts w:ascii="Times New Roman" w:hAnsi="Times New Roman"/>
          <w:color w:val="000000"/>
          <w:sz w:val="20"/>
        </w:rPr>
        <w:t>The supply chain for the manufacturing of our product candidates is complicated and can involve many parties. This is especially the case for our clinical-stage conditionally activated ADCs. If we were to experience any supply chain issues, our product supply could be seriously disrupted. In addition, we expect the logistical challenges associated with our supply chain to grow more complex as additional product candidates commence any clinical trials.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or third-party manufacturers, may be unable to successfully scale-up manufacturing of our product candidates in sufficient quality and quantity, which would delay or prevent us from developing our product candidates and commercializing approved products, if 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It may prove more challenging than we anticipate to manufacture products that incorporate our PROBODY therapeutic technology. In order to conduct clinical trials of our product candidates, including our clinical trials for CX-904, CX-2051 and CX-801 we will need to manufacture them in large quantities. There can be no assurance that we will not have future production failures, which could affect our ability to conduct our trials for CX-904, CX-2051 or CX-801 or any other clinical trial drug candidates on our planned timeline or at all. Furthermore, in order to conduct later 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increase the life of drug stability of product candidates, or successfully complete the FDA’s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bridging requirements, the development, testing, and clinical trials of that product candidate may be delayed or infeasible, and regulatory approval or commercial launch of any resulting product may be delayed or not obtained, which could significantly harm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approach to the discovery and development of our therapeutic treatments is based on novel technologies that are unproven and may not result in marketable products.</w:t>
      </w:r>
    </w:p>
    <w:p>
      <w:pPr>
        <w:pStyle w:val="TextBody"/>
        <w:bidi w:val="0"/>
        <w:jc w:val="left"/>
        <w:rPr>
          <w:rFonts w:ascii="Times New Roman" w:hAnsi="Times New Roman"/>
          <w:color w:val="000000"/>
          <w:sz w:val="20"/>
        </w:rPr>
      </w:pPr>
      <w:r>
        <w:rPr>
          <w:rFonts w:ascii="Times New Roman" w:hAnsi="Times New Roman"/>
          <w:color w:val="000000"/>
          <w:sz w:val="20"/>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CX-904, CX-2051and CX-801.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impacted our ability to reach targeted drug exposures. However, we cannot provide assurance that it will not later limit drug exposure or cause severe adverse events for our other drug candidates.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pStyle w:val="TextBody"/>
        <w:bidi w:val="0"/>
        <w:jc w:val="left"/>
        <w:rPr>
          <w:rFonts w:ascii="Times New Roman" w:hAnsi="Times New Roman"/>
          <w:color w:val="000000"/>
          <w:sz w:val="20"/>
        </w:rPr>
      </w:pPr>
      <w:r>
        <w:rPr>
          <w:rFonts w:ascii="Times New Roman" w:hAnsi="Times New Roman"/>
          <w:color w:val="000000"/>
          <w:sz w:val="20"/>
        </w:rPr>
        <w:t>In addition, the scientific evidence to support the feasibility of developing product candidates against novel, difficult to drug targets, is both preliminary and limited. For example, our understanding of the expression of our drug targets in both healthy and diseased tissues is still developing. As a result, we cannot provide any assurance that we will be able to successfully identify and advance any product candidates to target novel, difficult-to-drug targets.</w:t>
      </w:r>
    </w:p>
    <w:p>
      <w:pPr>
        <w:pStyle w:val="TextBody"/>
        <w:bidi w:val="0"/>
        <w:jc w:val="left"/>
        <w:rPr>
          <w:rFonts w:ascii="Times New Roman" w:hAnsi="Times New Roman"/>
          <w:color w:val="000000"/>
          <w:sz w:val="20"/>
        </w:rPr>
      </w:pPr>
      <w:r>
        <w:rPr>
          <w:rFonts w:ascii="Times New Roman" w:hAnsi="Times New Roman"/>
          <w:color w:val="000000"/>
          <w:sz w:val="20"/>
        </w:rPr>
        <w:t>Additionally, we recently entered into a collaboration with Moderna for the development of mRNA based product candidates. We do not know whether our PROBODY platform will be able to successfully develop product candidates utilizing this mRNA technology.</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the FDA and foreign regulatory authorities have limited experience with conditionally activated therapeutics in oncology, such experience primarily coming from praluzatamab ravtansine, CX-2029, BMS-986249, BMS-986288, and pacmilimab.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approval of conditionally activated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market may not be receptive to our product candidates based on a novel therapeutic modality, and we may not generate any future revenue from the sale or licensing of product candidates.</w:t>
      </w:r>
    </w:p>
    <w:p>
      <w:pPr>
        <w:pStyle w:val="TextBody"/>
        <w:bidi w:val="0"/>
        <w:jc w:val="left"/>
        <w:rPr>
          <w:rFonts w:ascii="Times New Roman" w:hAnsi="Times New Roman"/>
          <w:color w:val="000000"/>
          <w:sz w:val="20"/>
        </w:rPr>
      </w:pPr>
      <w:r>
        <w:rPr>
          <w:rFonts w:ascii="Times New Roman" w:hAnsi="Times New Roman"/>
          <w:color w:val="000000"/>
          <w:sz w:val="20"/>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for which there are existing approved therapies. Market acceptance of our product candidates will depend on, among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receipt of any marketing and commercialization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any approvals and the countries in which approvals are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purity, potency (or efficacy) of our product candidates, including those being developed by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adverse side effects associated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any labeling approved by the FDA or other regulatory authority;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effective companion diagnostics;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accept any new methods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physician education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from government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of our products, particularly as compared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alternative effective treatments for the disease indications our product candidates are intended to treat and the relative risks, benefits and costs of those treatments.</w:t>
      </w:r>
    </w:p>
    <w:p>
      <w:pPr>
        <w:pStyle w:val="TextBody"/>
        <w:bidi w:val="0"/>
        <w:jc w:val="left"/>
        <w:rPr>
          <w:rFonts w:ascii="Times New Roman" w:hAnsi="Times New Roman"/>
          <w:color w:val="000000"/>
          <w:sz w:val="20"/>
        </w:rPr>
      </w:pPr>
      <w:r>
        <w:rPr>
          <w:rFonts w:ascii="Times New Roman" w:hAnsi="Times New Roman"/>
          <w:color w:val="000000"/>
          <w:sz w:val="20"/>
        </w:rPr>
        <w:t>If any product candidate we commercialize fails to achieve market acceptance, it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pStyle w:val="TextBody"/>
        <w:bidi w:val="0"/>
        <w:jc w:val="left"/>
        <w:rPr>
          <w:rFonts w:ascii="Times New Roman" w:hAnsi="Times New Roman"/>
          <w:color w:val="000000"/>
          <w:sz w:val="20"/>
        </w:rPr>
      </w:pPr>
      <w:r>
        <w:rPr>
          <w:rFonts w:ascii="Times New Roman" w:hAnsi="Times New Roman"/>
          <w:color w:val="000000"/>
          <w:sz w:val="20"/>
        </w:rPr>
        <w:t xml:space="preserve">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2023, AbbVie terminated the collaboration agreement for CX-2029 and the ongoing discovery agreement we had entered into with them in 2016.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For example, in January 2023, Bristol Myers Squibb announced that it would deprioritize the Phase 2 clinical program for BMS-986249 and advance the BMS-986288 into a Phase 2 program, and on March 6, 2024, Bristol Myers Squibb notified us that it would not continue the BMS-986288 program. As a result, there can be no assurances that any of the programs covered by our existing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 Overall, collaborations involving our product candidates currently pose, and will continue to pose, the following risks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amount and timing of efforts and resources that they will apply to these collaborations, including, with respect to Amgen, CX-904;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designing any clinical trials they operate pursuant to our collaboration agreements and may release data from such clinical trials, including with respect to our PROBODY therapeutics, without consulting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and distribution rights to one or more products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misappropriate or otherwise violate the intellectual property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jc w:val="left"/>
        <w:rPr>
          <w:rFonts w:ascii="Times New Roman" w:hAnsi="Times New Roman"/>
          <w:color w:val="000000"/>
          <w:sz w:val="20"/>
        </w:rPr>
      </w:pPr>
      <w:r>
        <w:rPr>
          <w:rFonts w:ascii="Times New Roman" w:hAnsi="Times New Roman"/>
          <w:color w:val="000000"/>
          <w:sz w:val="20"/>
        </w:rPr>
        <w:t>For example, in January 2023, we announced topline results of the Phase 2 expansion cohorts of CX-2029 and in March 2023, AbbVie decided not to continue the future development of CX-2029. CytomX re-acquired full rights to CX-2029, however, in the fourth quarter of 2023, the Company decided to not to make any further significant investments in the solid tumor CX-2029 program in the near-term, but continues to have a strategic interest in the CD71 target, including next-generation approaches.</w:t>
      </w:r>
    </w:p>
    <w:p>
      <w:pPr>
        <w:pStyle w:val="TextBody"/>
        <w:bidi w:val="0"/>
        <w:jc w:val="left"/>
        <w:rPr>
          <w:rFonts w:ascii="Times New Roman" w:hAnsi="Times New Roman"/>
          <w:color w:val="000000"/>
          <w:sz w:val="20"/>
        </w:rPr>
      </w:pPr>
      <w:r>
        <w:rPr>
          <w:rFonts w:ascii="Times New Roman" w:hAnsi="Times New Roman"/>
          <w:color w:val="000000"/>
          <w:sz w:val="20"/>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pStyle w:val="TextBody"/>
        <w:bidi w:val="0"/>
        <w:jc w:val="left"/>
        <w:rPr>
          <w:rFonts w:ascii="Times New Roman" w:hAnsi="Times New Roman"/>
          <w:color w:val="000000"/>
          <w:sz w:val="20"/>
        </w:rPr>
      </w:pPr>
      <w:r>
        <w:rPr>
          <w:rFonts w:ascii="Times New Roman" w:hAnsi="Times New Roman"/>
          <w:color w:val="000000"/>
          <w:sz w:val="20"/>
        </w:rPr>
        <w:t xml:space="preserve">Substantially all of our revenue to date has been derived from our existing collaboration agreements, including, most recently, the agreements that we entered into with Regeneron and Moderna in 2022,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pStyle w:val="TextBody"/>
        <w:bidi w:val="0"/>
        <w:jc w:val="left"/>
        <w:rPr>
          <w:rFonts w:ascii="Times New Roman" w:hAnsi="Times New Roman"/>
          <w:color w:val="000000"/>
          <w:sz w:val="20"/>
        </w:rPr>
      </w:pPr>
      <w:r>
        <w:rPr>
          <w:rFonts w:ascii="Times New Roman" w:hAnsi="Times New Roman"/>
          <w:color w:val="000000"/>
          <w:sz w:val="20"/>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2023, AbbVie terminated our 2016 CD71 License and Collaboration Agreement, and from time to time some of our research programs have been terminated by our partners.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in March 2024, Bristol Myers Squibb notified us that it would not continue the BMS-986288 program and we will not receive any milestone or other payments from them on this program.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achieve our projected development and commercialization goals in the timeframes we announce and expect the commercialization of any of our product candidates may be delayed, or never attained, and our business will be harmed.</w:t>
      </w:r>
    </w:p>
    <w:p>
      <w:pPr>
        <w:pStyle w:val="TextBody"/>
        <w:bidi w:val="0"/>
        <w:jc w:val="left"/>
        <w:rPr>
          <w:rFonts w:ascii="Times New Roman" w:hAnsi="Times New Roman"/>
          <w:color w:val="000000"/>
          <w:sz w:val="20"/>
        </w:rPr>
      </w:pPr>
      <w:r>
        <w:rPr>
          <w:rFonts w:ascii="Times New Roman" w:hAnsi="Times New Roman"/>
          <w:color w:val="000000"/>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available capital resources or capital constraints we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costs and results of our clinical trials and research and development activities, including the extent of scheduling conflicts with participating clinicians and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enroll patients who meet clinical trial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receipt of approvals by the FDA and other regulatory authorities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actions, decisions or rules issued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sufficient, reliable and affordable supplies of materials used in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and supply clinical trial materials to our clinical sites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of our collaborators with respect to the commercialization of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securing of, costs related to, and timing issues associated with, product manufacturing as well as sales and marketing activities.</w:t>
      </w:r>
    </w:p>
    <w:p>
      <w:pPr>
        <w:pStyle w:val="TextBody"/>
        <w:bidi w:val="0"/>
        <w:jc w:val="left"/>
        <w:rPr>
          <w:rFonts w:ascii="Times New Roman" w:hAnsi="Times New Roman"/>
          <w:color w:val="000000"/>
          <w:sz w:val="20"/>
        </w:rPr>
      </w:pPr>
      <w:r>
        <w:rPr>
          <w:rFonts w:ascii="Times New Roman" w:hAnsi="Times New Roman"/>
          <w:color w:val="000000"/>
          <w:sz w:val="20"/>
        </w:rPr>
        <w:t xml:space="preserve">If we fail to achieve announced milestones in the timeframes we expect, the commercialization of any of our product candidates may be delayed or never attained, and our business and results of operations may be harmed.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however, we have not obtained a collaborator for that program. The competition for collaborators is intense and there can be no assurances that we will be able to secure any collaboration for praluzatamab ravtansine or any other program. The negotiation process for strategic collaborations is time-consuming and complex. Any new collaboration may be on terms that are not optimal for us, and we may not be able to maintain any new collaboration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successfully develop companion diagnostic tests for certain of our product candidates, or experience significant delays in doing so, we may not realize the full commercial potential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developed in conjunction with clinical programs for the associated product candidate and are subject to regulation by the FDA and similar regulatory authorities outside the United States as medical devices and require separate regulatory approval prior to commercialization. Specifically,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our limited experience in developing companion diagnostic tests, we could seek to rely on third parties to design, manufacture, and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jc w:val="left"/>
        <w:rPr>
          <w:rFonts w:ascii="Times New Roman" w:hAnsi="Times New Roman"/>
          <w:color w:val="000000"/>
          <w:sz w:val="20"/>
        </w:rPr>
      </w:pPr>
      <w:r>
        <w:rPr>
          <w:rFonts w:ascii="Times New Roman" w:hAnsi="Times New Roman"/>
          <w:color w:val="000000"/>
          <w:sz w:val="20"/>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pStyle w:val="TextBody"/>
        <w:bidi w:val="0"/>
        <w:jc w:val="left"/>
        <w:rPr>
          <w:rFonts w:ascii="Times New Roman" w:hAnsi="Times New Roman"/>
          <w:color w:val="000000"/>
          <w:sz w:val="20"/>
        </w:rPr>
      </w:pPr>
      <w:r>
        <w:rPr>
          <w:rFonts w:ascii="Times New Roman" w:hAnsi="Times New Roman"/>
          <w:color w:val="000000"/>
          <w:sz w:val="20"/>
        </w:rPr>
        <w:t xml:space="preserve">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as well as applicable laws and regulations. The FDA requires preclinical studies to be conducted in accordance with good laboratory practices (“GLPs”) and clinical trials to be conducted in accordance with GCPs and other applicable regulations, including for designing, conducting,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recording and reporting the results of preclinical studies and clinical trials to assure that data and reported results are credible and accurate and that the rights, integrity and confidentiality of clinical trial participants are protected. Regulatory authorities enforce GCPs through periodic inspections of trial sponsors, principal investigators and trial sites. Our reliance on third parties that we do not control will not relieve us of these responsibilities and requirements. If we or any of our CROs or trial sites fail to comply with applicable GLP, GCP or other requirements, the data generated in our clinical trials may be deemed unreliable, and the FDA or comparable foreign regulatory authorities may require us to perform additional clinical trials before approving our marketing applications, if ever.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principal investigators for our clinical trials may be asked to serve as scientific advisors or consultants to us from time to time and may receive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BLA we submit. Any such delay or rejection could prevent us from commercializing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and fail to capitalize on product candidates that may be more profitable or for which there is a greater likelihood of success.</w:t>
      </w:r>
    </w:p>
    <w:p>
      <w:pPr>
        <w:pStyle w:val="TextBody"/>
        <w:bidi w:val="0"/>
        <w:jc w:val="left"/>
        <w:rPr>
          <w:rFonts w:ascii="Times New Roman" w:hAnsi="Times New Roman"/>
          <w:color w:val="000000"/>
          <w:sz w:val="20"/>
        </w:rPr>
      </w:pPr>
      <w:r>
        <w:rPr>
          <w:rFonts w:ascii="Times New Roman" w:hAnsi="Times New Roman"/>
          <w:color w:val="000000"/>
          <w:sz w:val="20"/>
        </w:rPr>
        <w:t>Because we have limited financial and managerial resources, we focus on specific product candidates and indications. For example, in July 2022, we announced that we would not continue the development of pralauzatamab ravtansine without a partner. Additionally, in November 2023 we decided to not to make any further significant investments in the CX-2029 solid tumor program in the near-term.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difficulties in managing our growth and expanding when needed.</w:t>
      </w:r>
    </w:p>
    <w:p>
      <w:pPr>
        <w:pStyle w:val="TextBody"/>
        <w:bidi w:val="0"/>
        <w:jc w:val="left"/>
        <w:rPr>
          <w:rFonts w:ascii="Times New Roman" w:hAnsi="Times New Roman"/>
          <w:color w:val="000000"/>
          <w:sz w:val="20"/>
        </w:rPr>
      </w:pPr>
      <w:r>
        <w:rPr>
          <w:rFonts w:ascii="Times New Roman" w:hAnsi="Times New Roman"/>
          <w:color w:val="000000"/>
          <w:sz w:val="20"/>
        </w:rPr>
        <w:t>Over the last few years, we have expanded our workforce and activities to manage our expanding pipeline, including Phase 2 clinical trials. However, in July 2022, we announced we will not advance praluzatamab ravtansine into further clinical trials and will seek a partner for the program. As a result, we announced that we would reduce our workforce, primarily development and general and administrative staff, by approximately 40%. In the future we may need to grow our organization substantially to continue development and pursue the potential commercialization of our product candidates, including CX-801 and CX-2051,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including Regeneron and Moderna,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jc w:val="left"/>
        <w:rPr>
          <w:rFonts w:ascii="Times New Roman" w:hAnsi="Times New Roman"/>
          <w:color w:val="000000"/>
          <w:sz w:val="20"/>
        </w:rPr>
      </w:pPr>
      <w:r>
        <w:rPr>
          <w:rFonts w:ascii="Times New Roman" w:hAnsi="Times New Roman"/>
          <w:color w:val="000000"/>
          <w:sz w:val="20"/>
        </w:rPr>
        <w:t xml:space="preserve">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pStyle w:val="TextBody"/>
        <w:bidi w:val="0"/>
        <w:jc w:val="left"/>
        <w:rPr>
          <w:rFonts w:ascii="Times New Roman" w:hAnsi="Times New Roman"/>
          <w:color w:val="000000"/>
          <w:sz w:val="20"/>
        </w:rPr>
      </w:pPr>
      <w:r>
        <w:rPr>
          <w:rFonts w:ascii="Times New Roman" w:hAnsi="Times New Roman"/>
          <w:color w:val="000000"/>
          <w:sz w:val="20"/>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are approved, they will compete with a range of therapeutic treatments that are either in development or currently marketed. A variety of oncology drugs 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pStyle w:val="TextBody"/>
        <w:bidi w:val="0"/>
        <w:jc w:val="left"/>
        <w:rPr>
          <w:rFonts w:ascii="Times New Roman" w:hAnsi="Times New Roman"/>
          <w:color w:val="000000"/>
          <w:sz w:val="20"/>
        </w:rPr>
      </w:pPr>
      <w:r>
        <w:rPr>
          <w:rFonts w:ascii="Times New Roman" w:hAnsi="Times New Roman"/>
          <w:color w:val="000000"/>
          <w:sz w:val="20"/>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Janux Therapeutics, Roche, Takeda, Werewolf Therapeutics, and Xilio are exploring antibody masking and/or conditional activation strategies, which could compete with our PROBODY platform. We are also aware of several companies that are developing ADCs, such as AbbVie, ADC Therapeutics, Daiichi Sankyo, Gilead, Merck &amp; Co., Mersana Therapeutics, Pfizer, Roche Holding Ltd.,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pStyle w:val="TextBody"/>
        <w:bidi w:val="0"/>
        <w:jc w:val="left"/>
        <w:rPr>
          <w:rFonts w:ascii="Times New Roman" w:hAnsi="Times New Roman"/>
          <w:color w:val="000000"/>
          <w:sz w:val="20"/>
        </w:rPr>
      </w:pPr>
      <w:r>
        <w:rPr>
          <w:rFonts w:ascii="Times New Roman" w:hAnsi="Times New Roman"/>
          <w:color w:val="000000"/>
          <w:sz w:val="20"/>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Any inability to attract and retain qualified key management and technical personnel would impair our ability to implement our business plan.</w:t>
      </w:r>
    </w:p>
    <w:p>
      <w:pPr>
        <w:pStyle w:val="TextBody"/>
        <w:bidi w:val="0"/>
        <w:jc w:val="left"/>
        <w:rPr>
          <w:rFonts w:ascii="Times New Roman" w:hAnsi="Times New Roman"/>
          <w:color w:val="000000"/>
          <w:sz w:val="20"/>
        </w:rPr>
      </w:pPr>
      <w:r>
        <w:rPr>
          <w:rFonts w:ascii="Times New Roman" w:hAnsi="Times New Roman"/>
          <w:color w:val="000000"/>
          <w:sz w:val="20"/>
        </w:rPr>
        <w:t xml:space="preserve">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institutions, government entities and other organizations, especially as job opportunities in the biotechnology industry increase in the San Francisco Bay Area and across the country.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pStyle w:val="TextBody"/>
        <w:bidi w:val="0"/>
        <w:jc w:val="left"/>
        <w:rPr>
          <w:rFonts w:ascii="Times New Roman" w:hAnsi="Times New Roman"/>
          <w:color w:val="000000"/>
          <w:sz w:val="20"/>
        </w:rPr>
      </w:pPr>
      <w:r>
        <w:rPr>
          <w:rFonts w:ascii="Times New Roman" w:hAnsi="Times New Roman"/>
          <w:color w:val="000000"/>
          <w:sz w:val="20"/>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Price controls imposed in foreign markets may adversely affect our future profitability.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have a material and adverse effect on our business, financial condition, results of operations and prospects.</w:t>
      </w:r>
    </w:p>
    <w:p>
      <w:pPr>
        <w:pStyle w:val="TextBody"/>
        <w:bidi w:val="0"/>
        <w:jc w:val="left"/>
        <w:rPr>
          <w:rFonts w:ascii="Times New Roman" w:hAnsi="Times New Roman"/>
          <w:color w:val="000000"/>
          <w:sz w:val="20"/>
        </w:rPr>
      </w:pPr>
      <w:r>
        <w:rPr>
          <w:rFonts w:ascii="Times New Roman" w:hAnsi="Times New Roman"/>
          <w:color w:val="000000"/>
          <w:sz w:val="20"/>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CX-904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employees and independent contractors may engage in misconduct or other improper activities, including noncompliance with regulatory standards and requirements.</w:t>
      </w:r>
    </w:p>
    <w:p>
      <w:pPr>
        <w:pStyle w:val="TextBody"/>
        <w:bidi w:val="0"/>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pStyle w:val="TextBody"/>
        <w:bidi w:val="0"/>
        <w:jc w:val="left"/>
        <w:rPr>
          <w:rFonts w:ascii="Times New Roman" w:hAnsi="Times New Roman"/>
          <w:color w:val="000000"/>
          <w:sz w:val="20"/>
        </w:rPr>
      </w:pPr>
      <w:r>
        <w:rPr>
          <w:rFonts w:ascii="Times New Roman" w:hAnsi="Times New Roman"/>
          <w:color w:val="000000"/>
          <w:sz w:val="20"/>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gradually increased our laboratory research activities to normal levels, and adopted a hybrid work from home model, there can be no assurance that a future pandemic or other event will not impact our ability to conduct business.</w:t>
      </w:r>
    </w:p>
    <w:p>
      <w:pPr>
        <w:pStyle w:val="TextBody"/>
        <w:bidi w:val="0"/>
        <w:jc w:val="left"/>
        <w:rPr>
          <w:rFonts w:ascii="Times New Roman" w:hAnsi="Times New Roman"/>
          <w:color w:val="000000"/>
          <w:sz w:val="20"/>
        </w:rPr>
      </w:pPr>
      <w:r>
        <w:rPr>
          <w:rFonts w:ascii="Times New Roman" w:hAnsi="Times New Roman"/>
          <w:color w:val="000000"/>
          <w:sz w:val="20"/>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reported financial results may be adversely affected by changes in accounting principles generally accepted in the U.S.</w:t>
      </w:r>
    </w:p>
    <w:p>
      <w:pPr>
        <w:pStyle w:val="TextBody"/>
        <w:bidi w:val="0"/>
        <w:jc w:val="left"/>
        <w:rPr>
          <w:rFonts w:ascii="Times New Roman" w:hAnsi="Times New Roman"/>
          <w:color w:val="000000"/>
          <w:sz w:val="20"/>
        </w:rPr>
      </w:pPr>
      <w:r>
        <w:rPr>
          <w:rFonts w:ascii="Times New Roman" w:hAnsi="Times New Roman"/>
          <w:color w:val="000000"/>
          <w:sz w:val="20"/>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Additionally, for the purpose of revenue recognition, we are required to estimate the amount of effort to complete, as measured by full-time equivalent hours of our research development programs. Such estimates are inherently uncertain and may result in changes in subsequent periods.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obtain and enforce patent protection for our technologies or product candidates, development and commercialization of our product candidates may be adversely affected.</w:t>
      </w:r>
    </w:p>
    <w:p>
      <w:pPr>
        <w:pStyle w:val="TextBody"/>
        <w:bidi w:val="0"/>
        <w:jc w:val="left"/>
        <w:rPr>
          <w:rFonts w:ascii="Times New Roman" w:hAnsi="Times New Roman"/>
          <w:sz w:val="20"/>
        </w:rPr>
      </w:pPr>
      <w:r>
        <w:rPr>
          <w:rFonts w:ascii="Times New Roman" w:hAnsi="Times New Roman"/>
          <w:color w:val="000000"/>
          <w:sz w:val="20"/>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certain PROBODY and other pro-protein technology in the fields of therapeutics, </w:t>
      </w:r>
      <w:r>
        <w:rPr>
          <w:rFonts w:ascii="Times New Roman" w:hAnsi="Times New Roman"/>
          <w:i/>
          <w:color w:val="000000"/>
          <w:sz w:val="20"/>
        </w:rPr>
        <w:t xml:space="preserve">in vivo </w:t>
      </w:r>
      <w:r>
        <w:rPr>
          <w:rFonts w:ascii="Times New Roman" w:hAnsi="Times New Roman"/>
          <w:color w:val="000000"/>
          <w:sz w:val="20"/>
        </w:rPr>
        <w:t>diagnostics and prophylactics. In addition, we have exclusively licensed a patent portfolio of three patent families from UCSB that includes patents and patent applications that cover compositions and methods related to the screening for and identification of the masks that we incorporate into some of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pStyle w:val="TextBody"/>
        <w:bidi w:val="0"/>
        <w:jc w:val="left"/>
        <w:rPr>
          <w:rFonts w:ascii="Times New Roman" w:hAnsi="Times New Roman"/>
          <w:color w:val="000000"/>
          <w:sz w:val="20"/>
        </w:rPr>
      </w:pPr>
      <w:r>
        <w:rPr>
          <w:rFonts w:ascii="Times New Roman" w:hAnsi="Times New Roman"/>
          <w:color w:val="000000"/>
          <w:sz w:val="20"/>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pStyle w:val="TextBody"/>
        <w:bidi w:val="0"/>
        <w:jc w:val="left"/>
        <w:rPr>
          <w:rFonts w:ascii="Times New Roman" w:hAnsi="Times New Roman"/>
          <w:sz w:val="20"/>
        </w:rPr>
      </w:pPr>
      <w:r>
        <w:rPr>
          <w:rFonts w:ascii="Times New Roman" w:hAnsi="Times New Roman"/>
          <w:color w:val="000000"/>
          <w:sz w:val="20"/>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Times New Roman" w:hAnsi="Times New Roman"/>
          <w:i/>
          <w:color w:val="000000"/>
          <w:sz w:val="20"/>
        </w:rPr>
        <w:t>Association for Molecular Pathology v. Myriad Genetics, Inc</w:t>
      </w:r>
      <w:r>
        <w:rPr>
          <w:rFonts w:ascii="Times New Roman" w:hAnsi="Times New Roman"/>
          <w:color w:val="000000"/>
          <w:sz w:val="20"/>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pStyle w:val="TextBody"/>
        <w:bidi w:val="0"/>
        <w:jc w:val="left"/>
        <w:rPr>
          <w:rFonts w:ascii="Times New Roman" w:hAnsi="Times New Roman"/>
          <w:color w:val="000000"/>
          <w:sz w:val="20"/>
        </w:rPr>
      </w:pPr>
      <w:r>
        <w:rPr>
          <w:rFonts w:ascii="Times New Roman" w:hAnsi="Times New Roman"/>
          <w:color w:val="000000"/>
          <w:sz w:val="20"/>
        </w:rPr>
        <w:t xml:space="preserve">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patent owner may be compelled to limit the scope of the allowed or granted claims thus attacked, or may lose the allowed or granted claims altogether. In addition, there can be no assurance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or may not be able to make, use or sell compounds that are the same as or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collaborators are the first to make the inventions covered by each of our issued patents and pending patent applications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collaborators are the first to file patent applications covering certain aspects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independently develop similar or alternative technologies or duplicate any of our technologies without infringing, misappropriating or otherwise violating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not challenge our patents and, if challenged, a court would hold that our patents are valid, enforceable and infringed.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issued patents that we own or have licensed will provide us with any competitive advantages, or will not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will not have a material or adverse effect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companies or organizations may challenge our or our licensors’ patent rights or may assert patent rights that prevent us from developing and commercializing our products.</w:t>
      </w:r>
    </w:p>
    <w:p>
      <w:pPr>
        <w:pStyle w:val="TextBody"/>
        <w:bidi w:val="0"/>
        <w:jc w:val="left"/>
        <w:rPr>
          <w:rFonts w:ascii="Times New Roman" w:hAnsi="Times New Roman"/>
          <w:color w:val="000000"/>
          <w:sz w:val="20"/>
        </w:rPr>
      </w:pPr>
      <w:r>
        <w:rPr>
          <w:rFonts w:ascii="Times New Roman" w:hAnsi="Times New Roman"/>
          <w:color w:val="000000"/>
          <w:sz w:val="20"/>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pStyle w:val="TextBody"/>
        <w:bidi w:val="0"/>
        <w:jc w:val="left"/>
        <w:rPr>
          <w:rFonts w:ascii="Times New Roman" w:hAnsi="Times New Roman"/>
          <w:color w:val="000000"/>
          <w:sz w:val="20"/>
        </w:rPr>
      </w:pPr>
      <w:r>
        <w:rPr>
          <w:rFonts w:ascii="Times New Roman" w:hAnsi="Times New Roman"/>
          <w:color w:val="000000"/>
          <w:sz w:val="20"/>
        </w:rPr>
        <w:t xml:space="preserve">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bidi w:val="0"/>
        <w:jc w:val="left"/>
        <w:rPr>
          <w:rFonts w:ascii="Times New Roman" w:hAnsi="Times New Roman"/>
          <w:color w:val="000000"/>
          <w:sz w:val="20"/>
        </w:rPr>
      </w:pPr>
      <w:r>
        <w:rPr>
          <w:rFonts w:ascii="Times New Roman" w:hAnsi="Times New Roman"/>
          <w:color w:val="000000"/>
          <w:sz w:val="20"/>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jc w:val="left"/>
        <w:rPr>
          <w:rFonts w:ascii="Times New Roman" w:hAnsi="Times New Roman"/>
          <w:color w:val="000000"/>
          <w:sz w:val="20"/>
        </w:rPr>
      </w:pPr>
      <w:r>
        <w:rPr>
          <w:rFonts w:ascii="Times New Roman" w:hAnsi="Times New Roman"/>
          <w:color w:val="000000"/>
          <w:sz w:val="20"/>
        </w:rPr>
        <w:t xml:space="preserve">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pStyle w:val="TextBody"/>
        <w:bidi w:val="0"/>
        <w:jc w:val="left"/>
        <w:rPr>
          <w:rFonts w:ascii="Times New Roman" w:hAnsi="Times New Roman"/>
          <w:color w:val="000000"/>
          <w:sz w:val="20"/>
        </w:rPr>
      </w:pPr>
      <w:r>
        <w:rPr>
          <w:rFonts w:ascii="Times New Roman" w:hAnsi="Times New Roman"/>
          <w:color w:val="000000"/>
          <w:sz w:val="20"/>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pStyle w:val="TextBody"/>
        <w:bidi w:val="0"/>
        <w:jc w:val="left"/>
        <w:rPr>
          <w:rFonts w:ascii="Times New Roman" w:hAnsi="Times New Roman"/>
          <w:sz w:val="20"/>
        </w:rPr>
      </w:pPr>
      <w:r>
        <w:rPr>
          <w:rFonts w:ascii="Times New Roman" w:hAnsi="Times New Roman"/>
          <w:color w:val="000000"/>
          <w:sz w:val="20"/>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 w:hAnsi="Times New Roman"/>
          <w:i/>
          <w:color w:val="000000"/>
          <w:sz w:val="20"/>
        </w:rPr>
        <w:t>inter alia</w:t>
      </w:r>
      <w:r>
        <w:rPr>
          <w:rFonts w:ascii="Times New Roman" w:hAnsi="Times New Roman"/>
          <w:color w:val="000000"/>
          <w:sz w:val="20"/>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pStyle w:val="TextBody"/>
        <w:bidi w:val="0"/>
        <w:jc w:val="left"/>
        <w:rPr>
          <w:rFonts w:ascii="Times New Roman" w:hAnsi="Times New Roman"/>
          <w:color w:val="000000"/>
          <w:sz w:val="20"/>
        </w:rPr>
      </w:pPr>
      <w:r>
        <w:rPr>
          <w:rFonts w:ascii="Times New Roman" w:hAnsi="Times New Roman"/>
          <w:color w:val="000000"/>
          <w:sz w:val="20"/>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pStyle w:val="TextBody"/>
        <w:bidi w:val="0"/>
        <w:jc w:val="left"/>
        <w:rPr>
          <w:rFonts w:ascii="Times New Roman" w:hAnsi="Times New Roman"/>
          <w:color w:val="000000"/>
          <w:sz w:val="20"/>
        </w:rPr>
      </w:pPr>
      <w:r>
        <w:rPr>
          <w:rFonts w:ascii="Times New Roman" w:hAnsi="Times New Roman"/>
          <w:color w:val="000000"/>
          <w:sz w:val="20"/>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While the magistrate judge recommended to the judge in October 2023 that our motion to dismiss be approved, the judge for the litigation will have to make a ruling on the motion.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pStyle w:val="TextBody"/>
        <w:bidi w:val="0"/>
        <w:jc w:val="left"/>
        <w:rPr>
          <w:rFonts w:ascii="Times New Roman" w:hAnsi="Times New Roman"/>
          <w:color w:val="000000"/>
          <w:sz w:val="20"/>
        </w:rPr>
      </w:pPr>
      <w:r>
        <w:rPr>
          <w:rFonts w:ascii="Times New Roman" w:hAnsi="Times New Roman"/>
          <w:color w:val="000000"/>
          <w:sz w:val="20"/>
        </w:rPr>
        <w:t xml:space="preserve">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continuation of patent litigation or other proceedings could delay our research and development efforts and limit our ability to continue our operations.</w:t>
      </w:r>
    </w:p>
    <w:p>
      <w:pPr>
        <w:pStyle w:val="TextBody"/>
        <w:bidi w:val="0"/>
        <w:jc w:val="left"/>
        <w:rPr>
          <w:rFonts w:ascii="Times New Roman" w:hAnsi="Times New Roman"/>
          <w:color w:val="000000"/>
          <w:sz w:val="20"/>
        </w:rPr>
      </w:pPr>
      <w:r>
        <w:rPr>
          <w:rFonts w:ascii="Times New Roman" w:hAnsi="Times New Roman"/>
          <w:color w:val="000000"/>
          <w:sz w:val="20"/>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pStyle w:val="TextBody"/>
        <w:bidi w:val="0"/>
        <w:jc w:val="left"/>
        <w:rPr>
          <w:rFonts w:ascii="Times New Roman" w:hAnsi="Times New Roman"/>
          <w:color w:val="000000"/>
          <w:sz w:val="20"/>
        </w:rPr>
      </w:pPr>
      <w:r>
        <w:rPr>
          <w:rFonts w:ascii="Times New Roman" w:hAnsi="Times New Roman"/>
          <w:color w:val="000000"/>
          <w:sz w:val="20"/>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pStyle w:val="TextBody"/>
        <w:bidi w:val="0"/>
        <w:jc w:val="left"/>
        <w:rPr>
          <w:rFonts w:ascii="Times New Roman" w:hAnsi="Times New Roman"/>
          <w:color w:val="000000"/>
          <w:sz w:val="20"/>
        </w:rPr>
      </w:pPr>
      <w:r>
        <w:rPr>
          <w:rFonts w:ascii="Times New Roman" w:hAnsi="Times New Roman"/>
          <w:color w:val="000000"/>
          <w:sz w:val="20"/>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jc w:val="left"/>
        <w:rPr>
          <w:rFonts w:ascii="Times New Roman" w:hAnsi="Times New Roman"/>
          <w:color w:val="000000"/>
          <w:sz w:val="20"/>
        </w:rPr>
      </w:pPr>
      <w:r>
        <w:rPr>
          <w:rFonts w:ascii="Times New Roman" w:hAnsi="Times New Roman"/>
          <w:color w:val="000000"/>
          <w:sz w:val="20"/>
        </w:rPr>
        <w:t xml:space="preserve">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jc w:val="left"/>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pStyle w:val="TextBody"/>
        <w:bidi w:val="0"/>
        <w:jc w:val="left"/>
        <w:rPr>
          <w:rFonts w:ascii="Times New Roman" w:hAnsi="Times New Roman"/>
          <w:color w:val="000000"/>
          <w:sz w:val="20"/>
        </w:rPr>
      </w:pPr>
      <w:r>
        <w:rPr>
          <w:rFonts w:ascii="Times New Roman" w:hAnsi="Times New Roman"/>
          <w:color w:val="000000"/>
          <w:sz w:val="20"/>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pStyle w:val="TextBody"/>
        <w:bidi w:val="0"/>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noBreakHyphen/>
        <w:t>executing or may be breached, and we may be forced to bring claims against third parties, or defend claims they may bring against us, to determine the ownership of what we regard as our intellectual property.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jc w:val="left"/>
        <w:rPr>
          <w:rFonts w:ascii="Times New Roman" w:hAnsi="Times New Roman"/>
          <w:color w:val="000000"/>
          <w:sz w:val="20"/>
        </w:rPr>
      </w:pPr>
      <w:r>
        <w:rPr>
          <w:rFonts w:ascii="Times New Roman" w:hAnsi="Times New Roman"/>
          <w:color w:val="000000"/>
          <w:sz w:val="20"/>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these efforts, any of these parties may breach the agreements and disclose our proprietary information, including our trade secrets, and we may not be able to obtain adequate remedies for such breaches. Enforcing a claim that a party illegally disclosed or misappropriated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jc w:val="left"/>
        <w:rPr>
          <w:rFonts w:ascii="Times New Roman" w:hAnsi="Times New Roman"/>
          <w:color w:val="000000"/>
          <w:sz w:val="20"/>
        </w:rPr>
      </w:pPr>
      <w:r>
        <w:rPr>
          <w:rFonts w:ascii="Times New Roman" w:hAnsi="Times New Roman"/>
          <w:color w:val="000000"/>
          <w:sz w:val="20"/>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jc w:val="left"/>
        <w:rPr>
          <w:rFonts w:ascii="Times New Roman" w:hAnsi="Times New Roman"/>
          <w:color w:val="000000"/>
          <w:sz w:val="20"/>
        </w:rPr>
      </w:pPr>
      <w:r>
        <w:rPr>
          <w:rFonts w:ascii="Times New Roman" w:hAnsi="Times New Roman"/>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jc w:val="left"/>
        <w:rPr>
          <w:rFonts w:ascii="Times New Roman" w:hAnsi="Times New Roman"/>
          <w:b/>
          <w:i/>
          <w:color w:val="000000"/>
          <w:sz w:val="20"/>
        </w:rPr>
      </w:pPr>
      <w:r>
        <w:rPr>
          <w:rFonts w:ascii="Times New Roman" w:hAnsi="Times New Roman"/>
          <w:b/>
          <w:i/>
          <w:color w:val="000000"/>
          <w:sz w:val="20"/>
        </w:rPr>
        <w:t>We may be unable to obtain or be delayed in obtaining U.S. or foreign regulatory approval and, as a result, be unable or delayed in being able to commercialize our product candidates.</w:t>
      </w:r>
    </w:p>
    <w:p>
      <w:pPr>
        <w:pStyle w:val="TextBody"/>
        <w:bidi w:val="0"/>
        <w:jc w:val="left"/>
        <w:rPr>
          <w:rFonts w:ascii="Times New Roman" w:hAnsi="Times New Roman"/>
          <w:color w:val="000000"/>
          <w:sz w:val="20"/>
        </w:rPr>
      </w:pPr>
      <w:r>
        <w:rPr>
          <w:rFonts w:ascii="Times New Roman" w:hAnsi="Times New Roman"/>
          <w:color w:val="000000"/>
          <w:sz w:val="20"/>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recently the 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It is possible that none of the product candidates we may develop will obtain the regulatory approvals necessary for us or our existing or future collaborators to begin selling them.</w:t>
      </w:r>
    </w:p>
    <w:p>
      <w:pPr>
        <w:pStyle w:val="TextBody"/>
        <w:bidi w:val="0"/>
        <w:jc w:val="left"/>
        <w:rPr>
          <w:rFonts w:ascii="Times New Roman" w:hAnsi="Times New Roman"/>
          <w:color w:val="000000"/>
          <w:sz w:val="20"/>
        </w:rPr>
      </w:pPr>
      <w:r>
        <w:rPr>
          <w:rFonts w:ascii="Times New Roman" w:hAnsi="Times New Roman"/>
          <w:color w:val="000000"/>
          <w:sz w:val="20"/>
        </w:rPr>
        <w:t>The FDA or comparable foreign regulatory authorities can delay, limit or deny approval of a product candidate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the design or execution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ambiguous results from our clinical trials or results may not meet the level of significance or persuasiveness required by the FDA or comparable foreign regulatory agencies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individuals using drugs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accept clinical data from trials that are conducted at clinical facilities or in countries where the standard of care is potentially different from that of their own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our interpretation of data from preclinical studies or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us regarding the formulation, labeling and/or the product specifications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may be granted only for indications that are significantly more limited than those sought by us, and/or may include significant restrictions on distribution and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find deficiencies in the manufacturing processes or facilities of the third-party manufacturers with which we contract for clinical and commercial supplies;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authorities may not accept a submission due to, among other reasons, the content or formatting of the submission.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that occurred in late 2018 or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jc w:val="left"/>
        <w:rPr>
          <w:rFonts w:ascii="Times New Roman" w:hAnsi="Times New Roman"/>
          <w:color w:val="000000"/>
          <w:sz w:val="20"/>
        </w:rPr>
      </w:pPr>
      <w:r>
        <w:rPr>
          <w:rFonts w:ascii="Times New Roman" w:hAnsi="Times New Roman"/>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jc w:val="left"/>
        <w:rPr>
          <w:rFonts w:ascii="Times New Roman" w:hAnsi="Times New Roman"/>
          <w:color w:val="000000"/>
          <w:sz w:val="20"/>
        </w:rPr>
      </w:pPr>
      <w:r>
        <w:rPr>
          <w:rFonts w:ascii="Times New Roman" w:hAnsi="Times New Roman"/>
          <w:color w:val="000000"/>
          <w:sz w:val="20"/>
        </w:rPr>
        <w:t xml:space="preserve">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cGMPs and other applicable regulations and standards. In addition, any regulatory approvals we may receive will require the submission of periodic reports to regulatory authorities and ongoing surveillance to monitor the safety and efficacy of the product. Such approvals may also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include requirements for a medication guide, physician training and communication plans or additional elements to ensure safe use, such as restricted distribution methods, patient registries and other risk minimization tools.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 or 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restitutions, disgorgement of profits or revenues, warning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our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revocation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jc w:val="left"/>
        <w:rPr>
          <w:rFonts w:ascii="Times New Roman" w:hAnsi="Times New Roman"/>
          <w:color w:val="000000"/>
          <w:sz w:val="20"/>
        </w:rPr>
      </w:pPr>
      <w:r>
        <w:rPr>
          <w:rFonts w:ascii="Times New Roman" w:hAnsi="Times New Roman"/>
          <w:color w:val="000000"/>
          <w:sz w:val="20"/>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 candidates for which we intend to seek approval as biologic products may face competition sooner than anticipated.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jc w:val="left"/>
        <w:rPr>
          <w:rFonts w:ascii="Times New Roman" w:hAnsi="Times New Roman"/>
          <w:color w:val="000000"/>
          <w:sz w:val="20"/>
        </w:rPr>
      </w:pPr>
      <w:r>
        <w:rPr>
          <w:rFonts w:ascii="Times New Roman" w:hAnsi="Times New Roman"/>
          <w:color w:val="000000"/>
          <w:sz w:val="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Moreover, the extent to which a biosimilar, once approved, will be substituted for any one of our reference products in a way that is similar to traditional generic substitution for non-biological products is not yet clear, and will depend on a number of marketplace factors that are still developing.</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Separately, in response to the COVID-19 pandemic, the FDA postponed most inspections of domestic and foreign manufacturing facilities at various points. Even though the FDA has since resumed standard inspection operations, any emergence of other pandemics may lead to inspectional or administrative delays.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Healthcare legislative reform measures may have a material and adverse effect on our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pStyle w:val="TextBody"/>
        <w:bidi w:val="0"/>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 </w:t>
      </w:r>
    </w:p>
    <w:p>
      <w:pPr>
        <w:pStyle w:val="TextBody"/>
        <w:bidi w:val="0"/>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to reduce healthcare expenditures.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pStyle w:val="TextBody"/>
        <w:bidi w:val="0"/>
        <w:jc w:val="left"/>
        <w:rPr>
          <w:rFonts w:ascii="Times New Roman" w:hAnsi="Times New Roman"/>
          <w:sz w:val="20"/>
        </w:rPr>
      </w:pPr>
      <w:r>
        <w:rPr>
          <w:rFonts w:ascii="Times New Roman" w:hAnsi="Times New Roman"/>
          <w:color w:val="000000"/>
          <w:sz w:val="20"/>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Times New Roman" w:hAnsi="Times New Roman"/>
          <w:i/>
          <w:color w:val="000000"/>
          <w:sz w:val="20"/>
        </w:rPr>
        <w:t>in vitro</w:t>
      </w:r>
      <w:r>
        <w:rPr>
          <w:rFonts w:ascii="Times New Roman" w:hAnsi="Times New Roman"/>
          <w:color w:val="000000"/>
          <w:sz w:val="20"/>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reimbursement methodologies for drug products. In March 2021, the American Rescue Plan Act of 2021 was signed into law, which eliminates the statutory Medicaid drug rebate cap, currently set at 100% of a drug’s average manufacturer price, beginning January 1, 2024. In August 2022, the Inflation Reduction Act of 2022, or IRA, was signed into law by President Biden.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These laws and future laws may negatively impact the ability of biotechnology companies, including us, to raise funds from investors for or to obtain collaboration partners who assist us in the funding of research and development of future medicines.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pStyle w:val="TextBody"/>
        <w:bidi w:val="0"/>
        <w:jc w:val="left"/>
        <w:rPr>
          <w:rFonts w:ascii="Times New Roman" w:hAnsi="Times New Roman"/>
          <w:color w:val="000000"/>
          <w:sz w:val="20"/>
        </w:rPr>
      </w:pPr>
      <w:r>
        <w:rPr>
          <w:rFonts w:ascii="Times New Roman" w:hAnsi="Times New Roman"/>
          <w:color w:val="000000"/>
          <w:sz w:val="20"/>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therapeutic biologics manufacturers to report information related to payments to physicians and other healthcare providers or marketing expenditures and pricing information.</w:t>
      </w:r>
    </w:p>
    <w:p>
      <w:pPr>
        <w:pStyle w:val="TextBody"/>
        <w:bidi w:val="0"/>
        <w:jc w:val="left"/>
        <w:rPr>
          <w:rFonts w:ascii="Times New Roman" w:hAnsi="Times New Roman"/>
          <w:color w:val="000000"/>
          <w:sz w:val="20"/>
        </w:rPr>
      </w:pPr>
      <w:r>
        <w:rPr>
          <w:rFonts w:ascii="Times New Roman" w:hAnsi="Times New Roman"/>
          <w:color w:val="000000"/>
          <w:sz w:val="20"/>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jc w:val="left"/>
        <w:rPr>
          <w:rFonts w:ascii="Times New Roman" w:hAnsi="Times New Roman"/>
          <w:color w:val="000000"/>
          <w:sz w:val="20"/>
        </w:rPr>
      </w:pPr>
      <w:r>
        <w:rPr>
          <w:rFonts w:ascii="Times New Roman" w:hAnsi="Times New Roman"/>
          <w:color w:val="000000"/>
          <w:sz w:val="20"/>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inspection findings;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voluntary or mandatory product recalls or public notification or medical product safety alerts to healthcare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or prohibitions against, marketing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or prohibitions against, importation or exportation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of review or refusal to approve pending applications or supplements to approved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exclusion from participation in government-funded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exclusion from eligibility for the award of government contracts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seizures or administrative detention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civil and criminal penalties and fines.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including the expanded right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and significantly amends the CCPA.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pStyle w:val="TextBody"/>
        <w:bidi w:val="0"/>
        <w:jc w:val="left"/>
        <w:rPr>
          <w:rFonts w:ascii="Times New Roman" w:hAnsi="Times New Roman"/>
          <w:color w:val="000000"/>
          <w:sz w:val="20"/>
        </w:rPr>
      </w:pPr>
      <w:r>
        <w:rPr>
          <w:rFonts w:ascii="Times New Roman" w:hAnsi="Times New Roman"/>
          <w:color w:val="000000"/>
          <w:sz w:val="20"/>
        </w:rPr>
        <w:t>Our operations abroad may also be subject to increased scrutiny or attention from data protection authorities. For example, the General Data Protection Regulation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pStyle w:val="TextBody"/>
        <w:bidi w:val="0"/>
        <w:jc w:val="left"/>
        <w:rPr>
          <w:rFonts w:ascii="Times New Roman" w:hAnsi="Times New Roman"/>
          <w:color w:val="000000"/>
          <w:sz w:val="20"/>
        </w:rPr>
      </w:pPr>
      <w:r>
        <w:rPr>
          <w:rFonts w:ascii="Times New Roman" w:hAnsi="Times New Roman"/>
          <w:color w:val="000000"/>
          <w:sz w:val="20"/>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pStyle w:val="TextBody"/>
        <w:bidi w:val="0"/>
        <w:jc w:val="left"/>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Even if we are able to commercialize any product candidate, such product candidate may become subject to unfavorable pricing regulations or third-party coverage and reimbursement policies, which would harm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jc w:val="left"/>
        <w:rPr>
          <w:rFonts w:ascii="Times New Roman" w:hAnsi="Times New Roman"/>
          <w:color w:val="000000"/>
          <w:sz w:val="20"/>
        </w:rPr>
      </w:pPr>
      <w:r>
        <w:rPr>
          <w:rFonts w:ascii="Times New Roman" w:hAnsi="Times New Roman"/>
          <w:color w:val="000000"/>
          <w:sz w:val="20"/>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pStyle w:val="TextBody"/>
        <w:bidi w:val="0"/>
        <w:jc w:val="left"/>
        <w:rPr>
          <w:rFonts w:ascii="Times New Roman" w:hAnsi="Times New Roman"/>
          <w:color w:val="000000"/>
          <w:sz w:val="20"/>
        </w:rPr>
      </w:pPr>
      <w:r>
        <w:rPr>
          <w:rFonts w:ascii="Times New Roman" w:hAnsi="Times New Roman"/>
          <w:color w:val="000000"/>
          <w:sz w:val="20"/>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pStyle w:val="TextBody"/>
        <w:bidi w:val="0"/>
        <w:jc w:val="left"/>
        <w:rPr>
          <w:rFonts w:ascii="Times New Roman" w:hAnsi="Times New Roman"/>
          <w:sz w:val="20"/>
        </w:rPr>
      </w:pPr>
      <w:r>
        <w:rPr>
          <w:rFonts w:ascii="Times New Roman" w:hAnsi="Times New Roman"/>
          <w:b/>
          <w:i/>
          <w:color w:val="000000"/>
          <w:sz w:val="20"/>
        </w:rPr>
        <w:t>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in the future seek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accelerated approval pathway may be used in cases in which the advantage of a product candidate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predicted clinical benefit. If such post-approval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FDA new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seek Orphan Drug Designation for some of our product candidates, and we may be unsuccessful or may be unable to maintain the benefits associated with Orphan Drug Designation, including the potential for market exclusivity.</w:t>
      </w:r>
    </w:p>
    <w:p>
      <w:pPr>
        <w:pStyle w:val="TextBody"/>
        <w:bidi w:val="0"/>
        <w:jc w:val="left"/>
        <w:rPr>
          <w:rFonts w:ascii="Times New Roman" w:hAnsi="Times New Roman"/>
          <w:color w:val="000000"/>
          <w:sz w:val="20"/>
        </w:rPr>
      </w:pPr>
      <w:r>
        <w:rPr>
          <w:rFonts w:ascii="Times New Roman" w:hAnsi="Times New Roman"/>
          <w:color w:val="000000"/>
          <w:sz w:val="20"/>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disease or condition or seven years, except in limited circumstances, such as a showing of clinical superiority to the product with orphan drug exclusivity or where the manufacturer is unable to assure sufficient product quantity.</w:t>
      </w:r>
    </w:p>
    <w:p>
      <w:pPr>
        <w:pStyle w:val="TextBody"/>
        <w:bidi w:val="0"/>
        <w:jc w:val="left"/>
        <w:rPr>
          <w:rFonts w:ascii="Times New Roman" w:hAnsi="Times New Roman"/>
          <w:color w:val="000000"/>
          <w:sz w:val="20"/>
        </w:rPr>
      </w:pPr>
      <w:r>
        <w:rPr>
          <w:rFonts w:ascii="Times New Roman" w:hAnsi="Times New Roman"/>
          <w:color w:val="000000"/>
          <w:sz w:val="20"/>
        </w:rPr>
        <w:t>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an disease or condition broader than the orphan-designated disease or condition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disease or condition. Even after an orphan product is approved, the FDA can subsequently approve the same drug or therapeutic biologic for the same disease or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p>
    <w:p>
      <w:pPr>
        <w:pStyle w:val="TextBody"/>
        <w:bidi w:val="0"/>
        <w:jc w:val="left"/>
        <w:rPr>
          <w:rFonts w:ascii="Times New Roman" w:hAnsi="Times New Roman"/>
          <w:color w:val="000000"/>
          <w:sz w:val="20"/>
        </w:rPr>
      </w:pPr>
      <w:r>
        <w:rPr>
          <w:rFonts w:ascii="Times New Roman" w:hAnsi="Times New Roman"/>
          <w:color w:val="000000"/>
          <w:sz w:val="20"/>
        </w:rPr>
        <w:t>We expect our operating results to be subject to quarterly fluctuations.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 related to the ongoing development of our PROBODY platform,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or the addition or termination of clinical trials or funding support by us, or existing or future collaborators or licensing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execution of any additional collaboration, licensing or similar arrangements, and the timing of payments we may make or receive under existing or future arrangements or the termination or modification of any such existing or future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 including the ongoing patent infringement lawsuit brought by Vytacera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regulatory approval, the terms of such approval and market acceptance and demand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our product candidates or those of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jc w:val="left"/>
        <w:rPr>
          <w:rFonts w:ascii="Times New Roman" w:hAnsi="Times New Roman"/>
          <w:color w:val="000000"/>
          <w:sz w:val="20"/>
        </w:rPr>
      </w:pPr>
      <w:r>
        <w:rPr>
          <w:rFonts w:ascii="Times New Roman" w:hAnsi="Times New Roman"/>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pStyle w:val="TextBody"/>
        <w:bidi w:val="0"/>
        <w:jc w:val="left"/>
        <w:rPr>
          <w:rFonts w:ascii="Times New Roman" w:hAnsi="Times New Roman"/>
          <w:color w:val="000000"/>
          <w:sz w:val="20"/>
        </w:rPr>
      </w:pPr>
      <w:r>
        <w:rPr>
          <w:rFonts w:ascii="Times New Roman" w:hAnsi="Times New Roman"/>
          <w:color w:val="000000"/>
          <w:sz w:val="20"/>
        </w:rPr>
        <w:t>Section 404 of the Sarbanes-Oxley Act of 2002 requires that we evaluate and determine the effectiveness of our internal controls over financial reporting and provide a management report on the internal control over financial reporting.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to furnish a report by our management on, among other things, the effectiveness of our internal control over financial reporting in our Annual Report on Form 10-K. Internal control over financial reporting is a process designed to provide reasonable assurance regarding the reliability of financial reporting and the preparation of financial statements in accordance with generally acceptable accounting principles in 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A failure in any of these obligations or requirements could subject us to a loss of stockholder confidence and sanctions or investigations by regulatory authorities or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implementation of the necessary practices and procedures related to internal control over financial reporting, we may identify deficiencies that we may not be able to remediate before our management is required to furnish the annual report on the effectiveness of our internal control over financial reporting. Our testing, or the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pStyle w:val="TextBody"/>
        <w:bidi w:val="0"/>
        <w:jc w:val="left"/>
        <w:rPr>
          <w:rFonts w:ascii="Times New Roman" w:hAnsi="Times New Roman"/>
          <w:color w:val="000000"/>
          <w:sz w:val="20"/>
        </w:rPr>
      </w:pPr>
      <w:r>
        <w:rPr>
          <w:rFonts w:ascii="Times New Roman" w:hAnsi="Times New Roman"/>
          <w:color w:val="000000"/>
          <w:sz w:val="20"/>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 confidence in the accuracy and completeness of our financial reports, the market price of our securities could decline, and we could be subject to sanctions or investigations by regulatory authorities or litigation. Failure to implement or maintain effective internal control over financial reporting and disclosure controls and procedures required of public companies could also restrict our future access to the capital markets.</w:t>
      </w:r>
    </w:p>
    <w:p>
      <w:pPr>
        <w:pStyle w:val="TextBody"/>
        <w:bidi w:val="0"/>
        <w:jc w:val="left"/>
        <w:rPr>
          <w:rFonts w:ascii="Times New Roman" w:hAnsi="Times New Roman"/>
          <w:color w:val="000000"/>
          <w:sz w:val="20"/>
        </w:rPr>
      </w:pPr>
      <w:r>
        <w:rPr>
          <w:rFonts w:ascii="Times New Roman" w:hAnsi="Times New Roman"/>
          <w:color w:val="000000"/>
          <w:sz w:val="20"/>
        </w:rPr>
        <w:t>In connection with preparing our financial statements for the year ending December 31, 2022, we determined that a material weakness existed in our internal control over financial reporting due to ineffective controls for evaluation and review of the accounting for revenue recognition. We initiated plans to remediate the material weakness and determined that as of June 30, 2023, the material weakness had been remediated. There can be no assurance that we will not identify additional material weaknesses in the future.</w:t>
      </w:r>
    </w:p>
    <w:p>
      <w:pPr>
        <w:pStyle w:val="TextBody"/>
        <w:bidi w:val="0"/>
        <w:jc w:val="left"/>
        <w:rPr>
          <w:rFonts w:ascii="Times New Roman" w:hAnsi="Times New Roman"/>
          <w:color w:val="000000"/>
          <w:sz w:val="20"/>
        </w:rPr>
      </w:pPr>
      <w:r>
        <w:rPr>
          <w:rFonts w:ascii="Times New Roman" w:hAnsi="Times New Roman"/>
          <w:color w:val="000000"/>
          <w:sz w:val="20"/>
        </w:rPr>
        <w:t xml:space="preserve">In future periods, if our management is unable to conclude that we have effective internal control over financial reporting, or to certify the effectiveness of such controls, or if additional material weaknesses in our internal control over financial reporting are identified,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may be volatile and purchasers of our common stock could incur substantial losses.</w:t>
      </w:r>
    </w:p>
    <w:p>
      <w:pPr>
        <w:pStyle w:val="TextBody"/>
        <w:bidi w:val="0"/>
        <w:jc w:val="left"/>
        <w:rPr>
          <w:rFonts w:ascii="Times New Roman" w:hAnsi="Times New Roman"/>
          <w:color w:val="000000"/>
          <w:sz w:val="20"/>
        </w:rPr>
      </w:pPr>
      <w:r>
        <w:rPr>
          <w:rFonts w:ascii="Times New Roman" w:hAnsi="Times New Roman"/>
          <w:color w:val="000000"/>
          <w:sz w:val="20"/>
        </w:rPr>
        <w:t>Our stock price is volatile. Since our initial public offering (“IPO”), our stock had low and high sales prices in the range of $1.04 and $35.00 per share. The market price for our common stock may be influenced by many factors, including the other risks described in this section titled “Risk Factors”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and preclinical studies of our product candidates, or those of our competitors or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introductions and announcements of new products by us, our future commercialization partners,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regulatory agencies with respect to our products, clinical studies,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any pandemic and related governmental regulations and restrictions may impact our business, including our research, clinical trials, manufacturing and financial condition, as well as the impact of other natural disasters and other calamities;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efforts to acquire or in-license additional technologies,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any existing or future collaborations, including but not limited to those with our sources of manufacturing supply and our commercialization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or capital commitments;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or changes in stock market analyst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and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concentrated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and other calamities;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w:t>
      </w:r>
    </w:p>
    <w:p>
      <w:pPr>
        <w:pStyle w:val="TextBody"/>
        <w:bidi w:val="0"/>
        <w:jc w:val="left"/>
        <w:rPr>
          <w:rFonts w:ascii="Times New Roman" w:hAnsi="Times New Roman"/>
          <w:color w:val="000000"/>
          <w:sz w:val="20"/>
        </w:rPr>
      </w:pPr>
      <w:r>
        <w:rPr>
          <w:rFonts w:ascii="Times New Roman" w:hAnsi="Times New Roman"/>
          <w:color w:val="000000"/>
          <w:sz w:val="20"/>
        </w:rPr>
        <w:t>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future issuance of equity or of debt securities that are convertible into equity will dilute our share capital.</w:t>
      </w:r>
    </w:p>
    <w:p>
      <w:pPr>
        <w:pStyle w:val="TextBody"/>
        <w:bidi w:val="0"/>
        <w:jc w:val="left"/>
        <w:rPr>
          <w:rFonts w:ascii="Times New Roman" w:hAnsi="Times New Roman"/>
          <w:color w:val="000000"/>
          <w:sz w:val="20"/>
        </w:rPr>
      </w:pPr>
      <w:r>
        <w:rPr>
          <w:rFonts w:ascii="Times New Roman" w:hAnsi="Times New Roman"/>
          <w:color w:val="000000"/>
          <w:sz w:val="20"/>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In July 2023, we sold pre-funded warrants to purchase up to 14,423,077 shares of common stock and accompanying Tranche Warrants to purchase up to 11,538,462 shares of our common stock.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Additionally, future sales of our common stock at prices below the exercise price of the Tranche Warrants may lower the exercise price of the Tranche Warrants. No prediction can be made as to the effect, if any, that future sales of common stock or the availability of common stock for future sales will have on the trading price of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employment agreements with our executive officers may require us to pay severance benefits to officers in connection with termination of employment or upon a change of control of us, which could harm our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 active market for our common stock may not be maintained.</w:t>
      </w:r>
    </w:p>
    <w:p>
      <w:pPr>
        <w:pStyle w:val="TextBody"/>
        <w:bidi w:val="0"/>
        <w:jc w:val="left"/>
        <w:rPr>
          <w:rFonts w:ascii="Times New Roman" w:hAnsi="Times New Roman"/>
          <w:color w:val="000000"/>
          <w:sz w:val="20"/>
        </w:rPr>
      </w:pPr>
      <w:r>
        <w:rPr>
          <w:rFonts w:ascii="Times New Roman" w:hAnsi="Times New Roman"/>
          <w:color w:val="000000"/>
          <w:sz w:val="20"/>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As of June 30, 2024, our executive officers, directors, holders of 5% or more of our capital stock based on publicly available filings made with the SEC and their respective affiliates beneficially owned approximately 37% of our outstanding common stock. In addition, in our July 2023 private placement, a certain holder of 5% or more of our capital stock acquired pre-funded warrants and accompanying Tranche Warrants to purchase shares of our common stock. Until fully exercised or expired, the shares issuable upon the exercise of the pre-funded warrants and the Tranche Warrants are not included in the number of our outstanding shares of common stock. If such holder exercises their warrants, then the shares of our capital stock beneficially owned by our executive officers, directors, holders of 5% or more of our capital stock and their respective affiliates would increase significantly.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jc w:val="left"/>
        <w:rPr>
          <w:rFonts w:ascii="Times New Roman" w:hAnsi="Times New Roman"/>
          <w:color w:val="000000"/>
          <w:sz w:val="20"/>
        </w:rPr>
      </w:pPr>
      <w:r>
        <w:rPr>
          <w:rFonts w:ascii="Times New Roman" w:hAnsi="Times New Roman"/>
          <w:color w:val="000000"/>
          <w:sz w:val="20"/>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election to our board of directors and for proposing matters that can be acted upon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division of our board of directors into three classes, serving staggered terms of three years each;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with such terms as the board of directors may determine.</w:t>
      </w:r>
    </w:p>
    <w:p>
      <w:pPr>
        <w:pStyle w:val="TextBody"/>
        <w:bidi w:val="0"/>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new compliance initiatives and corporate governance practices.</w:t>
      </w:r>
    </w:p>
    <w:p>
      <w:pPr>
        <w:pStyle w:val="TextBody"/>
        <w:bidi w:val="0"/>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The Sarbanes-Oxley Act, the Dodd-Frank Wall Street Reform and Consumer Protection Act, the listing requirements of The Nasdaq Global Select Market and other applicable securities rules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capital appreciation, if any, will be your sole source of gain.</w:t>
      </w:r>
    </w:p>
    <w:p>
      <w:pPr>
        <w:pStyle w:val="TextBody"/>
        <w:bidi w:val="0"/>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incur significant costs from class action litigation due to our expected stock volatility.</w:t>
      </w:r>
    </w:p>
    <w:p>
      <w:pPr>
        <w:pStyle w:val="TextBody"/>
        <w:bidi w:val="0"/>
        <w:jc w:val="left"/>
        <w:rPr>
          <w:rFonts w:ascii="Times New Roman" w:hAnsi="Times New Roman"/>
          <w:color w:val="000000"/>
          <w:sz w:val="20"/>
        </w:rPr>
      </w:pPr>
      <w:r>
        <w:rPr>
          <w:rFonts w:ascii="Times New Roman" w:hAnsi="Times New Roman"/>
          <w:color w:val="000000"/>
          <w:sz w:val="20"/>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pStyle w:val="TextBody"/>
        <w:bidi w:val="0"/>
        <w:jc w:val="left"/>
        <w:rPr>
          <w:rFonts w:ascii="Times New Roman" w:hAnsi="Times New Roman"/>
          <w:color w:val="000000"/>
          <w:sz w:val="20"/>
        </w:rPr>
      </w:pPr>
      <w:r>
        <w:rPr>
          <w:rFonts w:ascii="Times New Roman" w:hAnsi="Times New Roman"/>
          <w:color w:val="000000"/>
          <w:sz w:val="20"/>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rFonts w:ascii="Times New Roman" w:hAnsi="Times New Roman"/>
          <w:sz w:val="20"/>
        </w:rPr>
      </w:pPr>
      <w:r>
        <w:rPr>
          <w:rFonts w:ascii="Times New Roman" w:hAnsi="Times New Roman"/>
          <w:b/>
          <w:i/>
          <w:color w:val="000000"/>
          <w:sz w:val="20"/>
        </w:rPr>
        <w:t>Any future pandemic could adversely impact our business, including our research, development, including clinical trials, manufacturing and financial condition.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impact of future pandemics could severely impact the business, research, development and manufacturing for us and our partners including ongoing or planned clinical trials for CX-904, CX-2051 and CX-801, and clinical trials of our partners. For example, in December 2019, a novel strain of coronavirus, COVID-19, was reported to have surfaced in Wuhan, China, and spread to multiple countries, including the United States and European and Asia-Pacific countries. As a result, our operations and the operations of our partners were impacted for a substantial period of time. Future pandemics may incur similar or more severe disruptions and impacts. These disruptions and impacts may include: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research activities or obtaining necessary supplies to enable research;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for any clinical trials we or our partners decide to initiate, including CX-904, CX-2051 and CX-801, including difficulties in recruiting clinical site investigators and clinical site staff and clinical trial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healthcare resources away from the conduct of clinical trials, including the diversion of hospitals serving as our or our partners’ clinical trial sites and hospital staff supporting the conduct of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key clinical trial activities, such as clinical trial site monitoring, due to limitations on travel imposed or recommended by federal or state governments, employers and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interpreting clinical data due to patients being infected by pandemic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receiving approval from local regulatory authorities to initiate our or our partners’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clinical sites receiving the supplies and materials needed to conduct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in manufacturing or global shipping that may affect the timely delivery or transport of research materials or clinical trial materials, such as investigational drug product used in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regulations as part of a response to a pandemic outbreak which may require us or our partners to change the ways in which clinical trials are conducted, which may result in unexpected costs, or cause us or our partners to discontinue the clinical trials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necessary interactions with local regulators, ethics committees and other important agencies and contractors due to limitations in employee resources or forced furlough of government employees;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accept data from clinical trials in affected geographies outside the United States.</w:t>
      </w:r>
    </w:p>
    <w:p>
      <w:pPr>
        <w:pStyle w:val="TextBody"/>
        <w:bidi w:val="0"/>
        <w:jc w:val="left"/>
        <w:rPr>
          <w:rFonts w:ascii="Times New Roman" w:hAnsi="Times New Roman"/>
          <w:color w:val="000000"/>
          <w:sz w:val="20"/>
        </w:rPr>
      </w:pPr>
      <w:r>
        <w:rPr>
          <w:rFonts w:ascii="Times New Roman" w:hAnsi="Times New Roman"/>
          <w:color w:val="000000"/>
          <w:sz w:val="20"/>
        </w:rPr>
        <w:t>We cannot be certain of the impact of any future pandemic on our business or make any assurance that research, development or manufacturing of our product candidates will not be delayed, discontinued or otherwise impacted.</w:t>
      </w:r>
    </w:p>
    <w:p>
      <w:pPr>
        <w:pStyle w:val="TextBody"/>
        <w:bidi w:val="0"/>
        <w:jc w:val="left"/>
        <w:rPr>
          <w:rFonts w:ascii="Times New Roman" w:hAnsi="Times New Roman"/>
          <w:color w:val="000000"/>
          <w:sz w:val="20"/>
        </w:rPr>
      </w:pPr>
      <w:r>
        <w:rPr>
          <w:rFonts w:ascii="Times New Roman" w:hAnsi="Times New Roman"/>
          <w:color w:val="000000"/>
          <w:sz w:val="20"/>
        </w:rPr>
        <w:t>Any of the potential business, research and clinical impacts arising as a result of any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pStyle w:val="TextBody"/>
        <w:bidi w:val="0"/>
        <w:jc w:val="left"/>
        <w:rPr>
          <w:rFonts w:ascii="Times New Roman" w:hAnsi="Times New Roman"/>
          <w:color w:val="000000"/>
          <w:sz w:val="20"/>
        </w:rPr>
      </w:pPr>
      <w:r>
        <w:rPr>
          <w:rFonts w:ascii="Times New Roman" w:hAnsi="Times New Roman"/>
          <w:color w:val="000000"/>
          <w:sz w:val="20"/>
        </w:rPr>
        <w:t>In addition, a pandemic may negatively impact the trading price of shares of our common stock and could further severely impact our ability to raise additional capital on a timely basis or at all.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Adverse U.S. and multi-national financial market conditions may adversely affect our business and financial position.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maintains the majority of its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jc w:val="left"/>
        <w:rPr>
          <w:rFonts w:ascii="Times New Roman" w:hAnsi="Times New Roman"/>
          <w:sz w:val="20"/>
        </w:rPr>
      </w:pPr>
      <w:r>
        <w:rPr>
          <w:rFonts w:ascii="Times New Roman" w:hAnsi="Times New Roman"/>
          <w:b/>
          <w:i/>
          <w:color w:val="000000"/>
          <w:sz w:val="20"/>
        </w:rPr>
        <w:t>We may acquire assets or form strategic alliances in the future, and we may not realize the benefits of such acquisitions</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 even if we succeed in identifying promising products, product candidates, programs or companies, we may not have the ability to develop, obtain regulatory approval for and commercialize such opportunities, or the financial resources necessary to pursue them.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acquisition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incur substantial debt or engage in dilutive issuances of equity securities to pay for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disruption of our historical business and our activities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strain on, and need to expand, our existing operational, technical, financial and administrative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lack of experience in late-stage product development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difficulties in assimilating employees and corporate cultures;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difficulties in hiring qualified personnel and establishing necessary development and/or commercialization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retain key management and other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challenges in controlling additional costs and expenses in connection with and as a result of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write down assets or recognize impairment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to integration of operations and corporate and administrative infrastructures;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unanticipated liabilities for activities of or related to the acquired business or its operations, products or product candidates.</w:t>
      </w:r>
    </w:p>
    <w:p>
      <w:pPr>
        <w:pStyle w:val="TextBody"/>
        <w:bidi w:val="0"/>
        <w:jc w:val="left"/>
        <w:rPr>
          <w:rFonts w:ascii="Times New Roman" w:hAnsi="Times New Roman"/>
          <w:color w:val="000000"/>
          <w:sz w:val="20"/>
        </w:rPr>
      </w:pPr>
      <w:r>
        <w:rPr>
          <w:rFonts w:ascii="Times New Roman" w:hAnsi="Times New Roman"/>
          <w:color w:val="000000"/>
          <w:sz w:val="20"/>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future growth may depend, in part, on our ability to operate in foreign markets, where we would be subject to additional regulatory burdens and other risks and uncertainties.</w:t>
      </w:r>
    </w:p>
    <w:p>
      <w:pPr>
        <w:pStyle w:val="TextBody"/>
        <w:bidi w:val="0"/>
        <w:jc w:val="left"/>
        <w:rPr>
          <w:rFonts w:ascii="Times New Roman" w:hAnsi="Times New Roman"/>
          <w:color w:val="000000"/>
          <w:sz w:val="20"/>
        </w:rPr>
      </w:pPr>
      <w:r>
        <w:rPr>
          <w:rFonts w:ascii="Times New Roman" w:hAnsi="Times New Roman"/>
          <w:color w:val="000000"/>
          <w:sz w:val="20"/>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information technology systems, or those of our CROs or other contractors or consultants we may utilize, may fail, suffer disruptions or suffer security breaches, which could result in a material disruption of our product development programs.</w:t>
      </w:r>
    </w:p>
    <w:p>
      <w:pPr>
        <w:pStyle w:val="TextBody"/>
        <w:bidi w:val="0"/>
        <w:jc w:val="left"/>
        <w:rPr>
          <w:rFonts w:ascii="Times New Roman" w:hAnsi="Times New Roman"/>
          <w:color w:val="000000"/>
          <w:sz w:val="20"/>
        </w:rPr>
      </w:pPr>
      <w:r>
        <w:rPr>
          <w:rFonts w:ascii="Times New Roman" w:hAnsi="Times New Roman"/>
          <w:color w:val="000000"/>
          <w:sz w:val="20"/>
        </w:rPr>
        <w:t xml:space="preserve">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clinical trial data, and the personal information of our employees (collectively, “Confidential Information”). It is important to our operations and business strategy that this Confidential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w:t>
      </w:r>
    </w:p>
    <w:p>
      <w:pPr>
        <w:pStyle w:val="TextBody"/>
        <w:bidi w:val="0"/>
        <w:jc w:val="left"/>
        <w:rPr>
          <w:rFonts w:ascii="Times New Roman" w:hAnsi="Times New Roman"/>
          <w:color w:val="000000"/>
          <w:sz w:val="20"/>
        </w:rPr>
      </w:pPr>
      <w:r>
        <w:rPr>
          <w:rFonts w:ascii="Times New Roman" w:hAnsi="Times New Roman"/>
          <w:color w:val="000000"/>
          <w:sz w:val="20"/>
        </w:rPr>
        <w:t>Attacks upon information technology systems are also increasing in their frequency, levels of persistence, sophistication and intensity, and are being conducted by sophisticated and organized groups and individuals with a wide range of motives and expertise. As a result of our continued hybrid working environment,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To the extent that any disruption or security breach were to result in a loss of, or damage to, our data, or inappropriate disclosure of Confidential Information, we could incur liability, recovery of our data could take a prolonged period of time, and the development of our research or product candidates could be delayed.</w:t>
      </w:r>
    </w:p>
    <w:p>
      <w:pPr>
        <w:pStyle w:val="TextBody"/>
        <w:bidi w:val="0"/>
        <w:jc w:val="left"/>
        <w:rPr>
          <w:rFonts w:ascii="Times New Roman" w:hAnsi="Times New Roman"/>
          <w:color w:val="000000"/>
          <w:sz w:val="20"/>
        </w:rPr>
      </w:pPr>
      <w:r>
        <w:rPr>
          <w:rFonts w:ascii="Times New Roman" w:hAnsi="Times New Roman"/>
          <w:color w:val="000000"/>
          <w:sz w:val="20"/>
        </w:rPr>
        <w:t xml:space="preserve">There can be no assurance that our and our third-party service providers’ risk management program and processes, including policies, controls or procedures, will be fully implemented, complied with or effective in protecting our systems, networks and Confidential Information.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w:t>
      </w:r>
    </w:p>
    <w:p>
      <w:pPr>
        <w:pStyle w:val="TextBody"/>
        <w:bidi w:val="0"/>
        <w:jc w:val="left"/>
        <w:rPr>
          <w:rFonts w:ascii="Times New Roman" w:hAnsi="Times New Roman"/>
          <w:color w:val="000000"/>
          <w:sz w:val="20"/>
        </w:rPr>
      </w:pPr>
      <w:r>
        <w:rPr>
          <w:rFonts w:ascii="Times New Roman" w:hAnsi="Times New Roman"/>
          <w:color w:val="000000"/>
          <w:sz w:val="20"/>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ongoing armed conflict between Russia and Ukraine or other international conflicts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pStyle w:val="TextBody"/>
        <w:bidi w:val="0"/>
        <w:jc w:val="left"/>
        <w:rPr>
          <w:rFonts w:ascii="Times New Roman" w:hAnsi="Times New Roman"/>
          <w:color w:val="000000"/>
          <w:sz w:val="20"/>
        </w:rPr>
      </w:pPr>
      <w:r>
        <w:rPr>
          <w:rFonts w:ascii="Times New Roman" w:hAnsi="Times New Roman"/>
          <w:color w:val="000000"/>
          <w:sz w:val="20"/>
        </w:rPr>
        <w:t xml:space="preserve">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blocking sanctions against Russian and Belarusian individuals, including the Russian President, other politicians, and those with government connections or involved in Russian military activities;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blocking of Russia’s foreign currency reserves as well as expansion of sectoral sanctions and export and trade restrictions, limitations on investments and access to capital markets, and bans on various Russian imports. </w:t>
      </w:r>
    </w:p>
    <w:p>
      <w:pPr>
        <w:pStyle w:val="TextBody"/>
        <w:bidi w:val="0"/>
        <w:jc w:val="left"/>
        <w:rPr>
          <w:rFonts w:ascii="Times New Roman" w:hAnsi="Times New Roman"/>
          <w:color w:val="000000"/>
          <w:sz w:val="20"/>
        </w:rPr>
      </w:pPr>
      <w:r>
        <w:rPr>
          <w:rFonts w:ascii="Times New Roman" w:hAnsi="Times New Roman"/>
          <w:color w:val="000000"/>
          <w:sz w:val="20"/>
        </w:rPr>
        <w:t xml:space="preserve">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 </w:t>
      </w:r>
    </w:p>
    <w:p>
      <w:pPr>
        <w:pStyle w:val="TextBody"/>
        <w:bidi w:val="0"/>
        <w:jc w:val="left"/>
        <w:rPr>
          <w:rFonts w:ascii="Times New Roman" w:hAnsi="Times New Roman"/>
          <w:color w:val="000000"/>
          <w:sz w:val="20"/>
        </w:rPr>
      </w:pPr>
      <w:r>
        <w:rPr>
          <w:rFonts w:ascii="Times New Roman" w:hAnsi="Times New Roman"/>
          <w:color w:val="000000"/>
          <w:sz w:val="20"/>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other armed conflicts that arise from time to time, including the current conflict between Israel and Hamas, have the potential to cause global impacts that could adversely affect the global economy, financial markets, energy supply and prices, certain critical materials and metals, supply chains, and global logistics and could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comply with laws regulating the protection of the environment and health and human safety, our business could be adversely affected.</w:t>
      </w:r>
    </w:p>
    <w:p>
      <w:pPr>
        <w:pStyle w:val="TextBody"/>
        <w:bidi w:val="0"/>
        <w:jc w:val="left"/>
        <w:rPr>
          <w:rFonts w:ascii="Times New Roman" w:hAnsi="Times New Roman"/>
          <w:color w:val="000000"/>
          <w:sz w:val="20"/>
        </w:rPr>
      </w:pPr>
      <w:r>
        <w:rPr>
          <w:rFonts w:ascii="Times New Roman" w:hAnsi="Times New Roman"/>
          <w:color w:val="000000"/>
          <w:sz w:val="20"/>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U.S. or foreign tax laws or regulations that are applied adversely to us may have a material adverse effect on our business, cash flow, financial condition or results of operations.</w:t>
      </w:r>
    </w:p>
    <w:p>
      <w:pPr>
        <w:pStyle w:val="TextBody"/>
        <w:bidi w:val="0"/>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adverse or misleading opinions regarding our stock, our stock price and trading volume could decline.</w:t>
      </w:r>
    </w:p>
    <w:p>
      <w:pPr>
        <w:pStyle w:val="TextBody"/>
        <w:bidi w:val="0"/>
        <w:jc w:val="left"/>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360" w:after="283"/>
        <w:jc w:val="left"/>
        <w:rPr>
          <w:rFonts w:ascii="Times New Roman" w:hAnsi="Times New Roman"/>
          <w:b/>
          <w:color w:val="000000"/>
          <w:sz w:val="20"/>
        </w:rPr>
      </w:pPr>
      <w:bookmarkStart w:id="13" w:name="item_2_unregistered_sales_equity_securit"/>
      <w:bookmarkEnd w:id="13"/>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b/>
          <w:i/>
          <w:color w:val="000000"/>
          <w:sz w:val="20"/>
        </w:rPr>
        <w:t>Recent Sales of Unregistered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Repurchases of Shares or of Company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4" w:name="item_3_defaults_upon_senior_securities"/>
      <w:bookmarkEnd w:id="14"/>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6" w:name="item_5_or_information"/>
      <w:bookmarkEnd w:id="16"/>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left"/>
        <w:rPr>
          <w:rFonts w:ascii="Times New Roman" w:hAnsi="Times New Roman"/>
          <w:sz w:val="20"/>
        </w:rPr>
      </w:pPr>
      <w:bookmarkStart w:id="17" w:name="item_6_exhibits"/>
      <w:bookmarkEnd w:id="17"/>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4"/>
        <w:gridCol w:w="146"/>
        <w:gridCol w:w="5966"/>
        <w:gridCol w:w="146"/>
        <w:gridCol w:w="532"/>
        <w:gridCol w:w="146"/>
        <w:gridCol w:w="679"/>
        <w:gridCol w:w="146"/>
        <w:gridCol w:w="691"/>
        <w:gridCol w:w="146"/>
        <w:gridCol w:w="843"/>
      </w:tblGrid>
      <w:tr>
        <w:trPr/>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94" w:type="dxa"/>
            <w:gridSpan w:val="5"/>
            <w:tcBorders/>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left"/>
              <w:rPr/>
            </w:pPr>
            <w:r>
              <w:rPr/>
              <w:t> </w:t>
            </w:r>
          </w:p>
        </w:tc>
      </w:tr>
      <w:tr>
        <w:trPr/>
        <w:tc>
          <w:tcPr>
            <w:tcW w:w="764" w:type="dxa"/>
            <w:tcBorders/>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vAlign w:val="center"/>
          </w:tcPr>
          <w:p>
            <w:pPr>
              <w:pStyle w:val="TableContents"/>
              <w:bidi w:val="0"/>
              <w:spacing w:before="0" w:after="283"/>
              <w:jc w:val="center"/>
              <w:rPr/>
            </w:pPr>
            <w:r>
              <w:rPr/>
              <w:t> </w:t>
            </w:r>
          </w:p>
        </w:tc>
        <w:tc>
          <w:tcPr>
            <w:tcW w:w="5966" w:type="dxa"/>
            <w:tcBorders/>
            <w:vAlign w:val="center"/>
          </w:tcPr>
          <w:p>
            <w:pPr>
              <w:pStyle w:val="TableContents"/>
              <w:pBdr>
                <w:bottom w:val="single" w:sz="4" w:space="1" w:color="000000"/>
              </w:pBdr>
              <w:bidi w:val="0"/>
              <w:spacing w:before="0" w:after="283"/>
              <w:jc w:val="center"/>
              <w:rPr>
                <w:rFonts w:ascii="Times New Roman" w:hAnsi="Times New Roman"/>
                <w:sz w:val="16"/>
              </w:rPr>
            </w:pPr>
            <w:r>
              <w:rPr>
                <w:rFonts w:ascii="Times New Roman" w:hAnsi="Times New Roman"/>
                <w:b/>
                <w:color w:val="000000"/>
                <w:sz w:val="16"/>
              </w:rPr>
              <w:t>Exhibit Description</w:t>
            </w:r>
            <w:r>
              <w:rPr>
                <w:rFonts w:ascii="Times New Roman" w:hAnsi="Times New Roman"/>
                <w:color w:val="000000"/>
                <w:sz w:val="16"/>
              </w:rPr>
              <w:t xml:space="preserve">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pBdr>
                <w:bottom w:val="single" w:sz="4" w:space="1" w:color="000000"/>
              </w:pBdr>
              <w:bidi w:val="0"/>
              <w:spacing w:before="0" w:after="283"/>
              <w:jc w:val="center"/>
              <w:rPr>
                <w:rFonts w:ascii="Times New Roman" w:hAnsi="Times New Roman"/>
                <w:sz w:val="16"/>
              </w:rPr>
            </w:pPr>
            <w:r>
              <w:rPr>
                <w:rFonts w:ascii="Times New Roman" w:hAnsi="Times New Roman"/>
                <w:b/>
                <w:color w:val="000000"/>
                <w:sz w:val="16"/>
              </w:rPr>
              <w:t>Filed</w:t>
              <w:br/>
              <w:t>Herewith</w:t>
            </w:r>
            <w:r>
              <w:rPr>
                <w:rFonts w:ascii="Times New Roman" w:hAnsi="Times New Roman"/>
                <w:color w:val="000000"/>
                <w:sz w:val="16"/>
              </w:rPr>
              <w:t xml:space="preserve"> </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5/17/2024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CytomX Therapeutics, Inc., effective March 20, 2024.</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Reference is made to Exhibits 3.1 through 3.2.</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Common Stock Certificate</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hyperlink w:anchor="ctmx-ex10_1.htm">
              <w:r>
                <w:rPr>
                  <w:rStyle w:val="InternetLink"/>
                  <w:rFonts w:ascii="Times New Roman" w:hAnsi="Times New Roman"/>
                  <w:color w:val="0000FF"/>
                  <w:sz w:val="20"/>
                  <w:u w:val="single"/>
                </w:rPr>
                <w:t>Amendment No.1 to the Collaboration and License Agreement effective as of June 28, 2024 by and between CytomX Therapeutics, Inc. and Regeneron Pharmaceuticals, Inc.</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hyperlink w:anchor="ctmx-ex31_1.htm">
              <w:r>
                <w:rPr>
                  <w:rStyle w:val="InternetLink"/>
                  <w:rFonts w:ascii="Times New Roman" w:hAnsi="Times New Roman"/>
                  <w:color w:val="0000FF"/>
                  <w:sz w:val="20"/>
                  <w:u w:val="single"/>
                </w:rPr>
                <w:t>Certification of Chief Executive Officer required by Rule 13a-14(a) or Rule 15d-14(a).</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hyperlink w:anchor="ctmx-ex31_2.htm">
              <w:r>
                <w:rPr>
                  <w:rStyle w:val="InternetLink"/>
                  <w:rFonts w:ascii="Times New Roman" w:hAnsi="Times New Roman"/>
                  <w:color w:val="0000FF"/>
                  <w:sz w:val="20"/>
                  <w:u w:val="single"/>
                </w:rPr>
                <w:t>Certification of Chief Financial Officer required by Rule 13a-14(a) or Rule 15d-14(a).</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hyperlink w:anchor="ctmx-ex32_1.htm">
              <w:r>
                <w:rPr>
                  <w:rStyle w:val="InternetLink"/>
                  <w:rFonts w:ascii="Times New Roman" w:hAnsi="Times New Roman"/>
                  <w:color w:val="0000FF"/>
                  <w:sz w:val="20"/>
                  <w:u w:val="single"/>
                </w:rPr>
                <w:t>Certification of Chief Executive Officer required by Rule 13a-14(b) or Rule 15d-14(b) and Section 1350 of Chapter 63 of Title 18 of the United States Code (18 U.S.C. §1350).</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hyperlink w:anchor="ctmx-ex32_2.htm">
              <w:r>
                <w:rPr>
                  <w:rStyle w:val="InternetLink"/>
                  <w:rFonts w:ascii="Times New Roman" w:hAnsi="Times New Roman"/>
                  <w:color w:val="0000FF"/>
                  <w:sz w:val="20"/>
                  <w:u w:val="single"/>
                </w:rPr>
                <w:t>Certification of Chief Financial Officer required by Rule 13a-14(b) or Rule 15d-14(b) and Section 1350 of Chapter 63 of Title 18 of the United States Code (18 U.S.C. §1350).</w:t>
              </w:r>
            </w:hyperlink>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9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8"/>
        </w:rPr>
        <w:t>Certain confidential portions of this exhibit have been omitted from this exhibit.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7855" w:type="dxa"/>
        <w:jc w:val="left"/>
        <w:tblInd w:w="0" w:type="dxa"/>
        <w:tblLayout w:type="fixed"/>
        <w:tblCellMar>
          <w:top w:w="28" w:type="dxa"/>
          <w:left w:w="28" w:type="dxa"/>
          <w:bottom w:w="28" w:type="dxa"/>
          <w:right w:w="28" w:type="dxa"/>
        </w:tblCellMar>
      </w:tblPr>
      <w:tblGrid>
        <w:gridCol w:w="1846"/>
        <w:gridCol w:w="146"/>
        <w:gridCol w:w="406"/>
        <w:gridCol w:w="14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CytomX Therapeutics, Inc.</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11" w:type="dxa"/>
            <w:tcBorders/>
            <w:vAlign w:val="center"/>
          </w:tcPr>
          <w:p>
            <w:pPr>
              <w:pStyle w:val="TableContents"/>
              <w:bidi w:val="0"/>
              <w:spacing w:before="0" w:after="283"/>
              <w:jc w:val="center"/>
              <w:rPr/>
            </w:pPr>
            <w:r>
              <w:rPr/>
              <w:t> </w:t>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A. McCarthy</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1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A. McCarthy, D. Phil.</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1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Chairman</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11" w:type="dxa"/>
            <w:tcBorders/>
            <w:vAlign w:val="center"/>
          </w:tcPr>
          <w:p>
            <w:pPr>
              <w:pStyle w:val="TableContents"/>
              <w:bidi w:val="0"/>
              <w:spacing w:before="0" w:after="283"/>
              <w:jc w:val="center"/>
              <w:rPr/>
            </w:pPr>
            <w:r>
              <w:rPr/>
              <w:t> </w:t>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W. Ogden</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1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W. Ogden</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1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bookmarkStart w:id="19" w:name="ctmx-ex10_1.htm"/>
      <w:bookmarkStart w:id="20" w:name="ksctmxex10_1"/>
      <w:bookmarkEnd w:id="19"/>
      <w:bookmarkEnd w:id="20"/>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center"/>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Certain identified information has been excluded from the exhibit because it is both (i) not material and (ii) may be competitively harmful if publicly disclosed.</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Amendment No. 1</w:t>
      </w:r>
    </w:p>
    <w:p>
      <w:pPr>
        <w:pStyle w:val="TextBody"/>
        <w:bidi w:val="0"/>
        <w:jc w:val="center"/>
        <w:rPr>
          <w:rFonts w:ascii="Times New Roman" w:hAnsi="Times New Roman"/>
          <w:b/>
          <w:color w:val="000000"/>
          <w:sz w:val="24"/>
        </w:rPr>
      </w:pPr>
      <w:r>
        <w:rPr>
          <w:rFonts w:ascii="Times New Roman" w:hAnsi="Times New Roman"/>
          <w:b/>
          <w:color w:val="000000"/>
          <w:sz w:val="24"/>
        </w:rPr>
        <w:t>to the</w:t>
      </w:r>
    </w:p>
    <w:p>
      <w:pPr>
        <w:pStyle w:val="TextBody"/>
        <w:bidi w:val="0"/>
        <w:jc w:val="center"/>
        <w:rPr>
          <w:rFonts w:ascii="Times New Roman" w:hAnsi="Times New Roman"/>
          <w:b/>
          <w:color w:val="000000"/>
          <w:sz w:val="24"/>
        </w:rPr>
      </w:pPr>
      <w:r>
        <w:rPr>
          <w:rFonts w:ascii="Times New Roman" w:hAnsi="Times New Roman"/>
          <w:b/>
          <w:color w:val="000000"/>
          <w:sz w:val="24"/>
        </w:rPr>
        <w:t>Collaboration and License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Amendment No. 1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to the Collaboration and License Agreement effective November 16, 2022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by and between CytomX Therapeutics, Inc., having an address at 151 Oyster Point Blvd., Suite 400, South San Francisco, California 94080, U.S.A. (“</w:t>
      </w:r>
      <w:r>
        <w:rPr>
          <w:rFonts w:ascii="Times New Roman" w:hAnsi="Times New Roman"/>
          <w:color w:val="000000"/>
          <w:sz w:val="24"/>
          <w:u w:val="single"/>
        </w:rPr>
        <w:t>CytomX</w:t>
      </w:r>
      <w:r>
        <w:rPr>
          <w:rFonts w:ascii="Times New Roman" w:hAnsi="Times New Roman"/>
          <w:color w:val="000000"/>
          <w:sz w:val="20"/>
        </w:rPr>
        <w:t>”</w:t>
      </w:r>
      <w:r>
        <w:rPr>
          <w:rFonts w:ascii="Times New Roman" w:hAnsi="Times New Roman"/>
          <w:color w:val="000000"/>
          <w:sz w:val="24"/>
        </w:rPr>
        <w:t>), and Regeneron Pharmaceuticals, Inc., a New York company with a business address located at 777 Old Saw Mill River Road, Tarrytown, NY 10591, U.S.A. (“</w:t>
      </w:r>
      <w:r>
        <w:rPr>
          <w:rFonts w:ascii="Times New Roman" w:hAnsi="Times New Roman"/>
          <w:color w:val="000000"/>
          <w:sz w:val="24"/>
          <w:u w:val="single"/>
        </w:rPr>
        <w:t>Regeneron</w:t>
      </w:r>
      <w:r>
        <w:rPr>
          <w:rFonts w:ascii="Times New Roman" w:hAnsi="Times New Roman"/>
          <w:color w:val="000000"/>
          <w:sz w:val="20"/>
        </w:rPr>
        <w:t>”</w:t>
      </w:r>
      <w:r>
        <w:rPr>
          <w:rFonts w:ascii="Times New Roman" w:hAnsi="Times New Roman"/>
          <w:color w:val="000000"/>
          <w:sz w:val="24"/>
        </w:rPr>
        <w:t>) shall be effective as of June 28, 2024 (“</w:t>
      </w:r>
      <w:r>
        <w:rPr>
          <w:rFonts w:ascii="Times New Roman" w:hAnsi="Times New Roman"/>
          <w:color w:val="000000"/>
          <w:sz w:val="24"/>
          <w:u w:val="single"/>
        </w:rPr>
        <w:t>Amendment No. 1 Effective Date</w:t>
      </w:r>
      <w:r>
        <w:rPr>
          <w:rFonts w:ascii="Times New Roman" w:hAnsi="Times New Roman"/>
          <w:color w:val="000000"/>
          <w:sz w:val="20"/>
        </w:rPr>
        <w:t>”</w:t>
      </w:r>
      <w:r>
        <w:rPr>
          <w:rFonts w:ascii="Times New Roman" w:hAnsi="Times New Roman"/>
          <w:color w:val="000000"/>
          <w:sz w:val="24"/>
        </w:rPr>
        <w:t>) IF DOCVARIABLE main_contracting_party_type \* CHARFORMAT Legal entity = "Physical person" " DOCVARIABLE main_contracting_party_title \* CHARFORMAT Contracting Party Title DOCVARIABLE main_contracting_party_first_name \* CHARFORMAT Contracting party first name DOCVARIABLE main_contracting_party_last_name \* CHARFORMAT Contracting party last name" \* CHARFORMAT. All capitalized terms not otherwise defined herein shall have the meanings ascribed to such terms in the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Regeneron and CytomX find it in their respective interests to amend the Agreement to clarify certain terms related to the FTE Rate;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foregoing and the agreements below, and for other good and valuable consideration, the receipt and sufficiency of which are hereby acknowledged, the Parties hereby agree as follows: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 Section 1.51 of the Agreement shall be deleted in its entirety and replaced with the following new Section 1.51:</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1.51 </w:t>
      </w:r>
      <w:r>
        <w:rPr>
          <w:rFonts w:ascii="Times New Roman" w:hAnsi="Times New Roman"/>
          <w:color w:val="000000"/>
          <w:sz w:val="20"/>
        </w:rPr>
        <w:t>“</w:t>
      </w:r>
      <w:r>
        <w:rPr>
          <w:rFonts w:ascii="Times New Roman" w:hAnsi="Times New Roman"/>
          <w:b/>
          <w:color w:val="000000"/>
          <w:sz w:val="24"/>
        </w:rPr>
        <w:t>FTE Rate</w:t>
      </w:r>
      <w:r>
        <w:rPr>
          <w:rFonts w:ascii="Times New Roman" w:hAnsi="Times New Roman"/>
          <w:color w:val="000000"/>
          <w:sz w:val="20"/>
        </w:rPr>
        <w:t xml:space="preserve">” </w:t>
      </w:r>
      <w:r>
        <w:rPr>
          <w:rFonts w:ascii="Times New Roman" w:hAnsi="Times New Roman"/>
          <w:color w:val="000000"/>
          <w:sz w:val="24"/>
        </w:rPr>
        <w:t>means (i) for the period commencing on the Effective Date and ending on December 31, 2023, [***] per FTE per year, and (ii) for each Calendar Year thereafter, the FTE Rate shall be adjusted as of January 1, [***] and annually thereafter to reflect any year-to-year percentage change in the U.S. CPI for the twelve (12) month period ending June 30 of the prior Calendar Year preceding the Calendar Year for which the adjustment is being made (where Consumer Price Index or CPI means the Consumer Price Index - Urban Wage Earners and Clerical Workers, US City Average, All Items, 1982-84=100, published by the United States Department of Labor, Bureau of Labor Statistics (or its successor equivalent index) (e.g., for the FTE Rate change commencing January 1, [***], the published change in CPI from June 30, [***] to June 30, [***] shall be used as set forth in Exhibit A to this Amendment). For clarity, the FTE Rate is [***].</w:t>
      </w:r>
    </w:p>
    <w:p>
      <w:pPr>
        <w:pStyle w:val="TextBody"/>
        <w:bidi w:val="0"/>
        <w:jc w:val="both"/>
        <w:rPr/>
      </w:pPr>
      <w:r>
        <w:rPr/>
        <w:t> </w:t>
      </w:r>
    </w:p>
    <w:p>
      <w:pPr>
        <w:pStyle w:val="TextBody"/>
        <w:bidi w:val="0"/>
        <w:jc w:val="left"/>
        <w:rPr>
          <w:rFonts w:ascii="Cambria;serif" w:hAnsi="Cambria;serif"/>
          <w:color w:val="000000"/>
          <w:sz w:val="22"/>
        </w:rPr>
      </w:pPr>
      <w:r>
        <w:rPr>
          <w:rFonts w:ascii="Cambria;serif" w:hAnsi="Cambria;serif"/>
          <w:color w:val="000000"/>
          <w:sz w:val="22"/>
        </w:rPr>
        <w:t>1</w:t>
      </w:r>
    </w:p>
    <w:p>
      <w:pPr>
        <w:pStyle w:val="TextBody"/>
        <w:bidi w:val="0"/>
        <w:jc w:val="center"/>
        <w:rPr>
          <w:rFonts w:ascii="Cambria;serif" w:hAnsi="Cambria;serif"/>
          <w:color w:val="000000"/>
          <w:sz w:val="22"/>
        </w:rPr>
      </w:pPr>
      <w:r>
        <w:rPr>
          <w:rFonts w:ascii="Cambria;serif" w:hAnsi="Cambria;serif"/>
          <w:color w:val="000000"/>
          <w:sz w:val="22"/>
        </w:rPr>
        <w:t xml:space="preserve">Confidential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2. Except as specifically amended herein, all other terms of the Agreement shall remain in full force and effect. The Parties may execute this Amendment in counterparts, each of which is deemed an original, but all of which together constitute one and the same agreement. The Amendment may be executed or delivered electronically or by facsimile transmission, and the Parties hereby agree that any electronic, digital, or facsimile signatures hereto are legal, valid and enforceable as originals.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hereto have executed this Amendment No. 1 as of the Amendment No. 1 Effective Date.</w:t>
      </w:r>
    </w:p>
    <w:p>
      <w:pPr>
        <w:pStyle w:val="TextBody"/>
        <w:bidi w:val="0"/>
        <w:jc w:val="left"/>
        <w:rPr/>
      </w:pPr>
      <w:r>
        <w:rPr/>
        <w:t> </w:t>
      </w:r>
    </w:p>
    <w:tbl>
      <w:tblPr>
        <w:tblW w:w="13697" w:type="dxa"/>
        <w:jc w:val="left"/>
        <w:tblInd w:w="0" w:type="dxa"/>
        <w:tblLayout w:type="fixed"/>
        <w:tblCellMar>
          <w:top w:w="28" w:type="dxa"/>
          <w:left w:w="28" w:type="dxa"/>
          <w:bottom w:w="28" w:type="dxa"/>
          <w:right w:w="28" w:type="dxa"/>
        </w:tblCellMar>
      </w:tblPr>
      <w:tblGrid>
        <w:gridCol w:w="6916"/>
        <w:gridCol w:w="6781"/>
      </w:tblGrid>
      <w:tr>
        <w:trPr/>
        <w:tc>
          <w:tcPr>
            <w:tcW w:w="6916"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before="0" w:after="283"/>
              <w:jc w:val="left"/>
              <w:rPr>
                <w:sz w:val="4"/>
                <w:szCs w:val="4"/>
              </w:rPr>
            </w:pPr>
            <w:r>
              <w:rPr>
                <w:sz w:val="4"/>
                <w:szCs w:val="4"/>
              </w:rPr>
            </w:r>
          </w:p>
        </w:tc>
      </w:tr>
      <w:tr>
        <w:trPr/>
        <w:tc>
          <w:tcPr>
            <w:tcW w:w="691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Regeneron Pharmaceuticals, Inc.</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 xml:space="preserve">By: /s/ Kerry Reinertsen </w:t>
            </w:r>
          </w:p>
          <w:p>
            <w:pPr>
              <w:pStyle w:val="TableContents"/>
              <w:bidi w:val="0"/>
              <w:jc w:val="left"/>
              <w:rPr>
                <w:rFonts w:ascii="Times New Roman" w:hAnsi="Times New Roman"/>
                <w:color w:val="000000"/>
                <w:sz w:val="24"/>
              </w:rPr>
            </w:pPr>
            <w:r>
              <w:rPr>
                <w:rFonts w:ascii="Times New Roman" w:hAnsi="Times New Roman"/>
                <w:color w:val="000000"/>
                <w:sz w:val="24"/>
              </w:rPr>
              <w:t>Name: Kerry Reinertsen</w:t>
            </w:r>
          </w:p>
          <w:p>
            <w:pPr>
              <w:pStyle w:val="TableContents"/>
              <w:bidi w:val="0"/>
              <w:jc w:val="left"/>
              <w:rPr>
                <w:rFonts w:ascii="Times New Roman" w:hAnsi="Times New Roman"/>
                <w:color w:val="000000"/>
                <w:sz w:val="24"/>
              </w:rPr>
            </w:pPr>
            <w:r>
              <w:rPr>
                <w:rFonts w:ascii="Times New Roman" w:hAnsi="Times New Roman"/>
                <w:color w:val="000000"/>
                <w:sz w:val="24"/>
              </w:rPr>
              <w:t xml:space="preserve">Title: SVP, Strategic Alliances </w:t>
            </w:r>
          </w:p>
          <w:p>
            <w:pPr>
              <w:pStyle w:val="TableContents"/>
              <w:bidi w:val="0"/>
              <w:jc w:val="left"/>
              <w:rPr>
                <w:rFonts w:ascii="Times New Roman" w:hAnsi="Times New Roman"/>
                <w:color w:val="000000"/>
                <w:sz w:val="24"/>
              </w:rPr>
            </w:pPr>
            <w:r>
              <w:rPr>
                <w:rFonts w:ascii="Times New Roman" w:hAnsi="Times New Roman"/>
                <w:color w:val="000000"/>
                <w:sz w:val="24"/>
              </w:rPr>
              <w:t>Date: July 1, 2024</w:t>
            </w:r>
          </w:p>
          <w:p>
            <w:pPr>
              <w:pStyle w:val="TableContents"/>
              <w:bidi w:val="0"/>
              <w:jc w:val="left"/>
              <w:rPr/>
            </w:pPr>
            <w:r>
              <w:rPr/>
              <w:t> </w:t>
            </w:r>
          </w:p>
          <w:p>
            <w:pPr>
              <w:pStyle w:val="TableContents"/>
              <w:bidi w:val="0"/>
              <w:spacing w:before="0" w:after="283"/>
              <w:ind w:left="0" w:right="0" w:firstLine="5760"/>
              <w:jc w:val="left"/>
              <w:rPr>
                <w:rFonts w:ascii="Times New Roman" w:hAnsi="Times New Roman"/>
                <w:color w:val="000000"/>
                <w:sz w:val="24"/>
              </w:rPr>
            </w:pPr>
            <w:r>
              <w:rPr>
                <w:rFonts w:ascii="Times New Roman" w:hAnsi="Times New Roman"/>
                <w:color w:val="000000"/>
                <w:sz w:val="24"/>
              </w:rPr>
              <w:t>Approved as to legal form per Regeneron Policy #950</w:t>
            </w:r>
          </w:p>
        </w:tc>
        <w:tc>
          <w:tcPr>
            <w:tcW w:w="6781" w:type="dxa"/>
            <w:tcBorders/>
            <w:tcMar>
              <w:top w:w="0" w:type="dxa"/>
              <w:left w:w="0" w:type="dxa"/>
              <w:bottom w:w="0" w:type="dxa"/>
              <w:right w:w="0" w:type="dxa"/>
            </w:tcMar>
            <w:vAlign w:val="center"/>
          </w:tcPr>
          <w:p>
            <w:pPr>
              <w:pStyle w:val="TableContents"/>
              <w:pBdr/>
              <w:bidi w:val="0"/>
              <w:ind w:left="0" w:right="0" w:hanging="5760"/>
              <w:jc w:val="left"/>
              <w:rPr>
                <w:rFonts w:ascii="Times New Roman" w:hAnsi="Times New Roman"/>
                <w:b/>
                <w:color w:val="000000"/>
                <w:sz w:val="24"/>
              </w:rPr>
            </w:pPr>
            <w:r>
              <w:rPr>
                <w:rFonts w:ascii="Times New Roman" w:hAnsi="Times New Roman"/>
                <w:b/>
                <w:color w:val="000000"/>
                <w:sz w:val="24"/>
              </w:rPr>
              <w:t>CytomX Therapeutics, Inc.</w:t>
            </w:r>
          </w:p>
          <w:p>
            <w:pPr>
              <w:pStyle w:val="TableContents"/>
              <w:bidi w:val="0"/>
              <w:ind w:left="0" w:right="0" w:firstLine="5760"/>
              <w:jc w:val="left"/>
              <w:rPr/>
            </w:pPr>
            <w:r>
              <w:rPr/>
              <w:t> </w:t>
            </w:r>
          </w:p>
          <w:p>
            <w:pPr>
              <w:pStyle w:val="TableContents"/>
              <w:bidi w:val="0"/>
              <w:ind w:left="0" w:right="0" w:firstLine="5760"/>
              <w:jc w:val="left"/>
              <w:rPr/>
            </w:pPr>
            <w:r>
              <w:rPr/>
              <w:t> </w:t>
            </w:r>
          </w:p>
          <w:p>
            <w:pPr>
              <w:pStyle w:val="TableContents"/>
              <w:bidi w:val="0"/>
              <w:ind w:left="0" w:right="0" w:firstLine="5760"/>
              <w:jc w:val="left"/>
              <w:rPr>
                <w:rFonts w:ascii="Times New Roman" w:hAnsi="Times New Roman"/>
                <w:color w:val="000000"/>
                <w:sz w:val="24"/>
              </w:rPr>
            </w:pPr>
            <w:r>
              <w:rPr>
                <w:rFonts w:ascii="Times New Roman" w:hAnsi="Times New Roman"/>
                <w:color w:val="000000"/>
                <w:sz w:val="24"/>
              </w:rPr>
              <w:t xml:space="preserve">By: /s/ Lloyd Rowland </w:t>
            </w:r>
          </w:p>
          <w:p>
            <w:pPr>
              <w:pStyle w:val="TableContents"/>
              <w:bidi w:val="0"/>
              <w:ind w:left="0" w:right="0" w:firstLine="5760"/>
              <w:jc w:val="left"/>
              <w:rPr>
                <w:rFonts w:ascii="Times New Roman" w:hAnsi="Times New Roman"/>
                <w:color w:val="000000"/>
                <w:sz w:val="24"/>
              </w:rPr>
            </w:pPr>
            <w:r>
              <w:rPr>
                <w:rFonts w:ascii="Times New Roman" w:hAnsi="Times New Roman"/>
                <w:color w:val="000000"/>
                <w:sz w:val="24"/>
              </w:rPr>
              <w:t>Name: Lloyd Rowland</w:t>
            </w:r>
          </w:p>
          <w:p>
            <w:pPr>
              <w:pStyle w:val="TableContents"/>
              <w:bidi w:val="0"/>
              <w:ind w:left="0" w:right="0" w:firstLine="5760"/>
              <w:jc w:val="left"/>
              <w:rPr>
                <w:rFonts w:ascii="Times New Roman" w:hAnsi="Times New Roman"/>
                <w:color w:val="000000"/>
                <w:sz w:val="24"/>
              </w:rPr>
            </w:pPr>
            <w:r>
              <w:rPr>
                <w:rFonts w:ascii="Times New Roman" w:hAnsi="Times New Roman"/>
                <w:color w:val="000000"/>
                <w:sz w:val="24"/>
              </w:rPr>
              <w:t>Title: SVP, General Counsel</w:t>
            </w:r>
          </w:p>
          <w:p>
            <w:pPr>
              <w:pStyle w:val="TableContents"/>
              <w:bidi w:val="0"/>
              <w:ind w:left="0" w:right="0" w:firstLine="5760"/>
              <w:jc w:val="left"/>
              <w:rPr>
                <w:rFonts w:ascii="Times New Roman" w:hAnsi="Times New Roman"/>
                <w:color w:val="000000"/>
                <w:sz w:val="24"/>
              </w:rPr>
            </w:pPr>
            <w:r>
              <w:rPr>
                <w:rFonts w:ascii="Times New Roman" w:hAnsi="Times New Roman"/>
                <w:color w:val="000000"/>
                <w:sz w:val="24"/>
              </w:rPr>
              <w:t>Date: June 27, 2024</w:t>
            </w:r>
          </w:p>
          <w:p>
            <w:pPr>
              <w:pStyle w:val="TableContents"/>
              <w:bidi w:val="0"/>
              <w:spacing w:before="0" w:after="283"/>
              <w:ind w:left="0" w:right="0" w:firstLine="5760"/>
              <w:jc w:val="left"/>
              <w:rPr/>
            </w:pPr>
            <w:r>
              <w:rPr/>
              <w:t> </w:t>
            </w:r>
          </w:p>
        </w:tc>
      </w:tr>
    </w:tbl>
    <w:p>
      <w:pPr>
        <w:pStyle w:val="TextBody"/>
        <w:bidi w:val="0"/>
        <w:jc w:val="left"/>
        <w:rPr/>
      </w:pPr>
      <w:r>
        <w:rPr/>
        <w:t> </w:t>
      </w:r>
    </w:p>
    <w:tbl>
      <w:tblPr>
        <w:tblW w:w="6112" w:type="dxa"/>
        <w:jc w:val="left"/>
        <w:tblInd w:w="0" w:type="dxa"/>
        <w:tblLayout w:type="fixed"/>
        <w:tblCellMar>
          <w:top w:w="28" w:type="dxa"/>
          <w:left w:w="28" w:type="dxa"/>
          <w:bottom w:w="28" w:type="dxa"/>
          <w:right w:w="28" w:type="dxa"/>
        </w:tblCellMar>
      </w:tblPr>
      <w:tblGrid>
        <w:gridCol w:w="5921"/>
        <w:gridCol w:w="191"/>
      </w:tblGrid>
      <w:tr>
        <w:trPr/>
        <w:tc>
          <w:tcPr>
            <w:tcW w:w="5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21" w:type="dxa"/>
            <w:tcBorders/>
            <w:tcMar>
              <w:top w:w="0" w:type="dxa"/>
              <w:left w:w="0" w:type="dxa"/>
              <w:bottom w:w="0" w:type="dxa"/>
              <w:right w:w="0" w:type="dxa"/>
            </w:tcMar>
            <w:vAlign w:val="center"/>
          </w:tcPr>
          <w:p>
            <w:pPr>
              <w:pStyle w:val="TableContents"/>
              <w:bidi w:val="0"/>
              <w:spacing w:before="0" w:after="283"/>
              <w:ind w:left="0" w:right="0" w:firstLine="5760"/>
              <w:jc w:val="left"/>
              <w:rPr/>
            </w:pPr>
            <w:r>
              <w:rPr/>
              <w:t> </w:t>
            </w:r>
          </w:p>
        </w:tc>
        <w:tc>
          <w:tcPr>
            <w:tcW w:w="191" w:type="dxa"/>
            <w:tcBorders/>
            <w:tcMar>
              <w:top w:w="0" w:type="dxa"/>
              <w:left w:w="0" w:type="dxa"/>
              <w:bottom w:w="0" w:type="dxa"/>
              <w:right w:w="0" w:type="dxa"/>
            </w:tcMar>
            <w:vAlign w:val="center"/>
          </w:tcPr>
          <w:p>
            <w:pPr>
              <w:pStyle w:val="TableContents"/>
              <w:pBdr/>
              <w:bidi w:val="0"/>
              <w:spacing w:before="0" w:after="283"/>
              <w:ind w:left="0" w:right="0" w:hanging="5760"/>
              <w:jc w:val="left"/>
              <w:rPr/>
            </w:pPr>
            <w:r>
              <w:rPr/>
              <w:t> </w:t>
            </w:r>
          </w:p>
        </w:tc>
      </w:tr>
    </w:tbl>
    <w:p>
      <w:pPr>
        <w:pStyle w:val="TextBody"/>
        <w:bidi w:val="0"/>
        <w:spacing w:before="0" w:after="200"/>
        <w:jc w:val="left"/>
        <w:rPr/>
      </w:pPr>
      <w:r>
        <w:rPr/>
        <w:t> </w:t>
      </w:r>
    </w:p>
    <w:p>
      <w:pPr>
        <w:pStyle w:val="TextBody"/>
        <w:bidi w:val="0"/>
        <w:jc w:val="left"/>
        <w:rPr/>
      </w:pPr>
      <w:r>
        <w:rPr/>
        <w:t> </w:t>
      </w:r>
    </w:p>
    <w:p>
      <w:pPr>
        <w:pStyle w:val="TextBody"/>
        <w:bidi w:val="0"/>
        <w:jc w:val="left"/>
        <w:rPr>
          <w:rFonts w:ascii="Cambria;serif" w:hAnsi="Cambria;serif"/>
          <w:color w:val="000000"/>
          <w:sz w:val="22"/>
        </w:rPr>
      </w:pPr>
      <w:r>
        <w:rPr>
          <w:rFonts w:ascii="Cambria;serif" w:hAnsi="Cambria;serif"/>
          <w:color w:val="000000"/>
          <w:sz w:val="22"/>
        </w:rPr>
        <w:t>2</w:t>
      </w:r>
    </w:p>
    <w:p>
      <w:pPr>
        <w:pStyle w:val="TextBody"/>
        <w:bidi w:val="0"/>
        <w:jc w:val="center"/>
        <w:rPr>
          <w:rFonts w:ascii="Cambria;serif" w:hAnsi="Cambria;serif"/>
          <w:color w:val="000000"/>
          <w:sz w:val="22"/>
        </w:rPr>
      </w:pPr>
      <w:r>
        <w:rPr>
          <w:rFonts w:ascii="Cambria;serif" w:hAnsi="Cambria;serif"/>
          <w:color w:val="000000"/>
          <w:sz w:val="22"/>
        </w:rPr>
        <w:t xml:space="preserve">Confidential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00"/>
        <w:jc w:val="left"/>
        <w:rPr/>
      </w:pPr>
      <w:r>
        <w:rPr/>
        <w:t> </w:t>
      </w:r>
    </w:p>
    <w:p>
      <w:pPr>
        <w:pStyle w:val="TextBody"/>
        <w:bidi w:val="0"/>
        <w:spacing w:before="0" w:after="200"/>
        <w:jc w:val="center"/>
        <w:rPr>
          <w:rFonts w:ascii="Times New Roman" w:hAnsi="Times New Roman"/>
          <w:color w:val="000000"/>
          <w:sz w:val="24"/>
        </w:rPr>
      </w:pPr>
      <w:r>
        <w:rPr>
          <w:rFonts w:ascii="Times New Roman" w:hAnsi="Times New Roman"/>
          <w:color w:val="000000"/>
          <w:sz w:val="24"/>
        </w:rPr>
        <w:t>[***]</w:t>
      </w:r>
    </w:p>
    <w:p>
      <w:pPr>
        <w:pStyle w:val="TextBody"/>
        <w:bidi w:val="0"/>
        <w:spacing w:before="0" w:after="200"/>
        <w:jc w:val="left"/>
        <w:rPr/>
      </w:pPr>
      <w:r>
        <w:rPr/>
        <w:t> </w:t>
      </w:r>
    </w:p>
    <w:p>
      <w:pPr>
        <w:pStyle w:val="TextBody"/>
        <w:bidi w:val="0"/>
        <w:jc w:val="left"/>
        <w:rPr>
          <w:rFonts w:ascii="Cambria;serif" w:hAnsi="Cambria;serif"/>
          <w:color w:val="000000"/>
          <w:sz w:val="22"/>
        </w:rPr>
      </w:pPr>
      <w:r>
        <w:rPr>
          <w:rFonts w:ascii="Cambria;serif" w:hAnsi="Cambria;serif"/>
          <w:color w:val="000000"/>
          <w:sz w:val="22"/>
        </w:rPr>
        <w:t>3</w:t>
      </w:r>
    </w:p>
    <w:p>
      <w:pPr>
        <w:pStyle w:val="TextBody"/>
        <w:bidi w:val="0"/>
        <w:jc w:val="center"/>
        <w:rPr>
          <w:rFonts w:ascii="Cambria;serif" w:hAnsi="Cambria;serif"/>
          <w:color w:val="000000"/>
          <w:sz w:val="22"/>
        </w:rPr>
      </w:pPr>
      <w:r>
        <w:rPr>
          <w:rFonts w:ascii="Cambria;serif" w:hAnsi="Cambria;serif"/>
          <w:color w:val="000000"/>
          <w:sz w:val="22"/>
        </w:rPr>
        <w:t xml:space="preserve">Confidential </w:t>
      </w:r>
    </w:p>
    <w:p>
      <w:pPr>
        <w:pStyle w:val="HorizontalLine"/>
        <w:pBdr>
          <w:bottom w:val="double" w:sz="2" w:space="0" w:color="808080"/>
        </w:pBdr>
        <w:bidi w:val="0"/>
        <w:spacing w:before="0" w:after="283"/>
        <w:jc w:val="left"/>
        <w:rPr/>
      </w:pPr>
      <w:r>
        <w:rPr/>
      </w:r>
    </w:p>
    <w:p>
      <w:pPr>
        <w:pStyle w:val="TextBody"/>
        <w:bidi w:val="0"/>
        <w:jc w:val="left"/>
        <w:rPr/>
      </w:pPr>
      <w:bookmarkStart w:id="21" w:name="ctmx-ex31_1.htm"/>
      <w:bookmarkStart w:id="22" w:name="ksctmx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Sean A. McCarthy, Chief Executive Officer of CytomX Therapeutics, Inc.,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CytomX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70" w:type="dxa"/>
        <w:jc w:val="left"/>
        <w:tblInd w:w="0" w:type="dxa"/>
        <w:tblLayout w:type="fixed"/>
        <w:tblCellMar>
          <w:top w:w="28" w:type="dxa"/>
          <w:left w:w="28" w:type="dxa"/>
          <w:bottom w:w="28" w:type="dxa"/>
          <w:right w:w="28" w:type="dxa"/>
        </w:tblCellMar>
      </w:tblPr>
      <w:tblGrid>
        <w:gridCol w:w="1846"/>
        <w:gridCol w:w="146"/>
        <w:gridCol w:w="631"/>
        <w:gridCol w:w="235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A. McCarthy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5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A. McCarthy, D. Phil.</w:t>
            </w:r>
          </w:p>
        </w:tc>
        <w:tc>
          <w:tcPr>
            <w:tcW w:w="191" w:type="dxa"/>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5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c>
          <w:tcPr>
            <w:tcW w:w="191" w:type="dxa"/>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235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ctmx-ex31_2.htm"/>
      <w:bookmarkStart w:id="24" w:name="ksctmx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Christopher W. Ogden, Chief Financial Officer of CytomX Therapeutics, Inc.,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CytomX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75" w:type="dxa"/>
        <w:jc w:val="left"/>
        <w:tblInd w:w="0" w:type="dxa"/>
        <w:tblLayout w:type="fixed"/>
        <w:tblCellMar>
          <w:top w:w="28" w:type="dxa"/>
          <w:left w:w="28" w:type="dxa"/>
          <w:bottom w:w="28" w:type="dxa"/>
          <w:right w:w="28" w:type="dxa"/>
        </w:tblCellMar>
      </w:tblPr>
      <w:tblGrid>
        <w:gridCol w:w="1846"/>
        <w:gridCol w:w="146"/>
        <w:gridCol w:w="631"/>
        <w:gridCol w:w="216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W. Ogden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6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W. Ogden</w:t>
            </w:r>
          </w:p>
        </w:tc>
        <w:tc>
          <w:tcPr>
            <w:tcW w:w="191" w:type="dxa"/>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6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c>
          <w:tcPr>
            <w:tcW w:w="191" w:type="dxa"/>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2161"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ctmx-ex32_1.htm"/>
      <w:bookmarkStart w:id="26" w:name="ksctmxex32_1"/>
      <w:bookmarkEnd w:id="25"/>
      <w:bookmarkEnd w:id="26"/>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br/>
        <w:t>18 U.S.C. SECTION 1350,</w:t>
        <w:br/>
        <w:t>AS ADOPTED PURSUANT TO</w:t>
        <w:br/>
        <w:t>SECTION 906 OF THE SARBANES-OXLEY ACT OF 2002</w:t>
      </w:r>
    </w:p>
    <w:p>
      <w:pPr>
        <w:pStyle w:val="TextBody"/>
        <w:bidi w:val="0"/>
        <w:jc w:val="left"/>
        <w:rPr>
          <w:rFonts w:ascii="Times New Roman" w:hAnsi="Times New Roman"/>
          <w:sz w:val="20"/>
        </w:rPr>
      </w:pPr>
      <w:r>
        <w:rPr>
          <w:rFonts w:ascii="Times New Roman" w:hAnsi="Times New Roman"/>
          <w:color w:val="000000"/>
          <w:sz w:val="20"/>
        </w:rPr>
        <w:t>In connection with the Quarterly Report of CytomX Therapeutics, Inc. (the “</w:t>
      </w:r>
      <w:r>
        <w:rPr>
          <w:rFonts w:ascii="Times New Roman" w:hAnsi="Times New Roman"/>
          <w:color w:val="000000"/>
          <w:sz w:val="20"/>
          <w:u w:val="single"/>
        </w:rPr>
        <w:t>Company</w:t>
      </w:r>
      <w:r>
        <w:rPr>
          <w:rFonts w:ascii="Times New Roman" w:hAnsi="Times New Roman"/>
          <w:color w:val="000000"/>
          <w:sz w:val="20"/>
        </w:rPr>
        <w:t>”) on Form 10-Q for the quarter ended June 30, 2024,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Sean A. McCarthy, Chief Executive Officer of the Company, certify, pursuant to 18 U.S.C. Section 1350, as adopted pursuant to Section 906 of the Sarbanes-Oxley Act of 2002 (the “</w:t>
      </w:r>
      <w:r>
        <w:rPr>
          <w:rFonts w:ascii="Times New Roman" w:hAnsi="Times New Roman"/>
          <w:color w:val="000000"/>
          <w:sz w:val="20"/>
          <w:u w:val="single"/>
        </w:rPr>
        <w:t>Act</w:t>
      </w:r>
      <w:r>
        <w:rPr>
          <w:rFonts w:ascii="Times New Roman" w:hAnsi="Times New Roman"/>
          <w:color w:val="000000"/>
          <w:sz w:val="20"/>
        </w:rPr>
        <w:t xml:space="preserve">”),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5170" w:type="dxa"/>
        <w:jc w:val="left"/>
        <w:tblInd w:w="0" w:type="dxa"/>
        <w:tblLayout w:type="fixed"/>
        <w:tblCellMar>
          <w:top w:w="28" w:type="dxa"/>
          <w:left w:w="28" w:type="dxa"/>
          <w:bottom w:w="28" w:type="dxa"/>
          <w:right w:w="28" w:type="dxa"/>
        </w:tblCellMar>
      </w:tblPr>
      <w:tblGrid>
        <w:gridCol w:w="1846"/>
        <w:gridCol w:w="146"/>
        <w:gridCol w:w="631"/>
        <w:gridCol w:w="235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A. McCarthy</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A. McCarthy, D. Phil.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tmx-ex32_2.htm"/>
      <w:bookmarkStart w:id="28" w:name="ksctmxex32_2"/>
      <w:bookmarkEnd w:id="27"/>
      <w:bookmarkEnd w:id="28"/>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br/>
        <w:t>18 U.S.C. SECTION 1350,</w:t>
        <w:br/>
        <w:t>AS ADOPTED PURSUANT TO</w:t>
        <w:br/>
        <w:t>SECTION 906 OF THE SARBANES-OXLEY ACT OF 2002</w:t>
      </w:r>
    </w:p>
    <w:p>
      <w:pPr>
        <w:pStyle w:val="TextBody"/>
        <w:bidi w:val="0"/>
        <w:jc w:val="left"/>
        <w:rPr>
          <w:rFonts w:ascii="Times New Roman" w:hAnsi="Times New Roman"/>
          <w:sz w:val="20"/>
        </w:rPr>
      </w:pPr>
      <w:r>
        <w:rPr>
          <w:rFonts w:ascii="Times New Roman" w:hAnsi="Times New Roman"/>
          <w:color w:val="000000"/>
          <w:sz w:val="20"/>
        </w:rPr>
        <w:t>In connection with the Quarterly Report of CytomX Therapeutics, Inc. (the “</w:t>
      </w:r>
      <w:r>
        <w:rPr>
          <w:rFonts w:ascii="Times New Roman" w:hAnsi="Times New Roman"/>
          <w:color w:val="000000"/>
          <w:sz w:val="20"/>
          <w:u w:val="single"/>
        </w:rPr>
        <w:t>Company</w:t>
      </w:r>
      <w:r>
        <w:rPr>
          <w:rFonts w:ascii="Times New Roman" w:hAnsi="Times New Roman"/>
          <w:color w:val="000000"/>
          <w:sz w:val="20"/>
        </w:rPr>
        <w:t>”) on Form 10-Q for the quarter ended June 30, 2024,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Christopher W. Ogden, Chief Financial Officer of the Company, certify, pursuant to 18 U.S.C. Section 1350, as adopted pursuant to Section 906 of the Sarbanes-Oxley Act of 2002 (the “</w:t>
      </w:r>
      <w:r>
        <w:rPr>
          <w:rFonts w:ascii="Times New Roman" w:hAnsi="Times New Roman"/>
          <w:color w:val="000000"/>
          <w:sz w:val="20"/>
          <w:u w:val="single"/>
        </w:rPr>
        <w:t>Act</w:t>
      </w:r>
      <w:r>
        <w:rPr>
          <w:rFonts w:ascii="Times New Roman" w:hAnsi="Times New Roman"/>
          <w:color w:val="000000"/>
          <w:sz w:val="20"/>
        </w:rPr>
        <w:t xml:space="preserve">”),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975" w:type="dxa"/>
        <w:jc w:val="left"/>
        <w:tblInd w:w="0" w:type="dxa"/>
        <w:tblLayout w:type="fixed"/>
        <w:tblCellMar>
          <w:top w:w="28" w:type="dxa"/>
          <w:left w:w="28" w:type="dxa"/>
          <w:bottom w:w="28" w:type="dxa"/>
          <w:right w:w="28" w:type="dxa"/>
        </w:tblCellMar>
      </w:tblPr>
      <w:tblGrid>
        <w:gridCol w:w="1846"/>
        <w:gridCol w:w="146"/>
        <w:gridCol w:w="631"/>
        <w:gridCol w:w="216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W. Ogden</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W. Ogden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01989/000119312524141699/d816353d8k.htm" TargetMode="External"/><Relationship Id="rId3" Type="http://schemas.openxmlformats.org/officeDocument/2006/relationships/hyperlink" Target="https://www.sec.gov/ix?doc=/Archives/edgar/data/0001501989/000119312524075211/d803852d8k.htm" TargetMode="External"/><Relationship Id="rId4" Type="http://schemas.openxmlformats.org/officeDocument/2006/relationships/hyperlink" Target="https://www.sec.gov/Archives/edgar/data/0001501989/000119312515329662/d948537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57276</Words>
  <Characters>322120</Characters>
  <CharactersWithSpaces>379988</CharactersWithSpaces>
  <Paragraphs>6009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