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40" w:lineRule="exact"/>
        <w:rPr>
          <w:sz w:val="24"/>
          <w:szCs w:val="24"/>
          <w:color w:val="auto"/>
        </w:rPr>
      </w:pPr>
    </w:p>
    <w:p>
      <w:pPr>
        <w:ind w:left="39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67310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CytomX Therapeutics,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940" w:type="dxa"/>
            <w:vAlign w:val="bottom"/>
            <w:gridSpan w:val="3"/>
          </w:tcPr>
          <w:p>
            <w:pPr>
              <w:jc w:val="center"/>
              <w:ind w:left="1604"/>
              <w:spacing w:after="0"/>
              <w:rPr>
                <w:sz w:val="20"/>
                <w:szCs w:val="20"/>
                <w:color w:val="auto"/>
              </w:rPr>
            </w:pPr>
            <w:r>
              <w:rPr>
                <w:rFonts w:ascii="Arial" w:cs="Arial" w:eastAsia="Arial" w:hAnsi="Arial"/>
                <w:sz w:val="16"/>
                <w:szCs w:val="16"/>
                <w:b w:val="1"/>
                <w:bCs w:val="1"/>
                <w:color w:val="auto"/>
                <w:w w:val="93"/>
              </w:rPr>
              <w:t>Delaware</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gridSpan w:val="3"/>
          </w:tcPr>
          <w:p>
            <w:pPr>
              <w:jc w:val="right"/>
              <w:ind w:right="2325"/>
              <w:spacing w:after="0"/>
              <w:rPr>
                <w:sz w:val="20"/>
                <w:szCs w:val="20"/>
                <w:color w:val="auto"/>
              </w:rPr>
            </w:pPr>
            <w:r>
              <w:rPr>
                <w:rFonts w:ascii="Arial" w:cs="Arial" w:eastAsia="Arial" w:hAnsi="Arial"/>
                <w:sz w:val="16"/>
                <w:szCs w:val="16"/>
                <w:b w:val="1"/>
                <w:bCs w:val="1"/>
                <w:color w:val="auto"/>
              </w:rPr>
              <w:t>27-3521219</w:t>
            </w:r>
          </w:p>
        </w:tc>
        <w:tc>
          <w:tcPr>
            <w:tcW w:w="0" w:type="dxa"/>
            <w:vAlign w:val="bottom"/>
          </w:tcPr>
          <w:p>
            <w:pPr>
              <w:spacing w:after="0"/>
              <w:rPr>
                <w:sz w:val="1"/>
                <w:szCs w:val="1"/>
                <w:color w:val="auto"/>
              </w:rPr>
            </w:pPr>
          </w:p>
        </w:tc>
      </w:tr>
      <w:tr>
        <w:trPr>
          <w:trHeight w:val="149"/>
        </w:trPr>
        <w:tc>
          <w:tcPr>
            <w:tcW w:w="3940" w:type="dxa"/>
            <w:vAlign w:val="bottom"/>
            <w:gridSpan w:val="3"/>
          </w:tcPr>
          <w:p>
            <w:pPr>
              <w:jc w:val="center"/>
              <w:ind w:left="1604"/>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gridSpan w:val="2"/>
          </w:tcPr>
          <w:p>
            <w:pPr>
              <w:jc w:val="center"/>
              <w:ind w:right="2125"/>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40" w:type="dxa"/>
            <w:vAlign w:val="bottom"/>
            <w:gridSpan w:val="3"/>
          </w:tcPr>
          <w:p>
            <w:pPr>
              <w:jc w:val="center"/>
              <w:ind w:left="1604"/>
              <w:spacing w:after="0"/>
              <w:rPr>
                <w:sz w:val="20"/>
                <w:szCs w:val="20"/>
                <w:color w:val="auto"/>
              </w:rPr>
            </w:pPr>
            <w:r>
              <w:rPr>
                <w:rFonts w:ascii="Arial" w:cs="Arial" w:eastAsia="Arial" w:hAnsi="Arial"/>
                <w:sz w:val="14"/>
                <w:szCs w:val="14"/>
                <w:b w:val="1"/>
                <w:bCs w:val="1"/>
                <w:color w:val="auto"/>
                <w:w w:val="93"/>
              </w:rPr>
              <w:t>incorporation or organization)</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0" w:type="dxa"/>
            <w:vAlign w:val="bottom"/>
            <w:gridSpan w:val="2"/>
          </w:tcPr>
          <w:p>
            <w:pPr>
              <w:jc w:val="center"/>
              <w:ind w:right="2125"/>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6900" w:type="dxa"/>
            <w:vAlign w:val="bottom"/>
            <w:gridSpan w:val="8"/>
          </w:tcPr>
          <w:p>
            <w:pPr>
              <w:jc w:val="center"/>
              <w:ind w:right="1280"/>
              <w:spacing w:after="0"/>
              <w:rPr>
                <w:sz w:val="20"/>
                <w:szCs w:val="20"/>
                <w:color w:val="auto"/>
              </w:rPr>
            </w:pPr>
            <w:r>
              <w:rPr>
                <w:rFonts w:ascii="Arial" w:cs="Arial" w:eastAsia="Arial" w:hAnsi="Arial"/>
                <w:sz w:val="16"/>
                <w:szCs w:val="16"/>
                <w:b w:val="1"/>
                <w:bCs w:val="1"/>
                <w:color w:val="auto"/>
                <w:w w:val="90"/>
              </w:rPr>
              <w:t>151 Oyster Point Boulevard, Suite 400</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940" w:type="dxa"/>
            <w:vAlign w:val="bottom"/>
            <w:gridSpan w:val="3"/>
          </w:tcPr>
          <w:p>
            <w:pPr>
              <w:jc w:val="center"/>
              <w:ind w:left="1604"/>
              <w:spacing w:after="0"/>
              <w:rPr>
                <w:sz w:val="20"/>
                <w:szCs w:val="20"/>
                <w:color w:val="auto"/>
              </w:rPr>
            </w:pPr>
            <w:r>
              <w:rPr>
                <w:rFonts w:ascii="Arial" w:cs="Arial" w:eastAsia="Arial" w:hAnsi="Arial"/>
                <w:sz w:val="16"/>
                <w:szCs w:val="16"/>
                <w:b w:val="1"/>
                <w:bCs w:val="1"/>
                <w:color w:val="auto"/>
                <w:w w:val="91"/>
              </w:rPr>
              <w:t>South San Francisco, California</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gridSpan w:val="3"/>
          </w:tcPr>
          <w:p>
            <w:pPr>
              <w:jc w:val="right"/>
              <w:ind w:right="2525"/>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186"/>
        </w:trPr>
        <w:tc>
          <w:tcPr>
            <w:tcW w:w="6900" w:type="dxa"/>
            <w:vAlign w:val="bottom"/>
            <w:gridSpan w:val="8"/>
          </w:tcPr>
          <w:p>
            <w:pPr>
              <w:jc w:val="center"/>
              <w:ind w:right="1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tcPr>
          <w:p>
            <w:pPr>
              <w:jc w:val="center"/>
              <w:ind w:right="234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3"/>
          </w:tcPr>
          <w:p>
            <w:pPr>
              <w:jc w:val="center"/>
              <w:ind w:left="785"/>
              <w:spacing w:after="0"/>
              <w:rPr>
                <w:sz w:val="20"/>
                <w:szCs w:val="20"/>
                <w:color w:val="auto"/>
              </w:rPr>
            </w:pPr>
            <w:r>
              <w:rPr>
                <w:rFonts w:ascii="Arial" w:cs="Arial" w:eastAsia="Arial" w:hAnsi="Arial"/>
                <w:sz w:val="16"/>
                <w:szCs w:val="16"/>
                <w:b w:val="1"/>
                <w:bCs w:val="1"/>
                <w:color w:val="auto"/>
                <w:w w:val="93"/>
              </w:rPr>
              <w:t>(650) 515-3185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940" w:type="dxa"/>
            <w:vAlign w:val="bottom"/>
            <w:gridSpan w:val="3"/>
          </w:tcPr>
          <w:p>
            <w:pPr>
              <w:jc w:val="center"/>
              <w:ind w:right="419"/>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Trading Symbol(s)</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 xml:space="preserve">Common Stock, </w:t>
            </w:r>
            <w:r>
              <w:rPr>
                <w:rFonts w:ascii="Arial" w:cs="Arial" w:eastAsia="Arial" w:hAnsi="Arial"/>
                <w:sz w:val="18"/>
                <w:szCs w:val="18"/>
                <w:b w:val="1"/>
                <w:bCs w:val="1"/>
                <w:color w:val="auto"/>
                <w:w w:val="91"/>
              </w:rPr>
              <w:t>$0.00001</w:t>
            </w:r>
            <w:r>
              <w:rPr>
                <w:rFonts w:ascii="Arial" w:cs="Arial" w:eastAsia="Arial" w:hAnsi="Arial"/>
                <w:sz w:val="16"/>
                <w:szCs w:val="16"/>
                <w:b w:val="1"/>
                <w:bCs w:val="1"/>
                <w:color w:val="auto"/>
                <w:w w:val="91"/>
              </w:rPr>
              <w:t xml:space="preserve"> par value</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rPr>
              <w:t>CTMX</w:t>
            </w:r>
          </w:p>
        </w:tc>
        <w:tc>
          <w:tcPr>
            <w:tcW w:w="6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r>
        <w:trPr>
          <w:trHeight w:val="278"/>
        </w:trPr>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20" w:type="dxa"/>
            <w:vAlign w:val="bottom"/>
            <w:gridSpan w:val="10"/>
          </w:tcPr>
          <w:p>
            <w:pPr>
              <w:jc w:val="center"/>
              <w:ind w:right="3605"/>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9"/>
              </w:rPr>
              <w:t>None</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820" w:type="dxa"/>
            <w:vAlign w:val="bottom"/>
            <w:gridSpan w:val="5"/>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80" w:type="dxa"/>
            <w:vAlign w:val="bottom"/>
            <w:gridSpan w:val="2"/>
          </w:tcPr>
          <w:p>
            <w:pPr>
              <w:spacing w:after="0"/>
              <w:rPr>
                <w:sz w:val="6"/>
                <w:szCs w:val="6"/>
                <w:color w:val="auto"/>
              </w:rPr>
            </w:pPr>
          </w:p>
        </w:tc>
        <w:tc>
          <w:tcPr>
            <w:tcW w:w="60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920" w:type="dxa"/>
            <w:vAlign w:val="bottom"/>
            <w:gridSpan w:val="3"/>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68"/>
        </w:trPr>
        <w:tc>
          <w:tcPr>
            <w:tcW w:w="6900" w:type="dxa"/>
            <w:vAlign w:val="bottom"/>
            <w:gridSpan w:val="8"/>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00" w:type="dxa"/>
            <w:vAlign w:val="bottom"/>
            <w:vMerge w:val="continue"/>
          </w:tcPr>
          <w:p>
            <w:pPr>
              <w:spacing w:after="0"/>
              <w:rPr>
                <w:sz w:val="23"/>
                <w:szCs w:val="23"/>
                <w:color w:val="auto"/>
              </w:rPr>
            </w:pPr>
          </w:p>
        </w:tc>
        <w:tc>
          <w:tcPr>
            <w:tcW w:w="39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0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0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920" w:type="dxa"/>
            <w:vAlign w:val="bottom"/>
            <w:gridSpan w:val="3"/>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72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72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020" w:type="dxa"/>
            <w:vAlign w:val="bottom"/>
          </w:tcPr>
          <w:p>
            <w:pPr>
              <w:ind w:left="272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jc w:val="both"/>
        <w:ind w:right="16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right="120"/>
        <w:spacing w:after="0" w:line="234" w:lineRule="auto"/>
        <w:rPr>
          <w:sz w:val="20"/>
          <w:szCs w:val="20"/>
          <w:color w:val="auto"/>
        </w:rPr>
      </w:pPr>
      <w:r>
        <w:rPr>
          <w:rFonts w:ascii="Arial" w:cs="Arial" w:eastAsia="Arial" w:hAnsi="Arial"/>
          <w:sz w:val="14"/>
          <w:szCs w:val="14"/>
          <w:color w:val="auto"/>
        </w:rPr>
        <w:t>As of June 28, 2019, the last business day of the registrant’s most recently completed second fiscal quarter, the aggregate market value of the registrant’s common stock held by non-affiliates of the registrant was approximately $501.8 million, based on the closing price of the registrant’s common stock on the Nasdaq Global Select Market on June 28, 2019 of $11.22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2020, 45,566,551 shares of the registrant’s common stock, $0.00001 par value per share, were outstanding.</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20"/>
        <w:spacing w:after="0" w:line="253" w:lineRule="auto"/>
        <w:rPr>
          <w:sz w:val="20"/>
          <w:szCs w:val="20"/>
          <w:color w:val="auto"/>
        </w:rPr>
      </w:pPr>
      <w:r>
        <w:rPr>
          <w:rFonts w:ascii="Arial" w:cs="Arial" w:eastAsia="Arial" w:hAnsi="Arial"/>
          <w:sz w:val="14"/>
          <w:szCs w:val="14"/>
          <w:color w:val="auto"/>
        </w:rPr>
        <w:t>Portions of the registrant’s definitive proxy statement to be filed for its 2020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683895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40" w:type="dxa"/>
            <w:vAlign w:val="bottom"/>
            <w:gridSpan w:val="10"/>
          </w:tcPr>
          <w:p>
            <w:pPr>
              <w:jc w:val="center"/>
              <w:ind w:right="3600"/>
              <w:spacing w:after="0"/>
              <w:rPr>
                <w:sz w:val="20"/>
                <w:szCs w:val="20"/>
                <w:color w:val="auto"/>
              </w:rPr>
            </w:pPr>
            <w:r>
              <w:rPr>
                <w:rFonts w:ascii="Arial" w:cs="Arial" w:eastAsia="Arial" w:hAnsi="Arial"/>
                <w:sz w:val="18"/>
                <w:szCs w:val="18"/>
                <w:b w:val="1"/>
                <w:bCs w:val="1"/>
                <w:color w:val="auto"/>
              </w:rPr>
              <w:t>CYTOMX THERAPEUTICS, INC.</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40" w:type="dxa"/>
            <w:vAlign w:val="bottom"/>
            <w:gridSpan w:val="10"/>
          </w:tcPr>
          <w:p>
            <w:pPr>
              <w:jc w:val="center"/>
              <w:ind w:right="3600"/>
              <w:spacing w:after="0"/>
              <w:rPr>
                <w:sz w:val="20"/>
                <w:szCs w:val="20"/>
                <w:color w:val="auto"/>
              </w:rPr>
            </w:pPr>
            <w:r>
              <w:rPr>
                <w:rFonts w:ascii="Arial" w:cs="Arial" w:eastAsia="Arial" w:hAnsi="Arial"/>
                <w:sz w:val="18"/>
                <w:szCs w:val="18"/>
                <w:b w:val="1"/>
                <w:bCs w:val="1"/>
                <w:color w:val="auto"/>
                <w:w w:val="99"/>
              </w:rPr>
              <w:t>ANNUAL REPORT ON FORM 10-K</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8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91"/>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960" w:type="dxa"/>
            <w:vAlign w:val="bottom"/>
            <w:gridSpan w:val="21"/>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1A.</w:t>
            </w:r>
          </w:p>
        </w:tc>
        <w:tc>
          <w:tcPr>
            <w:tcW w:w="960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1B.</w:t>
            </w: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vMerge w:val="continue"/>
          </w:tcPr>
          <w:p>
            <w:pPr>
              <w:spacing w:after="0"/>
              <w:rPr>
                <w:sz w:val="24"/>
                <w:szCs w:val="24"/>
                <w:color w:val="auto"/>
              </w:rPr>
            </w:pPr>
          </w:p>
        </w:tc>
        <w:tc>
          <w:tcPr>
            <w:tcW w:w="960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Unresolved Staff Comments</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2.</w:t>
            </w:r>
          </w:p>
        </w:tc>
        <w:tc>
          <w:tcPr>
            <w:tcW w:w="2040" w:type="dxa"/>
            <w:vAlign w:val="bottom"/>
            <w:tcBorders>
              <w:top w:val="single" w:sz="8" w:color="0000EE"/>
            </w:tcBorders>
            <w:gridSpan w:val="1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Properties</w:t>
              </w:r>
            </w:hyperlink>
          </w:p>
        </w:tc>
        <w:tc>
          <w:tcPr>
            <w:tcW w:w="7560" w:type="dxa"/>
            <w:vAlign w:val="bottom"/>
            <w:gridSpan w:val="11"/>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3.</w:t>
            </w: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vMerge w:val="continue"/>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Legal Proceedings</w:t>
              </w:r>
            </w:hyperlink>
          </w:p>
        </w:tc>
        <w:tc>
          <w:tcPr>
            <w:tcW w:w="8260" w:type="dxa"/>
            <w:vAlign w:val="bottom"/>
            <w:gridSpan w:val="16"/>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4.</w:t>
            </w:r>
          </w:p>
        </w:tc>
        <w:tc>
          <w:tcPr>
            <w:tcW w:w="960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5.</w:t>
            </w:r>
          </w:p>
        </w:tc>
        <w:tc>
          <w:tcPr>
            <w:tcW w:w="81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Market for Registrant’s Common Equity, Related Stockholder Matters, and Issuer Purchases of Equity Securities</w:t>
              </w:r>
            </w:hyperlink>
          </w:p>
        </w:tc>
        <w:tc>
          <w:tcPr>
            <w:tcW w:w="148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Selected Financial Data</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7.</w:t>
            </w: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vMerge w:val="continue"/>
          </w:tcPr>
          <w:p>
            <w:pPr>
              <w:spacing w:after="0"/>
              <w:rPr>
                <w:sz w:val="24"/>
                <w:szCs w:val="24"/>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gridSpan w:val="4"/>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Quantitative and Qualitative Disclosures About Market Risk</w:t>
              </w:r>
            </w:hyperlink>
          </w:p>
        </w:tc>
        <w:tc>
          <w:tcPr>
            <w:tcW w:w="5240" w:type="dxa"/>
            <w:vAlign w:val="bottom"/>
            <w:gridSpan w:val="7"/>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8.</w:t>
            </w:r>
          </w:p>
        </w:tc>
        <w:tc>
          <w:tcPr>
            <w:tcW w:w="9600" w:type="dxa"/>
            <w:vAlign w:val="bottom"/>
            <w:gridSpan w:val="2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Financial Statements and Supplementary Data</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9.</w:t>
            </w: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vMerge w:val="continue"/>
          </w:tcPr>
          <w:p>
            <w:pPr>
              <w:spacing w:after="0"/>
              <w:rPr>
                <w:sz w:val="24"/>
                <w:szCs w:val="24"/>
                <w:color w:val="auto"/>
              </w:rPr>
            </w:pPr>
          </w:p>
        </w:tc>
        <w:tc>
          <w:tcPr>
            <w:tcW w:w="6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Changes in and Disagreements with Accountants on Accounting and Financial Disclosure</w:t>
              </w:r>
            </w:hyperlink>
          </w:p>
        </w:tc>
        <w:tc>
          <w:tcPr>
            <w:tcW w:w="3120" w:type="dxa"/>
            <w:vAlign w:val="bottom"/>
            <w:gridSpan w:val="3"/>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9A.</w:t>
            </w:r>
          </w:p>
        </w:tc>
        <w:tc>
          <w:tcPr>
            <w:tcW w:w="9600" w:type="dxa"/>
            <w:vAlign w:val="bottom"/>
            <w:gridSpan w:val="2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Controls and Procedures</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Other Information</w:t>
              </w:r>
            </w:hyperlink>
          </w:p>
        </w:tc>
        <w:tc>
          <w:tcPr>
            <w:tcW w:w="7840" w:type="dxa"/>
            <w:vAlign w:val="bottom"/>
            <w:gridSpan w:val="13"/>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PART III</w:t>
              </w:r>
            </w:hyperlink>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10.</w:t>
            </w:r>
          </w:p>
        </w:tc>
        <w:tc>
          <w:tcPr>
            <w:tcW w:w="59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Directors, Executive Officers of the Registrant and Corporate Governance Matters</w:t>
              </w:r>
            </w:hyperlink>
          </w:p>
        </w:tc>
        <w:tc>
          <w:tcPr>
            <w:tcW w:w="3660" w:type="dxa"/>
            <w:vAlign w:val="bottom"/>
            <w:gridSpan w:val="5"/>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11.</w:t>
            </w:r>
          </w:p>
        </w:tc>
        <w:tc>
          <w:tcPr>
            <w:tcW w:w="9600" w:type="dxa"/>
            <w:vAlign w:val="bottom"/>
            <w:gridSpan w:val="2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Executive Compensation</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12.</w:t>
            </w: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vMerge w:val="continue"/>
          </w:tcPr>
          <w:p>
            <w:pPr>
              <w:spacing w:after="0"/>
              <w:rPr>
                <w:sz w:val="24"/>
                <w:szCs w:val="24"/>
                <w:color w:val="auto"/>
              </w:rPr>
            </w:pP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Security Ownership of Certain Beneficial Owners and Management and Related Stockholder Matters</w:t>
              </w:r>
            </w:hyperlink>
          </w:p>
        </w:tc>
        <w:tc>
          <w:tcPr>
            <w:tcW w:w="2300" w:type="dxa"/>
            <w:vAlign w:val="bottom"/>
            <w:gridSpan w:val="2"/>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13.</w:t>
            </w:r>
          </w:p>
        </w:tc>
        <w:tc>
          <w:tcPr>
            <w:tcW w:w="9600" w:type="dxa"/>
            <w:vAlign w:val="bottom"/>
            <w:gridSpan w:val="2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Certain Relationships and Related Transactions, and Director Independence</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Principal Accounting Fees and Services</w:t>
              </w:r>
            </w:hyperlink>
          </w:p>
        </w:tc>
        <w:tc>
          <w:tcPr>
            <w:tcW w:w="4160" w:type="dxa"/>
            <w:vAlign w:val="bottom"/>
            <w:gridSpan w:val="6"/>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15.</w:t>
            </w: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30">
              <w:r>
                <w:rPr>
                  <w:rFonts w:ascii="Arial" w:cs="Arial" w:eastAsia="Arial" w:hAnsi="Arial"/>
                  <w:sz w:val="18"/>
                  <w:szCs w:val="18"/>
                  <w:color w:val="0000EE"/>
                  <w:w w:val="89"/>
                </w:rPr>
                <w:t>Exhibits and Financial Statement Schedules</w:t>
              </w:r>
            </w:hyperlink>
          </w:p>
        </w:tc>
        <w:tc>
          <w:tcPr>
            <w:tcW w:w="6440" w:type="dxa"/>
            <w:vAlign w:val="bottom"/>
            <w:gridSpan w:val="9"/>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b w:val="1"/>
                <w:bCs w:val="1"/>
                <w:color w:val="auto"/>
              </w:rPr>
              <w:t>ITEM 16.</w:t>
            </w:r>
          </w:p>
        </w:tc>
        <w:tc>
          <w:tcPr>
            <w:tcW w:w="9600" w:type="dxa"/>
            <w:vAlign w:val="bottom"/>
            <w:gridSpan w:val="22"/>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Form 10-K Summary</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Signatures</w:t>
              </w:r>
            </w:hyperlink>
          </w:p>
        </w:tc>
        <w:tc>
          <w:tcPr>
            <w:tcW w:w="8060" w:type="dxa"/>
            <w:vAlign w:val="bottom"/>
            <w:gridSpan w:val="15"/>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648"/>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1040" w:right="6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regulatory submissions, including Investigational New Drug (“IND”) applications, Clinical Trial Applications, New Drug Applications (“NDA”) and, Biologics License Applications (“BLA”);</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1040" w:right="38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or any collaborator’s ability to obtain and maintain intellectual property protection for our technologies and product candidates and our ability to operate our business without infringing, misappropriating or otherwise violating the intellectual property rights of others;</w:t>
      </w:r>
    </w:p>
    <w:p>
      <w:pPr>
        <w:spacing w:after="0" w:line="29"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Except where the context otherwise requires, in this Annual Report on Form 10-K, “we,” “us,” “our” and the “Company” refer to CytomX Therapeutics, Inc.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a clinical-stage, oncology-focused biopharmaceutical company with a vision of transforming lives with safer, more effective therapies. We are developing a novel class of investigational antibody therapeutics, based on our Probody® technology platform, for the treatment of cancer. Our innovative technology is designed to turn previously undruggable targets into druggable targets and to enable more effective combination therapies. Together with our partners, we have advanced five novel drug-candidates into clinical trials, three of which are in Phase 2 studies and two of which are in Phase 1 studies. We have strong industry partnerships with leading biotech and pharmaceutical companies. Our Probody therapeutic approach is designed to enable “conditional activation” of antibody-based drugs within cancer tissue to more specifically target the tumor microenvironment and minimize drug activity in healthy tissue and in circulation. We achieve conditional activation of antibodies by modifying them with a mask which blocks binding of the antibody to its target until the mask is removed. Mask removal occurs in cancer tissue when proteases, enzymes that are highly active in cancer but not normal tissue, selectively cleave the mask from the antibody, resulting in unmasked antibody activity in the tumor but not normal tissue. We believe this approach has the potential to develop clinically meaningful therapeutics and improve patient outcomes in three ways to improve patient outcomes: 1) by enhancing the “therapeutic window” for drug candidates, that is, the balance between their tolerability and activity; 2) by pursuing tumor targets that were previously considered “undruggable” due to their ubiquitous expression on normal tissues; and 3) by pursuing novel combination therapies that are poorly tolerated without using our Probody platform. We are developing a robust pipeline by leveraging our Probody platform to develop a product pipeline, shown below, of potential best-in-class immunotherapies against clinically validated targets and potential first-in-class therapeutics against novel, difficult to drug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186690</wp:posOffset>
            </wp:positionV>
            <wp:extent cx="5651500" cy="2221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150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CytomX Pipeline of Probody Therapeutics</w:t>
      </w:r>
    </w:p>
    <w:p>
      <w:pPr>
        <w:spacing w:after="0" w:line="2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broad Probody therapeutic technology platform and lead product candidates are supported by more than a decade of thorough scientific research and strong intellectual property. We have established a broad worldwide patent estate of more than 135 issued, owned and co-owned patents and more than 325 pending, owned and co-owned patent applications. We also have an exclusive license from University of California, Santa Barbara (“UCSB”) to three patent families covering screening tools to identify masks and substrates. We continue to conduct extensive research to create future generations of product candidates based on our Probody technology.</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Cancer is the second leading cause of mortality in the United States and accounts for nearly one in every five deaths. Over the last twenty years, a new paradigm of cancer treatment has emerged that is focused on more targeted therapies, including monoclonal antibody modalities, and combination therapies aimed at multiple targets. In 2018, half of the top 10 best-selling drugs on the market were monoclonal antibodies with new classes of monoclonal antibody-based therapeutics having also recently reached the market. These new classes include antibody-based immunotherapies, Antibody Drug Conjugates (“ADCs”), T-cell engaging bispecific antibodies, and Chimeric Antigen Receptor (“CAR”) based cellular therapies. We have demonstrated that our Probody therapeutic technology can be applied to many antibody modalities, including antibodies against immuno-oncology targets, ADCs, and T-cell engaging bispecific antibodies, and therefore we believe that significant opportunities exist for CytomX to develop and capture market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ind w:right="480"/>
        <w:spacing w:after="0" w:line="277" w:lineRule="auto"/>
        <w:rPr>
          <w:sz w:val="20"/>
          <w:szCs w:val="20"/>
          <w:color w:val="auto"/>
        </w:rPr>
      </w:pPr>
      <w:r>
        <w:rPr>
          <w:rFonts w:ascii="Arial" w:cs="Arial" w:eastAsia="Arial" w:hAnsi="Arial"/>
          <w:sz w:val="18"/>
          <w:szCs w:val="18"/>
          <w:color w:val="auto"/>
        </w:rPr>
        <w:t>share with safer and more effective anti-cancer treatments. We believe there may be a significant opportunity to utilize our Probody platform to localize antibody therapeutics to the tumor microenvironment, creating new classes of anti-cancer therapeutics.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 Owned Clinical Candidate Advancements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lead wholly owned product candidate is CX-072, a Probody therapeutic targeting programmed cell death ligand 1 (“PD-L1”), a clinically and commercially validated immuno-oncology target. Our vision for CX-072 is for this agent to become a novel and differentiated centerpiece for safer and more effective combination cancer therapies. In normal physiology, PD-L1 plays a role in suppressing the immune system in healthy tissue. Tumors can co-opt this inhibitory function by upregulating PD-L1 expression and evading anti-cancer immune surveillance. Inhibitors of the PD-L1 pathway have been designed and developed to restore anti-cancer immune surveillance resulting in anti-cancer activity and regulatory approval has been granted for several PD-L1 inhibitors. The related target, programmed cell death 1 (“PD-1”), functions in a similar manner to PD-L1 and several approved cancer therapies act on this target. Inhibitors of the PD-L1/PD-1 pathway have been approved for the treatment of many cancers including advanced melanoma, renal cell cancer, non-small cell lung cancer, bladder cancer and liver cancer. Additionally, PD-L1 and PD-1 inhibitors have become the centerpiece of many oncology combination therapies and continue to be studied in a wide range of new combination strategies. The combined commercial market for inhibitors of the PD-L1 and PD-1 pathways is predicted to exceed $45 billion by 2023.</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While PD-L1 and PD-1 inhibitors have been shown to augment the anti-cancer immune response to elicit deep and durable tumor responses, these agents can also cause undesirable and widespread activation of the immune system in healthy tissues, resulting in the emergence of immune-related toxicities, often necessitating steroid-based interventions and discontinuation of treatment, sometimes permanently. These toxicities can be more serious or severe when PD-L1 or PD-1 inhibitors are combined with other anti-cancer immune-based agents. Our PD-L1 Probody therapeutic, CX-072, is designed to uncouple the anti-cancer activity associated with PD-L1 inhibition from its associated autoimmune toxicities by selectively inhibiting PD-L1 in the tumor microenvironment, thereby minimizing engagement of the immune system in healthy tissue. At the 2019 annual meeting of the American Society of Clinical Oncology (“ASCO”) we presented clinical data showing the activity and tolerability of CX-072 monotherapy in a range of cancer types that supported the hypothesis that this agent could become a safer, more effective centerpiece of combination therapies. The reported activity of CX-072 was consistent with that expected from other PD inhibitors, including the observation of confirmed tumor responses, supporting our hypothesis that the antibody is selectively unmasked in the tumor microenvironment and has limited T-cell engagement in peripheral tissues. The safety findings of CX-072 were also favorable relative to other PD inhibitors with regard to immune-related adverse events.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preliminary data from our ongoing studies indicating clinical proof of concept for CX-072 and the Probody platform, we have recently elected to focus our further development of CX-072 on combination strategies. To date, we have conducted two Phase 1 clinical trials evaluating CX-072 in combination therapy. The first is CX-072 in combination with the anti-CTLA-4 antibody ipilimumab. Our Phase 1 data for the CX-072 plus ipilimumab combination was most recently updated in October 2019 and based on these data, in October 2019, we announced the initiation of the Phase 2 clinical study, PROCLAIM CX-072-002, evaluating the safety and anti-cancer activity of CX-072 plus ipilimumab in patients with relapsed or refractory melanoma. The second Phase 1 combination study initiated with CX-072 evaluated the combination of CX-072 with the BRAF inhibitor vemurafenib. We are no longer pursuing this combination. We are planning to initiate a new Phase 1 clinical trial in 2020 of CX-072 in combination with our second wholly owned product candidate, CX-2009.</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second wholly owned product candidate, CX-2009, is a Probody Drug Conjugate (“PDC”) directed against CD166, a novel drug target. PDCs are CytomX-designed Probody therapeutic versions of a class of drugs called ADCs, which are antibodies that have been conjugated to a small molecule cytotoxic agent via a chemical linker to maximize their potency. After decades of research and development by many companies, the ADC field has made significant progress in recent years and at least seven ADCs have been now approved for the treatment of cancer in the United States and elsewhere, including Kadcyla®, which targets HER2-positive metastatic breast cancer, Adcetris®, which targets CD30 in Classical Hodgkin Lymphoma and Mylotarg®, which targets CD33 for the treatment of Acute Myeloid Leukemia. However, to avoid target-related toxicity, traditional ADCs have historically been limited to targeting proteins that are expressed highly in tumors, but that are also absent or minimally expressed in healthy tissues. Very few cancer-associated proteins have this desired profile. Because our Probody therapeutics are designed to remain masked in circulation, and thereby minimize binding to normal tissues, we believe we can address a new class of targets with high tumor expression that have previously been considered undruggable because of high expression on normal tissues and predicted severe side effects. Our PDC approach has the potential to expand the utility of ADCs for the treatment of cancer to many targets in this novel class and CD166 is an example of this type of target. CX-2009 is our Probody therapeutic directed to CD166 and conjugated to the cytotoxic agent DM4. In April 2019, we presented updated clinical data from our Phase 1 clinical trial of CX-2009 monotherapy, showing single agent anti-cancer activity for CX-2009 and that it was generally well-tolerated. Based on our Phase 1 clinical data, in December 2019, we announced that we were initiating a Phase 2 expansion study of CX-2009 in patients with hormone receptor (ER, PR) positive, HER2-negative breast cancer.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Collaborative Partner Advancements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our wholly owned programs, we have entered into several strategic collaborations with leading oncology-focused pharmaceutical companies, such as AbbVie Inc., through its subsidiary AbbVie Ireland Unlimited Company (“AbbVie”), Amgen, Inc. (“Amgen”) and Bristol-Myers Squibb Company (“Bristol-Myers Squibb”). These collaborations are intended to advance additional product candidates into clinical development and potentially to the commercial market based on our Probody technology platform.</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most advanced product candidate from our partnerships is BMS-986249, an investigational CTLA-4 Probody therapeutic, which Bristol-Myers Squibb recently advanced into a randomized Phase 2 cohort expansion in patients with metastatic melanoma in combination with the PD-1 inhibitor nivolumab triggering, in February 2020, a $10.0 million milestone payment to us. In September 2019, Bristol-Myers Squibb initiated the dose escalation phase of a Phase 1/2a clinical trial of a second anti-CTLA-4 Probody, BMS-986288, based on a modified version of ipilimumab, administered as monotherapy and in combination with nivolumab in patients with selected advanced solid tumors. These collaborative programs with Bristol-Myers Squibb are designed to optimize the risk-benefit profile of CTLA-4-directed therapy.</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Throughout 2019, in partnership with AbbVie, we also continued to enroll and treat patients in PROCLAIM-CX-2029, a Phase 1/2 clinical study of CX-2029, a PDC targeting the highly expressed target, CD71. The CX-2029 program is intended to open a therapeutic window for CD71 which is widely considered to be a high potential but previously undruggable target. In July 2019, AbbVie also selected a second research target under our 2016 discovery collaboration and licensing agreement (the “Discovery Agreement”) to develop PDCs and we received a $10.0 million payment in connection with such selection.</w:t>
      </w:r>
    </w:p>
    <w:p>
      <w:pPr>
        <w:spacing w:after="0" w:line="15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In December 2019, we in-licensed exclusive worldwide development and commercial rights from ImmunoGen, Inc. (“ImmunoGen”) </w:t>
      </w:r>
      <w:r>
        <w:rPr>
          <w:rFonts w:ascii="Arial" w:cs="Arial" w:eastAsia="Arial" w:hAnsi="Arial"/>
          <w:sz w:val="16"/>
          <w:szCs w:val="16"/>
          <w:color w:val="333333"/>
        </w:rPr>
        <w:t>to a PDC targeting</w:t>
      </w:r>
      <w:r>
        <w:rPr>
          <w:rFonts w:ascii="Arial" w:cs="Arial" w:eastAsia="Arial" w:hAnsi="Arial"/>
          <w:sz w:val="16"/>
          <w:szCs w:val="16"/>
          <w:color w:val="auto"/>
        </w:rPr>
        <w:t xml:space="preserve"> </w:t>
      </w:r>
      <w:r>
        <w:rPr>
          <w:rFonts w:ascii="Arial" w:cs="Arial" w:eastAsia="Arial" w:hAnsi="Arial"/>
          <w:sz w:val="16"/>
          <w:szCs w:val="16"/>
          <w:color w:val="333333"/>
        </w:rPr>
        <w:t>epithelial cell adhesion molecule (“EpCAM”)</w:t>
      </w:r>
      <w:r>
        <w:rPr>
          <w:rFonts w:ascii="Arial" w:cs="Arial" w:eastAsia="Arial" w:hAnsi="Arial"/>
          <w:sz w:val="16"/>
          <w:szCs w:val="16"/>
          <w:color w:val="000000"/>
        </w:rPr>
        <w:t>.</w:t>
      </w:r>
      <w:r>
        <w:rPr>
          <w:rFonts w:ascii="Arial" w:cs="Arial" w:eastAsia="Arial" w:hAnsi="Arial"/>
          <w:sz w:val="16"/>
          <w:szCs w:val="16"/>
          <w:color w:val="333333"/>
        </w:rPr>
        <w:t xml:space="preserve"> This program was originally developed by ImmunoGen utilizing our Probody technology and ImmunoGen’s next-generation linker chemistry and novel maytansinoid payload, DM-21, and arose from our 2014 strategic collaboration with ImmunoGen. EpCAM is a target that is highly expressed on a wide variety of tumor types but is considered difficult to drug due to its wide expression on normal tissues. Pre-clinical data presented by ImmunoGen at the 2018 European Antibody </w:t>
      </w:r>
      <w:r>
        <w:rPr>
          <w:rFonts w:ascii="Arial" w:cs="Arial" w:eastAsia="Arial" w:hAnsi="Arial"/>
          <w:sz w:val="16"/>
          <w:szCs w:val="16"/>
          <w:color w:val="000000"/>
        </w:rPr>
        <w:t>Congress and the 2019 Annual Meeting of American Association for Cancer Research</w:t>
      </w:r>
      <w:r>
        <w:rPr>
          <w:rFonts w:ascii="Arial" w:cs="Arial" w:eastAsia="Arial" w:hAnsi="Arial"/>
          <w:sz w:val="16"/>
          <w:szCs w:val="16"/>
          <w:color w:val="333333"/>
        </w:rPr>
        <w:t xml:space="preserve"> </w:t>
      </w:r>
      <w:r>
        <w:rPr>
          <w:rFonts w:ascii="Arial" w:cs="Arial" w:eastAsia="Arial" w:hAnsi="Arial"/>
          <w:sz w:val="16"/>
          <w:szCs w:val="16"/>
          <w:color w:val="000000"/>
        </w:rPr>
        <w:t>(“AACR”) indicate that PDCs against EpCAM elicit potent tumor regression in multiple tumor models while minimizing anticipated on</w:t>
      </w:r>
      <w:r>
        <w:rPr>
          <w:rFonts w:ascii="Arial" w:cs="Arial" w:eastAsia="Arial" w:hAnsi="Arial"/>
          <w:sz w:val="16"/>
          <w:szCs w:val="16"/>
          <w:color w:val="333333"/>
        </w:rPr>
        <w:t>-target toxicities</w:t>
      </w:r>
      <w:r>
        <w:rPr>
          <w:rFonts w:ascii="Arial" w:cs="Arial" w:eastAsia="Arial" w:hAnsi="Arial"/>
          <w:sz w:val="16"/>
          <w:szCs w:val="16"/>
          <w:color w:val="000000"/>
        </w:rPr>
        <w:t xml:space="preserve"> </w:t>
      </w:r>
      <w:r>
        <w:rPr>
          <w:rFonts w:ascii="Arial" w:cs="Arial" w:eastAsia="Arial" w:hAnsi="Arial"/>
          <w:sz w:val="16"/>
          <w:szCs w:val="16"/>
          <w:color w:val="333333"/>
        </w:rPr>
        <w:t>outside the tumor microenvironment. We anticipate moving this program into IND-enabling studies during 2020.</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also extended our Probody platform to the new and promising modality of T-cell engaging bispecific antibodies (“TCBs”). TCBs are a highly potent therapeutic modality, designed to direct the activity of cytotoxic T-cells to tumors. TCBs such as Blincyto®, a CD19-directed TCB commercialized by Amgen, have shown clinical activity in hematologic malignancies, but development of TCBs for solid tumor indications is challenging. Due to their high potency, TCBs can target normal tissues with low antigen expression, resulting in significant on-target, off-tumor toxicity that can limit dosing to low levels. As a result, it has been difficult to reach the level of drug exposure required for efficacy without excessive toxicity. We believe that the Probody platform is potentially capable of localizing the activity of TCBs to the tumor microenvironment and avoiding on-target, off-tumor toxicity.</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most advanced program in the TCB modality is an Epidermal Growth Factor Receptor-CD3 (“EGFR-CD3”) T-cell bispecific which is partnered with Amgen. We anticipate advancing a lead candidate for this program during 2020.</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successful development of our product candidates involves a lengthy and expensive process with an uncertain outcome, and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Strategy</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are utilizing our proprietary and differentiated Probody platform to develop a leading pipeline of novel, innovative anti-cancer therapies to improve the lives of people with cancer and to build a long-term, multi-product, commercial stage biotechnology company. We aim to achieve this goal by:</w:t>
      </w:r>
    </w:p>
    <w:p>
      <w:pPr>
        <w:spacing w:after="0" w:line="29" w:lineRule="exact"/>
        <w:rPr>
          <w:sz w:val="20"/>
          <w:szCs w:val="20"/>
          <w:color w:val="auto"/>
        </w:rPr>
      </w:pPr>
    </w:p>
    <w:p>
      <w:pPr>
        <w:jc w:val="both"/>
        <w:ind w:left="1040" w:right="520" w:hanging="519"/>
        <w:spacing w:after="0" w:line="31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Applying our Probody platform to develop novel and improved combination therapies based on validated immuno-oncology targets and pathways that we believe have the potential to improve outcomes for cancer patients. For example, we are studying CX-072, our PD-L1 Probody therapeutic candidate, in combination with the CTLA-4 inhibitor, ipilimumab, in an ongoing Phase 2 clinical trial.</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 w:name="page8"/>
    <w:bookmarkEnd w:id="7"/>
    <w:p>
      <w:pPr>
        <w:jc w:val="both"/>
        <w:ind w:left="1040" w:right="1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Applying the Probody platform to discover and develop potentially first-in-class therapies against novel targets that have not yet been drugged because of broad expression in healthy tissue. Our wholly owned CD-166 Probody Drug Conjugate (CX-2009) and partnered CD-71 Probody Drug Conjugate (CX-2029) are our most advanced programs in this class of targets.</w:t>
      </w:r>
    </w:p>
    <w:p>
      <w:pPr>
        <w:spacing w:after="0" w:line="86"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Applying our Probody platform to enable new potent therapeutic antibody formats, thereby positioning ourselves at the cutting edge of anti-cancer therapeutic research and development. For example, we are collaborating on a Probody therapeutic version of an EGFR-CD3 T-cell engaging Probody bispecific with Amgen.</w:t>
      </w:r>
    </w:p>
    <w:p>
      <w:pPr>
        <w:spacing w:after="0" w:line="86" w:lineRule="exact"/>
        <w:rPr>
          <w:rFonts w:ascii="Arial" w:cs="Arial" w:eastAsia="Arial" w:hAnsi="Arial"/>
          <w:sz w:val="18"/>
          <w:szCs w:val="18"/>
          <w:color w:val="auto"/>
        </w:rPr>
      </w:pPr>
    </w:p>
    <w:p>
      <w:pPr>
        <w:jc w:val="both"/>
        <w:ind w:left="1040" w:right="28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Partnering with leading biopharmaceutical companies to access capital, additional resources and expertise, as well as increase the number of Probody therapeutic candidates being advanced into clinical trials. To date, we have formed several strategic collaborations, including with AbbVie, Amgen, Bristol-Myers Squibb, and others.</w:t>
      </w:r>
    </w:p>
    <w:p>
      <w:pPr>
        <w:spacing w:after="0" w:line="86"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technologies or programs that can complement our Probody platform and our pipeline through licenses or acquisitions. For example, in early 2019 we acquired certain linker-toxin and bispecific technologies from an affiliate of Astellas Pharma, Inc. to complement our Probody platform and in December 2019 we in-licensed ImmunoGen’s ongoing EPCAM PDC program.</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Fostering a unique, patient-focused culture of execution, alignment and accountability centered around our vision, mission and values.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Probody Platform</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Localization of therapeutic antibody activity within disease tissue is of increasing interest in the biopharmaceutical industry due to the desire to maximize the activity of antibody-based drugs while reducing their toxicities. At CytomX, we call our approach to therapeutic antibody localization our Probody platform. A Probody therapeutic consists of three components: an active anti-cancer antibody, a mask for the antibody, and a protease-cleavable linker which connects the mask to the antibody. The mask is a peptide designed to disguise the active binding site of the antibody to prevent the therapeutic from binding to the target present on healthy tissue. Probody therapeutics are produced as a single protein by standard antibody production methodology. The following graphic depicts the three components of a Probody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122555</wp:posOffset>
            </wp:positionV>
            <wp:extent cx="5137150" cy="2392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3715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Depiction of the structure of a Probody therapeutic and a protease interacting with the Probody to cleave the linker and activate the molecule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both"/>
        <w:ind w:right="700"/>
        <w:spacing w:after="0" w:line="264" w:lineRule="auto"/>
        <w:rPr>
          <w:sz w:val="20"/>
          <w:szCs w:val="20"/>
          <w:color w:val="auto"/>
        </w:rPr>
      </w:pPr>
      <w:r>
        <w:rPr>
          <w:rFonts w:ascii="Arial" w:cs="Arial" w:eastAsia="Arial" w:hAnsi="Arial"/>
          <w:sz w:val="18"/>
          <w:szCs w:val="18"/>
          <w:color w:val="auto"/>
        </w:rPr>
        <w:t>When a Probody therapeutic enters a tumor, it encounters proteases, which are enzymes that cleave proteins and have increased activity in the tumor microenvironment. The proteases in the tumor cleave the linker, releasing the mask and allowing the antibody to bind to the target on the tumor. The following graphic depicts the activation of a Probody therapeutic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124460</wp:posOffset>
            </wp:positionV>
            <wp:extent cx="5676900" cy="1260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690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260" w:right="260"/>
        <w:spacing w:after="0" w:line="293" w:lineRule="auto"/>
        <w:rPr>
          <w:sz w:val="20"/>
          <w:szCs w:val="20"/>
          <w:color w:val="auto"/>
        </w:rPr>
      </w:pPr>
      <w:r>
        <w:rPr>
          <w:rFonts w:ascii="Arial" w:cs="Arial" w:eastAsia="Arial" w:hAnsi="Arial"/>
          <w:sz w:val="16"/>
          <w:szCs w:val="16"/>
          <w:i w:val="1"/>
          <w:iCs w:val="1"/>
          <w:color w:val="auto"/>
        </w:rPr>
        <w:t>Depiction of how a Probody therapeutic is designed to enter the tumor microenvironment (left), be activated by protease cleavage to remove the mask (middle), thereby enabling the released antibody to bind to the tumor target (right)</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w:t>
      </w:r>
    </w:p>
    <w:p>
      <w:pPr>
        <w:spacing w:after="0" w:line="19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Probody therapeutics are designed to limit toxicity that can arise from the binding of an antibody to a target in healthy tissues while preserving biological activity in the tumor where it is desired. We and our partners have demonstrated the potential applicability of our Probody platform across multiple monoclonal antibody modalities, including cancer immunotherapy, ADCs, and T-cell-recruiting bispecifics.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Advantages of Our Probody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Probody platform provides the following key advantages:</w:t>
      </w:r>
    </w:p>
    <w:p>
      <w:pPr>
        <w:spacing w:after="0" w:line="117" w:lineRule="exact"/>
        <w:rPr>
          <w:sz w:val="20"/>
          <w:szCs w:val="20"/>
          <w:color w:val="auto"/>
        </w:rPr>
      </w:pPr>
    </w:p>
    <w:p>
      <w:pPr>
        <w:ind w:left="104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novel therapeutic antibody class enabled by our proprietary platform. </w:t>
      </w:r>
      <w:r>
        <w:rPr>
          <w:rFonts w:ascii="Arial" w:cs="Arial" w:eastAsia="Arial" w:hAnsi="Arial"/>
          <w:sz w:val="16"/>
          <w:szCs w:val="16"/>
          <w:color w:val="auto"/>
        </w:rPr>
        <w:t>We believe we have a differentiated technology platform that gives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substantial competitive advantage supported by more than a decade of research and a strong intellectual property portfolio.</w:t>
      </w:r>
    </w:p>
    <w:p>
      <w:pPr>
        <w:spacing w:after="0" w:line="15" w:lineRule="exact"/>
        <w:rPr>
          <w:rFonts w:ascii="Arial" w:cs="Arial" w:eastAsia="Arial" w:hAnsi="Arial"/>
          <w:sz w:val="16"/>
          <w:szCs w:val="16"/>
          <w:color w:val="auto"/>
        </w:rPr>
      </w:pPr>
    </w:p>
    <w:p>
      <w:pPr>
        <w:ind w:left="1040" w:right="320" w:hanging="519"/>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improve the therapeutic window of antibody-based therapeutics. </w:t>
      </w:r>
      <w:r>
        <w:rPr>
          <w:rFonts w:ascii="Arial" w:cs="Arial" w:eastAsia="Arial" w:hAnsi="Arial"/>
          <w:sz w:val="17"/>
          <w:szCs w:val="17"/>
          <w:color w:val="auto"/>
        </w:rPr>
        <w:t>By engineering our therapeutics to selectively activate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tumor microenvironment, our Probody product candidates have the potential to improve safety and tolerability.</w:t>
      </w:r>
    </w:p>
    <w:p>
      <w:pPr>
        <w:spacing w:after="0" w:line="38" w:lineRule="exact"/>
        <w:rPr>
          <w:rFonts w:ascii="Arial" w:cs="Arial" w:eastAsia="Arial" w:hAnsi="Arial"/>
          <w:sz w:val="17"/>
          <w:szCs w:val="17"/>
          <w:color w:val="auto"/>
        </w:rPr>
      </w:pPr>
    </w:p>
    <w:p>
      <w:pPr>
        <w:ind w:left="1040" w:right="2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combine more effectively with other therapies. </w:t>
      </w:r>
      <w:r>
        <w:rPr>
          <w:rFonts w:ascii="Arial" w:cs="Arial" w:eastAsia="Arial" w:hAnsi="Arial"/>
          <w:sz w:val="18"/>
          <w:szCs w:val="18"/>
          <w:color w:val="auto"/>
        </w:rPr>
        <w:t>We believe the therapeutic window and tumor specificity of our candidates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to reduce the dose-limiting toxicities observed in combination therapies and thus enable new combinations with other cancer therapies that are difficult or impossible to use.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Applicability across many molecular targets. </w:t>
      </w:r>
      <w:r>
        <w:rPr>
          <w:rFonts w:ascii="Arial" w:cs="Arial" w:eastAsia="Arial" w:hAnsi="Arial"/>
          <w:sz w:val="18"/>
          <w:szCs w:val="18"/>
          <w:color w:val="auto"/>
        </w:rPr>
        <w:t>We believe that our technology addresses many different molecular targets expressed by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kinds of tumors—including targets that are difficult to address because they are also expressed on healthy tissue—because Probody therapeutics are designed to have limited interaction with non-cancerous tissues.</w:t>
      </w:r>
    </w:p>
    <w:p>
      <w:pPr>
        <w:spacing w:after="0" w:line="73"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Versatility across antibody modalities. </w:t>
      </w:r>
      <w:r>
        <w:rPr>
          <w:rFonts w:ascii="Arial" w:cs="Arial" w:eastAsia="Arial" w:hAnsi="Arial"/>
          <w:sz w:val="18"/>
          <w:szCs w:val="18"/>
          <w:color w:val="auto"/>
        </w:rPr>
        <w:t>We believe that our technology can be applied to most antibody-based therapies, including novel potent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modalities like ADCs and T-cell-recruiting bispecific antibodies.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leveraging our Probody platform to build a leading pipeline of innovative and differentiated anti-cancer therapies. We currently retain worldwide development and commercialization rights to two of our most advanced Probody therapeutics in the clinic, CX-072 and CX-2009. In addition, we have multiple partnered development programs, including BMS-986249 and BMS-986288, both anti-CTLA-4 Probody programs with Bristol-Myers Squibb, and CX-2029, an anti-CD71 PDC program in collaboration with AbbVie.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CX-072 (PD-L1 Probody therapeutic)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and Limitations of Existing Therapies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most advanced product candidate is CX-072, a wholly owned Probody therapeutic targeting PD-L1, a clinically and commercially validated cancer target. The PD pathway consists principally of two targets: PD-1, which is typically expressed on T-cells, and PD-L1, which is typically expressed on the tumor cells as well as on healthy tissue. In healthy tissue, PD-1 and PD-L1 work together to negatively regulate immune response and maintain tolerance between the immune system and healthy tissue. Tumors, however, upregulate PD-L1 to evade immune surveillance by the host’s immune system. Therefore, development of antibodies against PD-1 and PD-L1 have become a key focal point in cancer drug development, with three PD-1 antibodies nivolumab (Opdivo®), pembrolizumab (Keytruda®), and cemiplimab (Libtayo®) and three PD-L1 antibodies atezolizumab (Tecentriq®), durvalumab (Imfinzi®), and avelumab (Bavencio®) approved as of January 2020, with many other PD pathway inhibitors in clinical development. In addition to assessment as single agents, PD-1 and PD-L1 antibodies have been studied extensively as the centerpiece of oncology combination therapies. According to the Cancer Research Institute, as of November 2019, there were in excess of 2,000 combination studies ongoing with a PD-1 or PD-L1 therapeutic.</w:t>
      </w:r>
    </w:p>
    <w:p>
      <w:pPr>
        <w:spacing w:after="0" w:line="16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While inhibitors of the PD-L1 and/or PD-1 pathway offer the potential for clinical benefit in patients with a wide-variety of cancer types, there are a number of risks imposed by administration of these agents. According to U.S. labels for Opdivo, Keytruda, Tecentriq, Bavencio, and Imfinzi, the most common side effects (defined as either &gt;15% or &gt;20%, depending upon the agent) that were observed with commercially available anti-PD-L1 and anti-PD-1 agents include: fatigue, decreased appetite, nausea, vomiting, diarrhea, dyspnea, constipation, cough, musculoskeletal pain, back pain, abdominal pain, arthralgia, urinary tract infection, upper respiratory tract infection, peripheral edema, infusion-related reaction, rash, asthenia, pruritus, headache, and pyrexia.</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Combining a PD pathway inhibitor with another anti-cancer agent often results in significantly greater toxicity than monotherapy alone. One example is the combination of nivolumab (a PD-1 inhibitor marketed by Bristol-Myers Squibb as Opdivo®) and ipilimumab. According to data reported in 2015 in </w:t>
      </w:r>
      <w:r>
        <w:rPr>
          <w:rFonts w:ascii="Arial" w:cs="Arial" w:eastAsia="Arial" w:hAnsi="Arial"/>
          <w:sz w:val="18"/>
          <w:szCs w:val="18"/>
          <w:i w:val="1"/>
          <w:iCs w:val="1"/>
          <w:color w:val="auto"/>
        </w:rPr>
        <w:t>The New</w:t>
      </w:r>
      <w:r>
        <w:rPr>
          <w:rFonts w:ascii="Arial" w:cs="Arial" w:eastAsia="Arial" w:hAnsi="Arial"/>
          <w:sz w:val="18"/>
          <w:szCs w:val="18"/>
          <w:color w:val="auto"/>
        </w:rPr>
        <w:t xml:space="preserve"> </w:t>
      </w:r>
      <w:r>
        <w:rPr>
          <w:rFonts w:ascii="Arial" w:cs="Arial" w:eastAsia="Arial" w:hAnsi="Arial"/>
          <w:sz w:val="18"/>
          <w:szCs w:val="18"/>
          <w:i w:val="1"/>
          <w:iCs w:val="1"/>
          <w:color w:val="auto"/>
        </w:rPr>
        <w:t>England Journal of Medicine</w:t>
      </w:r>
      <w:r>
        <w:rPr>
          <w:rFonts w:ascii="Arial" w:cs="Arial" w:eastAsia="Arial" w:hAnsi="Arial"/>
          <w:sz w:val="18"/>
          <w:szCs w:val="18"/>
          <w:color w:val="auto"/>
        </w:rPr>
        <w:t>, the combination of nivolumab at 1 mg/kg and ipilimumab at 3mg/kg resulted in Grade 3/4 treatment related adverse events</w:t>
      </w:r>
      <w:r>
        <w:rPr>
          <w:rFonts w:ascii="Arial" w:cs="Arial" w:eastAsia="Arial" w:hAnsi="Arial"/>
          <w:sz w:val="18"/>
          <w:szCs w:val="18"/>
          <w:i w:val="1"/>
          <w:iCs w:val="1"/>
          <w:color w:val="auto"/>
        </w:rPr>
        <w:t xml:space="preserve"> </w:t>
      </w:r>
      <w:r>
        <w:rPr>
          <w:rFonts w:ascii="Arial" w:cs="Arial" w:eastAsia="Arial" w:hAnsi="Arial"/>
          <w:sz w:val="18"/>
          <w:szCs w:val="18"/>
          <w:color w:val="auto"/>
        </w:rPr>
        <w:t>(TRAEs) in 55% of the patients treated and drug discontinuations in 36% of the patients treated.</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believe that a locally activated Probody therapeutic targeting PD-L1 has the potential to maintain the anti-tumor activity of the PD pathway blockade while reducing the autoimmunity that results from blocking such pathway systemically. As such, we believe that CX-072 has the potential to enable combination therapies that cannot be appropriately dosed because of synergistic toxicity, and ultimately that CX-072 may have the potential to play an important role in combination therapy. CX-072 may also ultimately prove to be a safer monotherapy than existing PD inhibitors which could have specific applications in certain clinical settings.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PROCLAIM-CX-072 Clinical Program</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PROCLAIM-CX-072-001 was designed to assess the tolerability and preliminary antitumor activity of multiple doses of CX-072 as a monotherapy or as a combination therapy with ipilimumab (Bristol-Myers Squibb’s Yervoy®) or vemurafenib (Roche’s Zelboraf®) in patients with advanced, unresectable solid tumors or lymphoma.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A and A2- Monotherapy Dose Escalation</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data from PROCLAIM-CX-072 were first presented in 2018 at meetings of ASCO, the European Society of Medical Oncology (“ESMO”) and the Society for Immunotherapy of Cancer (“SITC”) and, in 2019 at the Research and Development Day we hosted in February 2019 (the “CytomX 2019 R&amp;D Day”) and the ASCO Annual Meeting. Part A enrolled patients who were PD agent naïve and were either ineligible to receive or did not have access to PD-1 or PD-L1 agents for their disease. We did not pre-select patients based on their PD-L1 status in this arm. As such, we enrolled a broad range of tumor types in Part A, including patients with tumors that were not necessarily expected to respond to PD-L1 therapy. Part A2 of the clinical trial also enrolled patients with a broad range of cancer types, with enrollment restricted to those patients whose tumors are PD-L1 positive based on the commercially available DAKO assay. As with Part A, the tumor types enrolled into Part A2 were not necessarily expected to respond to CX-072. Part A2 also required mandatory collection of tumor biopsies from patients which were analyzed as part of our translational program.</w:t>
      </w:r>
    </w:p>
    <w:p>
      <w:pPr>
        <w:spacing w:after="0" w:line="1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Data from the monotherapy dose escalation arms of the trial, presented at ESMO 2018 and developed with an August 2018 data cut, showed that among 38 evaluable patients who received CX-072, objective responses by Response Evaluation Criteria in Solid Tumors (“RECIST”) version 1.1 were observed in three (8%) patients, all treated at doses greater than or equal to 3 mg/kg: PD-L1 negative triple negative breast cancer (confirmed partial response (cPR); 10 mg/kg), thymic cancer (unconfirmed partial response (“uPR”); 3 mg/kg), and cervical cancer (uPR; 10 mg/kg). Stable disease was observed in 15 (39%) patients for an overall disease control rate of 47%. For the 18 patients who received CX-072 doses greater than or equal to 3 mg/kg, objective responses were observed in 3 of 18 (17%) patients and the disease control rate was 61%. Decreased target lesions were observed in 14 of 37 (38%) patients of all evaluable patients with measurable disease at baseline and in 10 of 17 (59%) patients of the subset of patients who received doses greater than or equal to 3 mg/kg of CX-072.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20"/>
        <w:spacing w:after="0" w:line="291" w:lineRule="auto"/>
        <w:rPr>
          <w:sz w:val="20"/>
          <w:szCs w:val="20"/>
          <w:color w:val="auto"/>
        </w:rPr>
      </w:pPr>
      <w:r>
        <w:rPr>
          <w:rFonts w:ascii="Arial" w:cs="Arial" w:eastAsia="Arial" w:hAnsi="Arial"/>
          <w:sz w:val="16"/>
          <w:szCs w:val="16"/>
          <w:color w:val="auto"/>
        </w:rPr>
        <w:t>We presented translational data at SITC in November 2018 that demonstrates that CX-072 appears to function as designed in cancer patients. We reported that protease activity was detected in the majority of patient tumors, and that CX-072 was unmasked and activated in tumor biopsies taken from treated patients. Further, CX-072 remained predominantly intact in circulation. Intratumoral concentrations of activated CX-072 are sufficient for &gt;90% target occupancy and were similar to those associated with efficacy in a preclinical model. At the CytomX 2019 R&amp;D Day, we additionally reported that CX-072 localized to tumors in cancer patients, suggesting unmasking and target engagement, as determined by 89Zr-labeled CX-072 whole body Immuno-PET imaging. Finally, CX-072 treatment was associated with expansion of intratumoral CD8+ T cells, indicating that CX-072 produced a biological effect in tumors consistent with blockade of the PD-1/PD-L1 pathway. Taken together, these translational data provide mechanistic support for the Probody platform.</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the CytomX 2019 R&amp;D Day, we presented follow-up data from this trial, focusing on doses greater than or equal to 3 mg/kg in the dose escalation study as of a February 6, 2019 data cut. Of 24 efficacy evaluable patients treated with doses greater than or equal to 3mg/kg of CX-072, 4/24 (17%) objective responses were observed, including 1 confirmed partial response, 2 unconfirmed partial responses in patients who are no longer on study and 1 unconfirmed partial response in a patient whose confirmation scan was pending at the time. Additionally, 12 (50%) patients demonstrated tumor shrinkage or stable disease. From these results, we concluded that CX-072 showed anti-cancer activity. Enrollment is complete with patient follow up continuing.</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thorough analysis of data from Parts A and A2, we selected 10 mg/kg as the dose for initial Part D cohort expansion studies, which we initiated in 2018. This dose was chosen because:</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observed anti-cancer activity at and below 10 mg/kg in our dose escalation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10 mg/kg dose of CX-072 produced favorable safety results (described below)</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Translational data suggested that, at this dose, more than 98% of PD-L1 receptor in the tumor was occupied by CX-072</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patients treated at the 10 mg/kg dose achieved and maintained targeted drug exposure. Moreover, satisfactory drug exposure was achieved regardless of whether patients showed evidence of anti-drug antibodies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D Monotherapy Expansion Cohort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2018, we initiated Part D of the PROCLAIM-CX-072-01 program, a monotherapy cohort expansion study to assess CX-072 in eight specific cancer types: undifferentiated pleiomorphic sarcoma (UPS), thymic epithelial cancer (TEC), triple negative breast cancer (TNBC), anal squamous cell cancer (aSCC), cutaneous squamous cell cancer (cSCC), Merkel cell carcinoma (MCC), small bowel carcinoma (SBC) and cancers with high tumor mutational burden (hTMB). Part D was designed to assess the safety and efficacy of CX-072 at 10 mg/kg administered every two weeks. At the CytomX 2019 R&amp;D Day, we presented initial clinical data in four of the eight tumor types: cSCC, TNBC, SCC and UPS. Preliminary data from 34 efficacy evaluable patients showed a pattern of anti-cancer activity generally consistent with historical data for other PD inhibitors. Of 50 patients evaluable for safety in the four cancers tested as of the data cutoff date for Part D, CX-072 as monotherapy was generally well tolerated, with 21 (42.0%) patients experiencing a Grade 3/4 TEAE, 2 (4%) patients experiencing a Grade 3/4 TRAEs, 2 (4%) patients experiencing a Grade 3/4 immune-related adverse events (irAE) and no discontinuation for treatment-related toxicity. These data compare favorably to historical controls where the rate of Grade 3/4 TRAEs in patients receiving PD-pathway inhibitors and TRAEs leading to discontinuation are 15% and 8%, respectively.</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At ASCO in June 2019, we presented additional data from Part D in multiple selected tumor types. Data was reported in patients with TNBC, aSCC, cSCC, UPS and SBA. As of an April 2019 data cutoff, 72 patients had been enrolled and treated across the five reported cohorts. Among the 65 patients evaluable for efficacy, confirmed partial responses were observed in two patients with TNBC, one in a patient with cSCC and one in a patient with UPS. A partial response, unconfirmed at the time of data cutoff, was subsequently confirmed in an aSCC patient. These data showed disease control rates of 53% (8/15) in TNBC, 58% (7/12) in aSCC, 67% (4/6) in cSCC, 25% (5/20) in UPS, and 17% (2/12) in SBA. Decreases in target lesion size were observed in the first 8 to 16 weeks of treatment. Responding patients remained on CX-072 for up to 72 weeks. Patients enrolled were generally heavily pretreated with a median number of three prior regimens before receiving CX-072. As of the data cutoff, CX-072 monotherapy was generally well tolerated. Of the 72 patients evaluable for safety, 6% of patients experienced a grade ≥3 TRAE, and 3% experienced grade ≥3 immune related adverse event (irAEs) with no (0%) TRAEs leading to treatment discontinuation. Enrollment in Part D is complete with evaluation of the activity and tolerability of CX-072 monotherapy continuing with ongoing treatment in select cohorts. We expect to provide additional follow up data in 2020. At this time, we are not pursuing additional monotherapy clinical trials, however, we may elect to do so in the future.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Part B CX-072 in Combination with Ipilimumab</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Combining a PD pathway inhibitor with another anti-cancer agent often results in significantly greater toxicity than monotherapy alone. One example is the combination of nivolumab (a PD-1 inhibitor marketed by Bristol-Myers Squibb as Opdivo®) and ipilimumab. Ipilimumab, marketed by Bristol-Myers Squibb as Yervoy®, is an anti-CTLA4 therapeutic antibody that has been approved for the treatment of various cancers including advanced melanoma. CTLA-4 is an immune checkpoint protein involved in regulating T-cell activation. According to data reported in 2015 in the New England Journal of Medicine, the combination of nivolumab at 1 mg/kg and ipilimumab at 3mg/kg resulted in Grade 3/4 TRAEs in 55% of the patients treated and drug discontinuations in 36% of the patients treated. We are investigating whether CX-072 has the potential to more safely combine with ipilimumab, resulting in improved outcomes for patients. More specifically, we are investigating whether CX-072 can enable the use of the full labelled dose of ipilimumab of 3 mg/kg in combination studies. It is well established that higher doses of ipilimumab can be more effective in the treatment of cancer. However, higher doses are also more toxic to patients, particularly in combination with PD pathway inhibitors. If we are able to treat patients safely with CX-072 in combination with full dose ipilimumab, this has the potential to deliver improved outcomes for patients in the form of deeper and more durable anti-cancer responses.</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 B of PROCLAIM-CX-072 was designed to assess the combination of CX-072 with ipilimumab dosed at its full labeled dose (3 mg/kg every three weeks for four cycles). In Part B, we tested doses of CX-072 from 0.3 mg/kg to 10 mg/kg with a combination of ipilimumab at 3 mg/kg. The maximum tolerated dose (MTD) was defined as the combination of 3 mg/kg of ipilimumab and 10 mg/kg of CX-072.</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2019, we presented interim data showing that among 27 evaluable patients who received ipilimumab (3, 6 or 10 mg/kg) combined with CX-072 (0.3, 1, 3 or 10 mg/kg), the disease control rate (stable disease or better) was 37%. Five patients achieved confirmed objective responses by RECIST v1.1, including one complete response, for an ORR of 19% in these heavily pretreated patients. The median duration of response was 14.6 months (1.9 - 21.2 months) with four of the five responders still on treatment as of October 2019. We also announced that the recommended combination dose for further investigation was 3 mg/kg of ipilimumab and 10 mg/kg of CX-072 (dose equivalent of 800 mg). This combination was generally well tolerated with no new safety signals observed. Of the 27 patients treated across all doses, Grade 3/4 TRAEs were reported in nine (33%) patients and Grade 3/4 irAEs were reported in six (22%) patients. Of the 20 patients treated with ipilimumab at 3 mg/kg at varying doses of CX-072, Grade 3/4 TRAEs were reported in five (25%) patients and Grade 3/4 irAEs were reported in three (15%) patients. Enrollment in Part B is complete with evaluation of the activity and tolerability continuing with ongoing treatment. As a result of the data in Part B, in October 2019, we elected to conduct a Phase 2 clinical trial studying CX-072 in combination with ipilimumab. We plan to initiate a clinical study of CX-072 in combination with CX-2009 during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 PROCLAIM-CX-072-002 Combination with Ipilimumab</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PROCLAIM-CX-072-002 was initiated in October 2019 and is an open-label, multi-center Phase 2 clinical trial evaluating CX-072 in combination with ipilimumab in patients with unresectable or metastatic melanoma whose disease has progressed or relapsed following treatment with a PD-1/PD-L1 immune checkpoint inhibitor. This study will assess the efficacy and tolerability of a fixed dose of 800 mg of CX-072 every three weeks in combination with ipilimumab at the full labelled dose and schedule of 3 mg/kg every three weeks for four cycles. CX-072 therapy will be continued once every two weeks after the completion of the combination phase until disease progression. The primary objective is overall response rate (ORR) as defined by RECIST v1.1 with secondary objectives evaluating the safety and tolerability of CX-072. The cohort utilizes a Simon 2 Stage design with approximately 40 patients being enrolled into Stage 1 with additional patients being enrolled into Stage 2, pending the outcome of Stage 1. CytomX anticipates initial data from Stage 1 during 2020.</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2" w:name="page13"/>
    <w:bookmarkEnd w:id="12"/>
    <w:p>
      <w:pPr>
        <w:ind w:right="200"/>
        <w:spacing w:after="0" w:line="257" w:lineRule="auto"/>
        <w:rPr>
          <w:sz w:val="20"/>
          <w:szCs w:val="20"/>
          <w:color w:val="auto"/>
        </w:rPr>
      </w:pPr>
      <w:r>
        <w:rPr>
          <w:rFonts w:ascii="Arial" w:cs="Arial" w:eastAsia="Arial" w:hAnsi="Arial"/>
          <w:sz w:val="18"/>
          <w:szCs w:val="18"/>
          <w:color w:val="auto"/>
        </w:rPr>
        <w:t>Melanoma is a life-threatening form of skin cancer. The incidence of melanoma has been increasing over the last 40 years, with about 150,000 newly diagnosed patients across major markets in 2018. In the unresectable/metastatic setting, approximately 60% of melanoma patients will receive immune checkpoint blockade, (approximately 35% BRAF+ patients and 45% BRAF WT) and approximately 85% of those patients will progress. For patients with unresectable/metastatic melanoma who progress, there are limited treatment options available. The figure below describes the design of PROCLAIM-CX-072-001.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128905</wp:posOffset>
            </wp:positionV>
            <wp:extent cx="5548630" cy="1903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863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80"/>
        <w:spacing w:after="0"/>
        <w:tabs>
          <w:tab w:leader="none" w:pos="6780" w:val="left"/>
        </w:tabs>
        <w:rPr>
          <w:sz w:val="20"/>
          <w:szCs w:val="20"/>
          <w:color w:val="auto"/>
        </w:rPr>
      </w:pPr>
      <w:r>
        <w:rPr>
          <w:rFonts w:ascii="Arial" w:cs="Arial" w:eastAsia="Arial" w:hAnsi="Arial"/>
          <w:sz w:val="18"/>
          <w:szCs w:val="18"/>
          <w:b w:val="1"/>
          <w:bCs w:val="1"/>
          <w:i w:val="1"/>
          <w:iCs w:val="1"/>
          <w:color w:val="auto"/>
        </w:rPr>
        <w:t>PFS – Progression free survival</w:t>
      </w:r>
      <w:r>
        <w:rPr>
          <w:sz w:val="20"/>
          <w:szCs w:val="20"/>
          <w:color w:val="auto"/>
        </w:rPr>
        <w:tab/>
      </w:r>
      <w:r>
        <w:rPr>
          <w:rFonts w:ascii="Arial" w:cs="Arial" w:eastAsia="Arial" w:hAnsi="Arial"/>
          <w:sz w:val="15"/>
          <w:szCs w:val="15"/>
          <w:b w:val="1"/>
          <w:bCs w:val="1"/>
          <w:i w:val="1"/>
          <w:iCs w:val="1"/>
          <w:color w:val="auto"/>
        </w:rPr>
        <w:t>OS – Overall survival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C CX-072 Combination with Vemurafenib</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Part C of the PROCLAIM-CX-072 Phase 1/2 clinical trial was designed to assess escalating doses of CX-072 (1, 3 or 10 mg/kg administered IV every two weeks) in combination with the approved dose of Zelboraf® (vemurafenib: 960mg twice daily) in patients with V600E BRAF-positive melanoma. This study was designed to evaluate whether CX-072 could be more safely and effectively combined with vemurafenib than the combination of the anti-PD-L1 antibody, atezolizumab, plus vemurafenib, which has been shown by others to be severely toxic. A total of 11 patients with unresectable, V600E BRAF positive melanoma were enrolled during 2018 and 2019 into this study arm, principally in Eastern Europe. Patients were assigned to dose escalation cohorts evaluating 960mg BID vemurafenib with 1 mg/kg CX-072 (n=3), 3 mg/kg CX-072 (n=6) or 10 mg/kg CX=072 (n=2). During 2019, enrollment into this study arm was closed, prior to its completion. At the time of enrollment closure, there was one confirmed partial response and one confirmed complete response per RECIST v1.1. The median number of CX-072 doses administered was 6 (range 1-30). Three patients experienced Grade 3+ TRAE of lymphopenia (n=1), lipase increase (n=1) and elevated bilirubin (n=1). There were no reported Grade 3+ irAEs. We do not intend to pursue this combination further. Since the initiation of this study arm, based on the work of others, the standard of care for patients with V600E BRAF-positive melanoma has advanced to doublet combination therapy (BRAF plus MEK inhibition). The triple combination of PD-L1 inhibition, BRAF inhibition and MEK inhibition is also currently being studied by others.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Combination Therapies</w:t>
      </w:r>
    </w:p>
    <w:p>
      <w:pPr>
        <w:spacing w:after="0" w:line="13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aiming to initiate a new clinical study of CX-072 in combination with CX-2009 in 2020 and continue to evaluate the potential for additional combination therapy trials with CX-072.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CX-2009 (CD166 Probody Drug Conjugate)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and Limitations of Existing Therapies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second most advanced product candidate is CX-2009, a wholly owned PDC directed against CD166, a novel target that would be traditionally considered difficult to drug, and which we are currently evaluating in a Phase 2 clinical trial. PDCs are unique, CytomX-designed Probody therapeutic versions of a class of drugs called Antibody Drug Conjugates (ADCs), which are antibodies that have been conjugated to a small molecule cytotoxic agent via a chemical linker. At least seven ADCs have been approved for the treatment of cancer in the United States and elsewhere, including Kadcyla®, which targets HER2-positive metastatic breast cancer, and Adcetris®, which targets CD30 in Classical Hodgkin Lymphoma and Mylotarg® which targets CD33 for the treatment of Acute Myeloid Leukemia. To avoid target-related toxicities, traditional ADCs have historically been limited to targeting proteins that are expressed highly in tumors, but that are also absent or poorly expressed in healthy tissues. Very few cancer-associated proteins have this desired profile. Because our Probody therapeutics are designed to minimize binding of potent anti-cancer therapy to normal tissues, we believe we can address a new class of targets with attractive features that were previously unsuitable because of expression on normal tissues. We have a broad research program at CytomX aimed at discovering and validating this new class of targets and CD166 is the first such target for which we advanced a PDC product candidate into clinical trials. CD166 is highly and homogenously expressed in multiple different tumors types, which makes it an attractive target for a Probody drug conjugate therapeutic; however, the high expression of CD166 on normal tissues makes this a difficult target to drug with a traditional ADC.</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13" w:name="page14"/>
    <w:bookmarkEnd w:id="13"/>
    <w:p>
      <w:pPr>
        <w:spacing w:after="0" w:line="273" w:lineRule="auto"/>
        <w:rPr>
          <w:sz w:val="20"/>
          <w:szCs w:val="20"/>
          <w:color w:val="auto"/>
        </w:rPr>
      </w:pPr>
      <w:r>
        <w:rPr>
          <w:rFonts w:ascii="Arial" w:cs="Arial" w:eastAsia="Arial" w:hAnsi="Arial"/>
          <w:sz w:val="17"/>
          <w:szCs w:val="17"/>
          <w:color w:val="auto"/>
        </w:rPr>
        <w:t>CX-2009 is derived from a CytomX discovered and humanized CD166 antibody that exhibits high affinity binding to CD166. Using our proprietary technology, we used this antibody to engineer a Probody therapeutic targeting CD166 that is designed to be masked when active proteases are absent but can be specifically activated by any one of several different tumor-associated proteases. Furthermore, through a license from ImmunoGen, we have gained access to the potent microtubule inhibiting payload DM4 which we conjugated to the anti-CD166 Probody, resulting in CX-2009; a PDC designed to bind to CD166 specifically in the tumor microenvironment. The design of CX-2009 is intended to maximize the anti-cancer potential of CD166 by targeting the antibody-conjugated cytotoxic payload, DM4, to tumor cells but not normal cells that express CD166.</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PROCLAIM-CX-2009 Clinical Program</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PROCLAIM-CX-2009-001 is a Phase 1/2 clinical trial evaluating the tolerability and preliminary antitumor activity of CX-2009 as a monotherapy, which we initiated in June 2017. This study is in seven tumor types that have high CD166 expression: breast carcinoma, castration-resistant prostate carcinoma, cholangiocarcinoma, endometrial carcinoma, epithelial ovarian carcinoma, head and neck squamous cell carcinoma and non-small cell lung carcinoma. The figure below describes the design of PROCLAIM-CX-2009-001.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127635</wp:posOffset>
            </wp:positionV>
            <wp:extent cx="5454015" cy="187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401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Design and status of PROCLAIM-CX-2009-001 Phase 1/2 clinical trial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A; A2- Monotherapy Dose Escalation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the CytomX 2019 R&amp;D Day, we presented data as of a February 6, 2019 data cutoff on 76 patients treated at doses ranging from 0.25 to 10 mg/kg of CX-2009 every three weeks. Preliminary data from 46 efficacy evaluable patients demonstrated evidence of anti-cancer activity observed at doses of greater than or equal to 4 mg/kg. Tumor shrinkage was observed in 16 (34.8%) patients in multiple tumor types with 5 unconfirmed partial responses (2 each in ovarian and breast cancers and one in head and neck cancer). Of note, comparable levels of anti-cancer activity were observed in patients who were PD-pathway inhibitor naive or resistant,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CX-2009 was generally well tolerated and the MTD was not reached. Of the 76 patients, 47 (61.8%) patients experienced a Grade 3/4 TEAEs and 23</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(30.3%) patients experienced a Grade 3/4 TRAE. The most common adverse event observed was ocular toxicity, an anticipated toxicity associated with the DM4 payload.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2019, we presented updated interim safety and antitumor data from the dose-escalation phase (Part A and A2) of the ongoing PROCLAIM-CX-2009-001 study at the annual meeting of the AACR. As of a February 26, 2019 data cutoff, 78 patients were enrolled. Evidence of clinical activity was observed at doses of 4 mg/kg and above, a dose range at which DM4 conjugates have been shown by others to demonstrate anti-tumor activity. 39 patients received ≥4 mg/kg of CX-2009 and had at least one post-baseline on-study tumor assessment at time of data cut-off. Of these, 15 (38%) patients had evidence of tumor shrinkage, including seven unconfirmed partial responses (four patients with breast cancer, two with ovarian cancer and one with head and neck cancer). 29 (74%) patients achieved stable disease or better at the time of the first on-treatment scan. The MTD was not reached at the highest dose level tested of 10 mg/kg. The most common TRAEs were grade 1 and 2 and included nausea (32%), fatigue (24%) and decreased appetite (23%). In the design of CX-2009, the CD-166 antibody is masked, but not the DM4 payload. Therefore, non-specific, DM4-mediated toxicities, such as ocular toxicity, were expected and were seen in this trial. Accordingly, the most common grade 3/4 TRAE was keratitis, occurring in 6 patients (8%), 5 of whom received doses equal to or greater than 8 mg/kg. The achievement of therapeutic doses of CX-2009 during this first dose escalation study of this agent in the absence of any evidence of acute, on-target, CD-166 toxicities, is consistent with the Probody platform hypothesis and with CX-2009 performing as it was designed. Enrollment in Q3W dose escalation is complete and we have determined that 7 mg/kg is our Recommended Phase 2 Dose (RP2D).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Part B - Phase 2 Cohort Expansion Trial</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Based on the tolerability and activity data from Part A and A2, in December 2019, we announced that we were initiating a Phase 2 expansion study of CX-2009 monotherapy at 7 mg/kg administered every three weeks in up to 40 patients with hormone receptor (ER, PR) positive, HER2 negative breast cancer. This cohort expansion trial is open to enrollment.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Worldwide, breast cancer is the most commonly occurring cancer in women and the second most common cancer overall. In the U.S. in 2019, there will be an estimated 271,270 new cases of invasive breast cancer diagnosed in women and 2,670 cases diagnosed in men, of which 60% to 70% are hormone-positive/HER2-negative breast cancer. Newly diagnosed patients with invasive breast cancer are treated with anti-estrogen therapy, which can be single-agent hormone therapy or doublet-based hormonal therapy (including therapy based on CDK4/6 inhibition or mTOR inhibition). If their cancer progresses, patients may require cytotoxic chemotherapy. For patients that progress following the later stage therapies, there is a significant need for more efficacious treatment options.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Product Candidates in the Clinic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actively developing additional Probody therapeutics in the clinic in collaboration with other companies.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BMS-986249, a CTLA-4 Probody Therapeutic in Collaboration with Bristol-Myers Squibb</w:t>
      </w:r>
    </w:p>
    <w:p>
      <w:pPr>
        <w:spacing w:after="0" w:line="13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Treatment with ipilimumab as a monotherapy or in combination with nivolumab (anti-PD-1 mAb) results in clinically meaningful anti-tumor activity in several malignancies; however, treatment is also associated with irAEs. Strategies to reduce the frequency and severity of anti-CTLA-4-associated irAEs while preserving anti-tumor activity could improve the benefit/risk of anti-CTLA-4 containing treatment regimens.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collaboration with our partner, Bristol-Myers Squibb, we are conducting Probody versions of ipilimumab and unmasked nivolumab. Ipilimumab is a successful drug with global sales in excess of $1 billion. However, ipilimumab has a narrow therapeutic window and the FDA approval has a black box warning about potential severe and fatal immune-related adverse events. We believe that our CTLA-4 Probody therapeutic may be able to effectively localize the CTLA-4 antibody activity to the tumor microenvironment, thereby limiting systemic toxicities normally seen with Yervoy® and expanding the reach of this important anti-cancer mechanism. We believe that Bristol-Myers Squibb is the optimal strategic partner for our CTLA-4 Probody therapeutic given their expertise in cancer immunotherapy and their success with Yervoy®.</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various scientific congresses in 2017 and 2018, Bristol-Myers Squibb presented pre-clinical efficacy and safety data on BMS-986249. For example, at the 2018 Keystone Drugs as Antibodies Conference, Bristol-Myers Squibb scientists presented preclinical efficacy data that showed that BMS-986249 demonstrates comparable anti-tumor activity to ipilimumab in preclinical models. At the Society of Immunotherapy of Cancer (“SITC”) meeting in 2017, Bristol-Myers Squibb scientists presented preclinical data that showed that non-human primates treated with BMS-986249 demonstrated reduced peripheral T-cell activation compared to ipilimumab, suggesting the Probody could have reduced systemic side effects. In addition, Bristol-Myers Squibb scientists presented data on the toxicity profile BMS-986249 and ipilimumab at the AACR-EORTC-NCI meeting in 2017. Bristol-Myers Squibb scientists concluded that the highest non-severely toxic dose (“HNSTD”) of BMS-986249 was 50 mg/kg, while the HNSTD of ipilimumab was determined to be 10 mg/kg. The efficacy data, along with the peripheral T-cell activation data and the widened safety window suggests that BMS-986249 has the potential to widen the therapeutic window of ipilimumab.</w:t>
      </w:r>
    </w:p>
    <w:p>
      <w:pPr>
        <w:spacing w:after="0" w:line="19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Based on the preliminary results of the Phase 1 arm of the trial, Bristol-Myers Squibb has initiated a randomized cohort expansion in its ongoing Phase 1/2a trial of the anti-CTLA-4 Probody BMS-986249. The randomized Phase 2 cohort expansion is designed to further evaluate the safety and efficacy of BMS-986249 alone and in combination with OPDIVO® (nivolumab) in patients with metastatic melanoma, as part of the larger clinical trial. The advancement of BMS-986249 into this part of the planned study triggered a Phase 2 initiation milestone payment of $10.0 million from Bristol-Myers Squibb to CytomX.</w:t>
      </w:r>
    </w:p>
    <w:p>
      <w:pPr>
        <w:spacing w:after="0" w:line="15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September 2019, Bristol-Myers Squibb also initiated the dose escalation phase of a Phase 1/2a clinical trial of a second anti-CTLA-4 Probody, BMS-986288, based on a modified version of ipilimumab, administered as monotherapy and in combination with nivolumab in patients with selected advanced solid tumors.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CX-2029, a CD71 Probody Drug Conjugate in Collaboration with AbbVie</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are collaborating with AbbVie on the development of CX-2029, a CD71 Probody Drug Conjugate (“CD71-PDC”). CD71, also known as transferrin receptor 1 (“TfR1”), is a protein that is essential for iron uptake in dividing cells, is highly expressed in a number of solid and hematologic cancers and has attractive molecular properties for efficient delivery of cytotoxic payloads to tumor cells, such as rapid and efficient internalization of ADCs and PDCs into the cancer cell. However, the combination of high expression in tumors and ubiquitous expression in normal tissues makes CD71 a difficult target for conventional ADCs, but potentially a good candidate for development of PDCs.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t>In preclinical efficacy models, we have shown that CX-2029 is efficacious in many cell line and patient-derived xenograft models that represent many different cancer types. As part of our pre-clinical assessment of CD71-PDCs, we assessed activity in 42 pre-clinical models. We observed tumor regression or stasis in 30 of 42 models (71%) and tumor growth inhibition in 10 of 42 models (24%), demonstrating a wide-ranging pre-clinical anti-tumor activity profile for CD71-PDCs. We have also compared the toxicity profile of a CD71 Antibody Drug Conjugate (“CD71-ADC”) to a CD71-PDC in preclinical studies in non-human primates and have demonstrated lethality of the ADC, compared to the PDC, which was well tolerated. Taken together, we believe that CX-2029 has the potential to create a therapeutic window for the otherwise undruggable CD71 target. CX-2029 is currently being studied in a Phase 1/2 clinical trial (PROCLAIM-CX-2029) that is being conducted by CytomX.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Product Candidates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are actively pursuing the application of our Probody platform technology to multiple other product candidates. These include additional potential first-in-class PDC product candidates and T-Cell Engaging bispecific product candidates. Below are selected examples of product candidates that we are pursuing.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Probody T-Cell Engaging Bispecific Platform</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our Probody platform can be applied to T-cell engaging bispecific antibodies (“TCBs”). TCBs are a highly potent therapeutic modality, designed to direct the activity of cytotoxic T-cells to tumors. TCBs such as Blincyto®, a CD19-directed TCB commercialized by Amgen, have shown clinical activity in hematologic malignancies, but development of TCBs for solid tumor indications is proving challenging. Due to their high potency, TCBs can target normal tissues with low antigen expression, resulting in significant on-target, off-tumor toxicity that can limit dosing to low levels. As a result, it has been difficult to reach the level of drug exposure required for efficacy without excessive toxicity. Therefore, novel methods are needed to enable the potent anti-tumor activity of TCBs while limiting toxicity due to cytokine release and damage to healthy tissues.</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most advanced asset in this modality is a T cell-engaging Bispecific Probody therapeutic (“Pb-TCB”) targeting EGFR and CD3. EGFR is a validated oncology target. Multiple marketed drugs target EGFR, among them the antibodies cetuximab (Erbitux®), panitumumab (Vectibix®) and necitumumab (Portrazza®). These and other approved EGFR-targeting drugs produce an anti-cancer effect by blocking EGFR-mediated growth signals in cancer cells. However, there is untapped potential in targeting EGFR, because while many tumors express EGFR, some do not respond to drugs that work by blocking EGFR signals. A TCB targeting EGFR and CD3 has the potential to address those patients, because blockade of EGFR-mediated growth signals is not required for a TCB to have a therapeutic effect. However, preclinical studies have demonstrated that because EGFR is expressed on many normal tissues, a conventional EGFR-directed TCB is very toxic. A Pb-TCB is designed to address the untapped potential of an EGFR-targeting TCB while reducing the associated toxicity.</w:t>
      </w:r>
    </w:p>
    <w:p>
      <w:pPr>
        <w:spacing w:after="0" w:line="1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preclinical studies, we have demonstrated that the unmasked EGFR-CD3 TCB can exhibit potent dose-dependent tumor cell killing, while the masked EGFR-CD3 Pb-TCB reduced cytotoxicity by more than 100,000-fold. A TCB, which does not bind EGFR, does not kill tumor cells, demonstrating that the activity of the TCB is target dependent. However, in established tumor models, we have demonstrated that Pb-TCBs can induce tumor regressions and demonstrate significant anti-tumor activity. In nonhuman primates, the EGFR-CD3 Pb-TCB has a significantly higher maximum tolerated dose than the unmasked TCB. Cynomologus monkeys were able to tolerate a dose of 4,000 microgram/kg of the Pb-TCB, while the maximum tolerated dose of the unmasked TCB was 60 microgram/kg.</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Taken together, we believe our Probody Platform has the potential to enable the development of T-cell engaging bispecific therapeutics against broadly expressed targets such as EGFR. Our EGFR-CD3 Pb-TCB program is partnered with Amgen and we anticipate advancing a lead candidate for this program during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EPCAM Probody Drug Conjugate Preclinical Development Program</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the end of 2019, as a result of a strategic restructuring by ImmunoGen, and its decision to out-license certain programs, we obtained a worldwide, exclusive, sublicensable license from ImmunoGen, to its epithelial cell adhesion molecule (EpCAM)-targeting PDC program. We paid ImmunoGen an upfront license payment and will pay certain clinical development, approval and commercialization milestone payments if achieved and royalties on product sales. This program was originally developed by ImmunoGen utilizing our Probody technology and ImmunoGen’s next-generation linker chemistry and novel maytansinoid payload, DM-21, and arose from our collaboration with ImmunoGen as discussed below.</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EpCAM is a target that is highly expressed on a wide variety of tumor types; however, it has been difficult to drug as it is also expressed widely on normal tissues. Pre-clinical data presented by ImmunoGen at the 2018 European Antibody Congress and the 2019 AACR Annual Meeting indicated that PDCs against EpCAM elicited potent tumor regression in multiple tumor models while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minimizing anticipated on-target toxicities outside the tumor microenvironment. We anticipate moving this program into IND-enabling studies during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the Probody platform has broad applicability across a number of targets and antibody formats. We have leveraged strategic partnering to (a) extend the reach of our therapeutic opportunity and (b) bring in significant non-dilutive capital into the Company. Since 2013, we have entered into collaborations with AbbVie, Amgen, Bristol-Myers Squibb and ImmunoGen, among others, to enable development of certain Probody therapeutics. In constructing each of these collaborations, our primary objectives were to collaborate with leading biopharmaceutical players to validate the potential of Probody therapeutics, to gain meaningful near-term funding and/or technology access to enable advancement of our wholly owned Probody therapeutics pipeline, broaden the number of Probody therapeutics that ultimately reach the clinic, and to retain significant milestones, royalties, and in some cases product rights, for long term upside.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Ireland Unlimited Company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2016, we entered into two agreements with AbbVie, a CD71 Co-Development and Licensing Agreement (the “CD71 Agreement”) and the Discovery Agreement (the Discovery Agreement, together with the CD71 Agreement are collectively referred to as the “AbbVie Agreements”). Under the terms of the CD71 Agreement, we and AbbVie are co-developing CX-2029, a Probody Drug Conjugate (“PDC”) against CD71, and we are responsible for pre-clinical and early clinical development. AbbVie will be responsible for later development and commercialization, with global late-stage development costs shared between the two companies. We will assume 35% of the net profits or net losses related to later development unless we opt-out. If we opt-out from participation of co-development of CX-2029, AbbVie will have sole right and responsibility for the further development, manufacturing and commercialization of CX-2029.</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CD71 Agreement, we received an upfront payment of $20.0 million in April 2016, and we are eligible to receive up to $470.0 million in development, regulatory and commercial milestone payments and royalties on ex-US sales in the high teens to low twenties if we participate in the co-development of CX-2029 subject to a reduction in such royalties if we opt-out from the co-development of the CD71 PDC. Our share of later stage co-development costs for CX-2029 is capped, provided that AbbVie may offset our co-development cost above the capped amounts from future payments such as milestone payments and royalties.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Discovery Agreement, AbbVie received exclusive worldwide rights to develop and commercialize PDCs against up to two targets, one of which was selected in March 2017 and the second of which was selected in July 2019. We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Discovery Agreement, we received an upfront payment of $10.0 million in April 2016 and we received an additional upfront payment of $10.0 million in July 2019 upon the selection by AbbVie of the second target and the satisfaction of certain performance conditions under the CD71 Agreement. We are also eligible to receive up to $275.0 million in target nomination, development, regulatory and commercial milestone payments and royalties in the high single to low teens from commercial sales of any resulting PDCs.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terms of the Amgen Agreement, we and Amgen are co-developing a Probody T-cell engaging bi-specific therapeutic targeting EGFR (“EGFR Products”). We are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we will have the right to elect to participate financially in the global co-development of EGFR Products with Amgen, during which we would bear certain of the worldwide development costs for EGFR Products and Amgen would bear the rest of such costs (the “EGFR Co-Development Option”). If we exercise our EGFR Co-Development Option, we will share in somewhat less than 50% of the profit and losses from sales of such EGFR Products in the U.S., subject to certain caps, offsets, and deferrals. If we choose not to exercise our EGFR Co-Development Option, we will not bear any costs of later stage development. We are eligible to receive up to $455.0 million in development, regulatory, and commercial milestone payments for EGFR Products, and royalties in the low-double digit to mid-teen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percentage of worldwide commercial sales, provided that if we exercise our EGFR Co-Development option, we shall only receive royalties in the low-double digit to mid-teen percentage of commercial sales outside of the United States.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Amgen also has the right to select a total of up to three targets, including the two additional targets discussed below. We and Amgen will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us, Amgen will be responsible, at its expense, for the development, manufacture, and commercialization of all Amgen Products. If Amgen exercises all of its options and advances all three of the Amgen Products, we are eligible to receive up to $950.0 million in upfront, development, regulatory, and commercial milestones and tiered high single-digit to low-teen percentage royalties.</w:t>
      </w:r>
    </w:p>
    <w:p>
      <w:pPr>
        <w:spacing w:after="0" w:line="17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have the option to select, from programs specified in the Amgen Agreement, an existing pre-clinical stage T-cell engaging bispecific product from the Amgen pre-clinical pipeline. We will be responsible, at our expense, for converting this program to a Probody T-cell engaging bispecific product, and thereafter,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2014, we and Bristol-Myers Squibb entered into a Collaboration and License Agreement (the “BMS Agreement”) to discover and develop compounds for use in human therapeutics aimed at multiple immuno-oncology targets using our Probody therapeutic technology.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terms of the BMS Agreement, we granted Bristol-Myers Squibb exclusive worldwide rights to develop and commercialize Probody therapeutics for up to four oncology targets, two of which were selected upon the execution of the BMS Agreement. Pursuant to the BMS Agreement, we received an upfront payment of $50.0 million and were initially entitled to receive contingent payments of up to an aggregate of $1,217.0 million in development, regulatory and commercial milestone payments, which can be reduced by any such payments received or by any termination of targets being pursued. We are entitled to royalty payments in the mid-single digit to low double digits percentage from potential future sales. We also receive research and development service fees. Bristol-Myers Squibb has terminated certain targets from the BMS Agreement, as described below.</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2016, Bristol-Myers Squibb selected the third target pursuant to the BMS Agreement and paid us $10.0 million. In December 2016, Bristol-Myers Squibb selected the fourth and its final target pursuant to the BMS Agreement and paid us $15.0 million. In December 2016, Bristol-Myers Squibb selected BMS-986249, a CTLA-4 Probody therapeutic, as a clinical candidate pursuant to the BMS Agreement, which triggered a $2.0 million pre-clinical milestone payment to us. In November 2017, Bristol-Myers Squibb received acceptance of the IND for BMS-986249 from the FDA, which triggered a $10.0 million milestone payment to us. Bristol-Myers Squibb recently advanced BMS-986249 into a randomized Phase 2 cohort expansion in patients with metastatic melanoma in combination with the PD-1 inhibitor nivolumab as part of the larger clinical trial, triggering, in February 2020, a $10.0 million milestone payment from Bristol-Myers Squibb to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200"/>
        <w:spacing w:after="0" w:line="264" w:lineRule="auto"/>
        <w:rPr>
          <w:sz w:val="20"/>
          <w:szCs w:val="20"/>
          <w:color w:val="auto"/>
        </w:rPr>
      </w:pPr>
      <w:r>
        <w:rPr>
          <w:rFonts w:ascii="Arial" w:cs="Arial" w:eastAsia="Arial" w:hAnsi="Arial"/>
          <w:sz w:val="18"/>
          <w:szCs w:val="18"/>
          <w:color w:val="auto"/>
        </w:rPr>
        <w:t>In September 2019, Bristol-Myers Squibb initiated the dose escalation phase of a Phase 1/2a clinical trial of a second anti-CTLA-4 Probody, BMS-986288, based on a modified version of ipilimumab, administered as monotherapy and in combination with nivolumab in patients with selected advanced solid tumors.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March 2017, we and Bristol-Myers Squibb entered into Amendment Number 1 to Extend Collaboration and License Agreement (the “Amendment”). The Amendment grants Bristol-Myers Squibb exclusive worldwide rights to develop and commercialize Probody therapeutics for up to six additional oncology targets and two non-oncology targets.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terms of the Amendment, we will continue to collaborate with Bristol-Myers Squibb to discover and conduct preclinical development of Probody therapeutics against targets selected by Bristol-Myers Squibb.</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Amendment, we received an upfront payment of $200.0 million and we will be eligible to receive up to an aggregate of $3,586.0 million as follows: (i) up to $116.0 million in development milestone payments per target or up to $928.0 million if the maximum of eight targets are selected for the first product modality; (ii) up to $124.0 million in milestone payments for the first commercial sale in various territories for up to three indications per target program or up to $992.0 million if the maximum of eight targets are selected for the first product modality; (iii) up to $60.0 million in sales milestone payments per target or up to $480.0 million if maximum of eight targets are selected for the first product modality; and (iv) up to $56.3 million in development milestone payments or up to $450.0 million if the maximum of eight targets are selected for the second product modality; (v) up to $62.0 million in milestone payments for the first commercial sale in various territories for up to three indications per target program or up to $496.0 million if the maximum of eight targets are selected for the second product modality; (iii) up to $30.0 million in sales milestone payments per target or up to $240.0 million if maximum of eight targets are selected for the second product modality. We are also entitled to tiered mid-single to low double-digit percentage royalties from potential future sales.</w:t>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January 2019, Bristol-Myers Squibb provided us notification of termination of three of the targets in the BMS Agreement. The termination of these targets does not affect the Amendment, which remains in full force and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 Inc</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January 2014, CytomX and ImmunoGen entered into the Research Collaboration Agreement (the “ImmunoGen Research Agreement”). The ImmunoGen Research Agreement provides us with the right to use ImmunoGen’s ADC technology in combination with our Probody therapeutic technology to create a PDC directed at one specified target under a research license, and to subsequently obtain an exclusive, worldwide development and commercialization license to use ImmunoGen’s ADC technology to develop and commercialize such PDCs. Under the agreement, we provided ImmunoGen with the rights to our Probody therapeutic technology to create PDCs directed at two targets under the research license and to subsequently obtain exclusive, worldwide development and commercialization licenses to develop and commercialize such PDCs. In February 2016, we exercised our option to obtain a development and commercialization license for CX-2009 pursuant to the terms of the ImmunoGen Research Agreement (the “CX-2009 License”). In February 2017, ImmunoGen exercised its option to obtain a development and commercialization license for the first of its two targets. ImmunoGen discontinued this program in July 2017 and substitution rights for this program terminated in February 2017. ImmunoGen exercised its second option to obtain a development and commercialization license pursuant to the ImmunoGen Research Agreement (the “ImmunoGen 2017 License”) for a target, epithelial cell adhesion molecule (EPCAM), in December 2017. At the end of 2019, as a result of a strategic restructuring by ImmunoGen and its decision to out-license certain programs, we obtained a worldwide, exclusive, sublicensable license to the EPCAM PDC program from ImmunoGen (the “ImmunoGen 2019 License”) and the ImmunoGen 2017 license ended.</w:t>
      </w:r>
    </w:p>
    <w:p>
      <w:pPr>
        <w:spacing w:after="0" w:line="18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Under the terms of the ImmunoGen Research Agreement, both we and ImmunoGen were required to perform research activities on behalf of the other party for no monetary consideration. Each party was solely responsible for the development, manufacturing and commercialization of any products resulting from the exclusive development and commercialization license obtained by such party under the agreement. In consideration for the CX-2009 License, ImmunoGen is entitled to receive up to $60.0 million in development and regulatory milestone payments, up to $100.0 million in sales milestone payments and royalties in the mid to high single digits percentage on the commercial sales of any resulting product. In August 2017, we made a milestone payment of $1.0 million to ImmunoGen for the first patient dosing with CX-2009 and in February 2020, we triggered a $3.0 million milestone payment to ImmunoGen for the first dosing of a patient in the CX-2009 Phase 2 clinical trial. Under the ImmunoGen 2019 License, we gained rights to the EPCAM PDC program and, in return, we made an upfront payment, and we will pay certain clinical development, approval and commercialization milestone payments if achieved and royalties on product sales.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Probody therapeutic candidates are designed to be produced as fully recombinant antibody prodrugs. Our Probody therapeutic candidates are also designed to maintain the manufacturability benefits of antibodies and leverage well established technologies used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right="480"/>
        <w:spacing w:after="0" w:line="342" w:lineRule="auto"/>
        <w:rPr>
          <w:sz w:val="20"/>
          <w:szCs w:val="20"/>
          <w:color w:val="auto"/>
        </w:rPr>
      </w:pPr>
      <w:r>
        <w:rPr>
          <w:rFonts w:ascii="Arial" w:cs="Arial" w:eastAsia="Arial" w:hAnsi="Arial"/>
          <w:sz w:val="16"/>
          <w:szCs w:val="16"/>
          <w:color w:val="auto"/>
        </w:rPr>
        <w:t>for antibody production.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preferred cell line has been successfully used for manufacturing several antibodies and requires minimal process optimization to establish a process to support early phase manufacturing. We utilize well established production steps typically part of a platform manufacturing process for antibodies. The CMO we have selected has a strong track record in manufacturing therapeutic biologics, including antibodies. Similarly, for our PDC projects we have selected CMOs with strong expertise in clinical/commercial drug conjugate manufacturing and with capabilities for toxin conjugation and fill-finish. Furthermore, our two lead PDC programs incorporate toxin payloads that have an established clinical and regulatory history.</w:t>
      </w:r>
    </w:p>
    <w:p>
      <w:pPr>
        <w:spacing w:after="0" w:line="17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To date, we have generally been able to successfully manufacture CX-072, CX-2009 and CX-2029 for our ongoing early stage clinical trials with contract manufacturers. Our partner, Bristol-Myers Squibb, has also been successful in independently manufacturing drug product for BMS-986249 and BMS-986288. However, in November 2019, we encountered a production failure at one of our CMOs that manufactures CX-072 for our Phase 2 clinical trial. We have contracted with alternative suppliers that we believe will be able to timely deliver clinical trial drug product for our ongoing trial. However, if the contract manufacturers are not able to manufacture satisfactory drug product in the second quarter of 2020, we may be required to temporarily suspend our ongoing trial for new and ongoing patients, which could affect our ability to conduct our trial on our originally planned timeline. Furthermore, in order to conduct later stage clinical trials of our product candidates, including CX-072, CX-2009 and CX-2029,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 drug manufacturing capability and to increase the term of stability for CX-072 drug product for late stage clinical trials and commercialization. However, we may have to start late stage trials with our early clinical trial drug product and switch to the late stage or commercial drug product mid trial. In such event, the FDA will require us to complete bridging studies to compare the earlier stage material with the late stage or commercial material to assure comparability between the earlier trial material and the late stage or commercial</w:t>
      </w:r>
    </w:p>
    <w:p>
      <w:pPr>
        <w:spacing w:after="0" w:line="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material. Changing the formulation and scale up process is a complicated and difficult task. While we believe we can complete the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unable scale up our manufacturing capabilities with respect to CX-072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9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supply chain for the manufacturing of our product candidates is complicated and can involve many parties.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This could result in a substantial delay of our clinical trials. For example, for each of CX-072, CX-2009 and CX-2029, our manufacturing supply chain includes several contract manufacturers, and failure by any of these manufacturers could result in interruptions of our clinical studies. We do not have any long-term contracts and we do not currently have an alternative to 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Massachusetts provided clinical manufacturing support for the CX-2009 program. We recently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CX-2009 as a result of such transfer or that we will not experience any other disruption in the manufacturing of CX-2009.</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from UCSB</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Probody antibodies and other pro-proteins in the fields of therapeutics, in vivo diagnostics and prophylactics.</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had no upfront payment obligations under the agreement. In April 2019, we amended the UCSB Agreement and in connection with the amendment, we paid UCSB $1.0 million and issued 150,000 shares of our common stock to UCSB. We are obligated to pay to UCSB royalties on net sales of licensed products in the low single digit percentages, subject to annual minimum amounts as well as certain reductions. We are required to make milestone payments to UCSB on the accomplishment of certain milestones totaling up to $1,075 million for each of the first two indications for each licensed product consisting of a molecule or compound covered by the licensed patent rights. We were also obligated to make a payment to UCSB upon the first occurrence of an IPO or change of control. If the Company sublicenses its rights under the UCSB Agreement, it must pay UCSB a percentage of our total sublicense revenues ranging from the mid-single to mid-teen percentages, which total amount would be first reduced by the aggregate amount of certain research and development related expenses incurred by the Company and other permitted deductions.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from ImmunoGen</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February 2016, we exercised our option to obtain a worldwide, exclusive, sublicensable license from ImmunoGen for development and commercialization of products directed against the target selected by us under our research collaboration agreement with ImmunoGen. Additionally, in December 2019, we obtained a worldwide, exclusive, sublicensable license to ImmunoGen’s EPCAM PDC program. See the description of the license agreements set forth under the caption “Our Collaborations—ImmunoGen, Inc.” in this Item 1 of this Annual Report on Form 10-K.</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CytomX is pioneering a new class of antibody therapeutics – the Probody therapeutic platform. The biotechnology and biopharmaceutical industries, and the immuno-oncology subsector,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 institutions, are actively developing potentially competitive products and technologies. We face substantial competition from biotechnology and biopharmaceutical companies developing biopharmaceutical products, particularly with respect to in immuno-oncology therapeutics, where competition is intense and rapidly evolving. These competitors generally fall within the following categories:</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Masking and conditional activation: </w:t>
      </w:r>
      <w:r>
        <w:rPr>
          <w:rFonts w:ascii="Arial" w:cs="Arial" w:eastAsia="Arial" w:hAnsi="Arial"/>
          <w:sz w:val="18"/>
          <w:szCs w:val="18"/>
          <w:color w:val="auto"/>
        </w:rPr>
        <w:t>Several companies, including AbbVie, Adagene, Akriveia, Amgen, Amunix, BioAtla, Halozyme, Harpoon, Maverick</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Pandion Therapeutics, Revitope, Roche, Seattle Genetics, and Werewolf are exploring antibody masking and/or conditional activation strategies, which could compete with our Probody Platform.</w:t>
      </w:r>
    </w:p>
    <w:p>
      <w:pPr>
        <w:spacing w:after="0" w:line="1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Cancer immunotherapies: </w:t>
      </w:r>
      <w:r>
        <w:rPr>
          <w:rFonts w:ascii="Arial" w:cs="Arial" w:eastAsia="Arial" w:hAnsi="Arial"/>
          <w:sz w:val="18"/>
          <w:szCs w:val="18"/>
          <w:color w:val="auto"/>
        </w:rPr>
        <w:t>Cancer immunotherapy is one of the most competitive and fastest growing segments of the pharmaceutical industry. Almost</w:t>
      </w:r>
      <w:r>
        <w:rPr>
          <w:rFonts w:ascii="Arial" w:cs="Arial" w:eastAsia="Arial" w:hAnsi="Arial"/>
          <w:sz w:val="18"/>
          <w:szCs w:val="18"/>
          <w:b w:val="1"/>
          <w:bCs w:val="1"/>
          <w:color w:val="auto"/>
        </w:rPr>
        <w:t xml:space="preserve"> </w:t>
      </w:r>
      <w:r>
        <w:rPr>
          <w:rFonts w:ascii="Arial" w:cs="Arial" w:eastAsia="Arial" w:hAnsi="Arial"/>
          <w:sz w:val="18"/>
          <w:szCs w:val="18"/>
          <w:color w:val="auto"/>
        </w:rPr>
        <w:t>every large pharmaceutical company is developing cancer immunotherapies, including Amgen, AstraZeneca PLC, Bristol-Myers Squibb, Celgene, GlaxoSmithKline plc, Merck &amp; Co., Inc., Novartis AG, Pfizer, Roche Holding Ltd and Sanofi SA. In addition, many large and mid-sized biotech companies such as BeiGene Incyte, TESARO, Inc., Nektar, and Alkermes have ongoing efforts in cancer immunotherapy. In addition, numerous smaller companies are also working in the space.</w:t>
      </w:r>
    </w:p>
    <w:p>
      <w:pPr>
        <w:spacing w:after="0" w:line="184"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b w:val="1"/>
          <w:bCs w:val="1"/>
          <w:color w:val="auto"/>
        </w:rPr>
        <w:t xml:space="preserve">Antibody drug conjugates: </w:t>
      </w:r>
      <w:r>
        <w:rPr>
          <w:rFonts w:ascii="Arial" w:cs="Arial" w:eastAsia="Arial" w:hAnsi="Arial"/>
          <w:sz w:val="18"/>
          <w:szCs w:val="18"/>
          <w:color w:val="auto"/>
        </w:rPr>
        <w:t>Several large pharmaceutical companies, such as AbbVie, Daiichi Sankyo, Pfizer, Roche, and Takeda are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ADCs. Three mid-sized companies, ImmunoGen, Seattle Genetics, and Immunomedics are also leaders in this space. In addition, numerous smaller companies have ongoing efforts in the space.</w:t>
      </w:r>
    </w:p>
    <w:p>
      <w:pPr>
        <w:spacing w:after="0" w:line="176"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T-cell engaging bispecifics: </w:t>
      </w:r>
      <w:r>
        <w:rPr>
          <w:rFonts w:ascii="Arial" w:cs="Arial" w:eastAsia="Arial" w:hAnsi="Arial"/>
          <w:sz w:val="18"/>
          <w:szCs w:val="18"/>
          <w:color w:val="auto"/>
        </w:rPr>
        <w:t>Several large pharmaceutics companies, such as Amgen, Novartis, and Roche, have on-going efforts in the space of TCBs.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several mid-sized biotech companies such as Macrogenics and Xencor have ongoing efforts in TCBs. In addition, numerous smaller companies have ongoing efforts in the space.</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Many of our competitors, either alone or with strategic partners, have substantially greater financial, technical and human resources than we do. Accordingly, our competitors may be more successful than us in obtaining approval for treatments and achieving widespread market acceptance, rendering our treatments obsolete or non-competitive. Accelerated merger and acquisition activity in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21" w:name="page22"/>
    <w:bookmarkEnd w:id="21"/>
    <w:p>
      <w:pPr>
        <w:ind w:right="20"/>
        <w:spacing w:after="0" w:line="271" w:lineRule="auto"/>
        <w:rPr>
          <w:sz w:val="20"/>
          <w:szCs w:val="20"/>
          <w:color w:val="auto"/>
        </w:rPr>
      </w:pPr>
      <w:r>
        <w:rPr>
          <w:rFonts w:ascii="Arial" w:cs="Arial" w:eastAsia="Arial" w:hAnsi="Arial"/>
          <w:sz w:val="17"/>
          <w:szCs w:val="17"/>
          <w:color w:val="auto"/>
        </w:rPr>
        <w:t>the biotechnology and biopharmaceutical industries may result in even more resources being concentrated among a smaller number of our competitors.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in the event that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our products’ entry. We believe the factors determining the success of our programs will be the efficacy, safety and convenience of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We believe that we have a strong global intellectual property position and substantial know-how and trade secrets relating to our Probody therapeutic technology, platform and product candidates. Our patent portfolio as of February 20, 2020 contains at least 135 issued patents (some of which are co-owned with a third party) and 325 pending patent applications (some of which are co-owned with a third party). We have exclusively licensed UCSB’s interest in the co-owned patent family covering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These patents and patent applications include claims directed to:</w:t>
      </w:r>
    </w:p>
    <w:p>
      <w:pPr>
        <w:spacing w:after="0" w:line="11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platform and PDC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pro-protein platforms;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conjugates and conjugation methods to produce PDCs;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Bispecific and other multispecific Probody therapeutics, including T-cell-recruiting bispecific Probody therapeutics;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Protease-cleavable linkers, e.g., serine protease- and/or MMP-cleavable linkers;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Improved display systems for peptide display, e.g., to identify masks, substrates, and other proteins;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Cancer immunotherapy Probody therapeutics, e.g., PD-L1, PD-1, and CTLA-4 Probody therapeutics, as well as related novel antibodies and combination therapies;</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drug conjugates, e.g., CD-166, CD71 (transferrin receptor), CD49c (integrin alpha 3), and CD147 PDCs, as well as related Probody therapeutics, novel antibodies and ADCs;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Probody therapeutics to other targets, e.g., EGFR, Jagged, and IL6R Probody therapeutics, as well as related PDCs, novel antibodies and ADCs;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Antibodies that bind Probody therapeutics, e.g., anti-mask and anti-Probody antibodies;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Antibodies that bind key targets;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Antibodies that bind the active site of uPA protease;</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Compositions and methods to discriminate between intact Probody therapeutics and activated versions thereof, as well as other translation assays;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Methods to produce intact Probody therapeutics;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Methods to use any of the above-referenced compounds and compositions.</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addition, we have exclusively licensed a patent portfolio of patent families from UCSB patents and patent applications that cover compositions and methods related to screening for and identification of masks and protease-cleavable linkers that we incorporate into our Probody therapeutics.</w:t>
      </w:r>
    </w:p>
    <w:p>
      <w:pPr>
        <w:spacing w:after="0" w:line="12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the European Union and in additional countries where we believe such foreign filing is likely to be beneficial, including but not limited to any or all of Australia, Brazil, Canada, China, Europe, Hong Kong, India, Indonesia, Israel, Japan, Malaysia, Mexico, New Zealand, Russia or Eurasian Patent Organization, Singapore, South Africa and South Korea.</w:t>
      </w:r>
    </w:p>
    <w:p>
      <w:pPr>
        <w:spacing w:after="0" w:line="18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currently issued patents will likely expire on dates ranging from 2028 to 2035, unless we receive patent term extension or adjustment as might be available under applicable law. If patents are issued on our pending patent applications, the resulting patents are projected to expire on dates ranging from 2028 to 2040,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U.S., the FDA regulates biologics under the Federal Food, Drug, and Cosmetic Act (“FDCA”) and the Public Health Service Act (“PHSA”), and their respective implementing regulations. Failure to comply with the applicable U.S. requirements at any time during the product development or approval process, or after approval, may subject an applicant to administrative or judicial sanctions, any of which could have a material adverse effect on us. These sanctions could include:</w:t>
      </w:r>
    </w:p>
    <w:p>
      <w:pPr>
        <w:spacing w:after="0" w:line="79"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to approve pending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an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a clinical hold;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seizures or administrative detention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or partial suspension of production or distribution;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fines, disgorgement, or civil or criminal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Approval Process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biologic may be marketed in the U.S. generally involves the following:</w:t>
      </w:r>
    </w:p>
    <w:p>
      <w:pPr>
        <w:spacing w:after="0" w:line="117" w:lineRule="exact"/>
        <w:rPr>
          <w:sz w:val="20"/>
          <w:szCs w:val="20"/>
          <w:color w:val="auto"/>
        </w:rPr>
      </w:pPr>
    </w:p>
    <w:p>
      <w:pPr>
        <w:ind w:left="1040" w:right="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conducted according to good laboratory practices (“GLPs”), and other applicable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(“GCPs”), to establish the safety, purity and potency of the product candidate for its intended use;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17" w:lineRule="exact"/>
        <w:rPr>
          <w:rFonts w:ascii="Arial" w:cs="Arial" w:eastAsia="Arial" w:hAnsi="Arial"/>
          <w:sz w:val="18"/>
          <w:szCs w:val="18"/>
          <w:color w:val="auto"/>
        </w:rPr>
      </w:pPr>
    </w:p>
    <w:p>
      <w:pPr>
        <w:ind w:left="1040" w:right="280" w:hanging="519"/>
        <w:spacing w:after="0" w:line="259"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 and of selected clinical investigation sites to assess compliance with GCPs; and</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its particular labeled uses in the United States.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Studies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studies or all studies conducted under the IND.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t xml:space="preserve">All clinical trials must be conducted under the supervision of one or more qualified investigators in accordance with GCPs.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candidate. An institutional review board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 There are also requirements governing the reporting of ongoing clinical trials and completed clinical trial results to public registries.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40" w:right="38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78" w:lineRule="exact"/>
        <w:rPr>
          <w:rFonts w:ascii="Arial" w:cs="Arial" w:eastAsia="Arial" w:hAnsi="Arial"/>
          <w:sz w:val="18"/>
          <w:szCs w:val="18"/>
          <w:color w:val="auto"/>
        </w:rPr>
      </w:pPr>
    </w:p>
    <w:p>
      <w:pPr>
        <w:jc w:val="both"/>
        <w:ind w:left="1040" w:right="74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Phase 2—Clinical trials are performed on a limited patient population intended to identify possible adverse effects and safety risks, to preliminarily evaluate the efficacy of the product for specific targeted diseases and to determine dosage tolerance and optimal dosage.</w:t>
      </w:r>
    </w:p>
    <w:p>
      <w:pPr>
        <w:spacing w:after="0" w:line="15" w:lineRule="exact"/>
        <w:rPr>
          <w:rFonts w:ascii="Arial" w:cs="Arial" w:eastAsia="Arial" w:hAnsi="Arial"/>
          <w:sz w:val="16"/>
          <w:szCs w:val="16"/>
          <w:color w:val="auto"/>
        </w:rPr>
      </w:pPr>
    </w:p>
    <w:p>
      <w:pPr>
        <w:ind w:left="1040" w:right="12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product approval.</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pivotal study is a clinical study that adequately meets regulatory agency requirements for the evaluation of a product candidate’s efficacy and safety such that it can be used to justify the approval of the product. Generally, pivotal studies are also Phase 3 studies but may be Phase 2 studies if the trial design provides a reliable assessment of clinical benefit, particularly in situations where there is an unmet medical need. Human 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78"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w:t>
      </w:r>
    </w:p>
    <w:p>
      <w:pPr>
        <w:ind w:right="80"/>
        <w:spacing w:after="0" w:line="290" w:lineRule="auto"/>
        <w:rPr>
          <w:sz w:val="20"/>
          <w:szCs w:val="20"/>
          <w:color w:val="auto"/>
        </w:rPr>
      </w:pPr>
      <w:r>
        <w:rPr>
          <w:rFonts w:ascii="Arial" w:cs="Arial" w:eastAsia="Arial" w:hAnsi="Arial"/>
          <w:sz w:val="16"/>
          <w:szCs w:val="16"/>
          <w:color w:val="auto"/>
        </w:rPr>
        <w:t>Sponsors typically use the meeting at the end of Phase 2 to discuss their Phase 2 clinical results and present their plans for the pivotal Phase 3 clinical trial that they believe will support the approval of the new therapeutic. If a Phase 3 clinical trial is the subject of discussion at the end of Phase 2 meeting with the FDA, a sponsor may be able to request a Special Protocol Assessment (“SPA”), the purpose of which is to reach agreement with the FDA on the Phase 3 clinical trial protocol design and analysis that will form the primary basis of an efficacy claim. If a written agreement is reached, it will be binding on the FDA and may not be changed by the sponsor or the FDA after the trial begins except with the written agreement of the sponsor and the FDA or if the FDA determines that a substantial scientific issue essential to determining the safety or efficacy of the product candidate was identified after the testing began.</w:t>
      </w:r>
    </w:p>
    <w:p>
      <w:pPr>
        <w:spacing w:after="0" w:line="16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Submission of a BLA to the FDA</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results of product development,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GCP requirements. To assure cGMP and GCP compliance, an applicant must incur significant expenditure of time, money and effort in the areas of training, record keeping, production and quality control.</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of the application.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80"/>
        <w:spacing w:after="0" w:line="293" w:lineRule="auto"/>
        <w:rPr>
          <w:sz w:val="20"/>
          <w:szCs w:val="20"/>
          <w:color w:val="auto"/>
        </w:rPr>
      </w:pPr>
      <w:r>
        <w:rPr>
          <w:rFonts w:ascii="Arial" w:cs="Arial" w:eastAsia="Arial" w:hAnsi="Arial"/>
          <w:sz w:val="16"/>
          <w:szCs w:val="16"/>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similar to that supporting the original approval, and the FDA uses similar procedures in reviewing supplements as it does in reviewing original applications.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8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If use of companion diagnostic is essential to safe and effective use of a biologic product, then the FDA generally will require approval or clearance of the diagnostic contemporaneously with the approval of the biologic product. According to FDA guidance, for 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FDA offers a number of expedited development and review programs for qualifying product candidates.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300"/>
        <w:spacing w:after="0" w:line="264" w:lineRule="auto"/>
        <w:rPr>
          <w:sz w:val="20"/>
          <w:szCs w:val="20"/>
          <w:color w:val="auto"/>
        </w:rPr>
      </w:pPr>
      <w:r>
        <w:rPr>
          <w:rFonts w:ascii="Arial" w:cs="Arial" w:eastAsia="Arial" w:hAnsi="Arial"/>
          <w:sz w:val="18"/>
          <w:szCs w:val="18"/>
          <w:color w:val="auto"/>
        </w:rPr>
        <w:t>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After a BLA is submitted for a product, including a product with a fast track designation and/or breakthrough therapy designation, the BLA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Priority review designation means the FDA’s goal is to take action on the marketing application within six months of the 60-day filing date, compared to ten months under standard review.</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Marketing Exclusivity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 </w:t>
      </w:r>
      <w:r>
        <w:rPr>
          <w:rFonts w:ascii="Arial" w:cs="Arial" w:eastAsia="Arial" w:hAnsi="Arial"/>
          <w:sz w:val="16"/>
          <w:szCs w:val="16"/>
          <w:i w:val="1"/>
          <w:iCs w:val="1"/>
          <w:color w:val="auto"/>
        </w:rPr>
        <w:t>Orphan Drug Designation</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If a product candidate that has Orphan Drug Designation subsequently receives the first FDA approval for the disease for which it has such designation, the product candidate is entitled to orphan product exclusivity, which means that the FDA may not approve any other applications to market the same product candidate for the same indication, except under limited circumstances, for seven years. Orphan drug exclusivity, however, could also block the approval of one of our therapeutic candidates for seven years if a competitor obtains approval of the same product candidate as defined by the FDA or if our product candidate is determined to be contained within the competitor’s product candidate for the same indication or disease.</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the orphan drug credit is available for qualifying costs incurred between the date the FDA designates a drug as an orphan drug and the date the FDA approves the drug. Tax reform legislation, enacted in December 2017, reduced the amount of the qualified clinical research costs for a designated orphan product that a sponsor may claim as a credit from 50% to 25%.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 and Pediatric Use</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Under the Best Pharmaceuticals for Children Act (the “BPCA”), certain therapeutic candidates may obtain an additional six months of exclusivity if the sponsor submits information requested in writing by the FDA, referred to as a Written Request, relating to the use of the active moiety of the product candidate in children. Although the FDA may issue a Written Request for studies on either approved or unapproved indications, it may only do so where it determines that information relating to that use of a product candidate in a pediatric population, or part of the pediatric population, may produce health benefits in that population.</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Pediatric Research Equity Act (“PREA”), requires a sponsor to conduct pediatric studies for most therapeutic candidates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safe and effective.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 Compliance letter and sponsor’s response.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Once a BLA approval is granted, the FDA may withdraw the approval if compliance with regulatory requirements is not maintained or if problems occur after the biologic product reaches the market. Later discovery of previously unknown problems with a product 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biologic products manufactured or distributed by us pursuant to FDA approvals are subject to continuing regulation by the FDA, including, among other things:</w:t>
      </w:r>
    </w:p>
    <w:p>
      <w:pPr>
        <w:spacing w:after="0" w:line="6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of adverse experiences with the product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the FDA with updated safety and efficacy information;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sampling and distribution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notifying the FDA and gaining its approval of specified manufacturing or labeling changes; and</w:t>
      </w:r>
    </w:p>
    <w:p>
      <w:pPr>
        <w:spacing w:after="0" w:line="117" w:lineRule="exact"/>
        <w:rPr>
          <w:rFonts w:ascii="Arial" w:cs="Arial" w:eastAsia="Arial" w:hAnsi="Arial"/>
          <w:sz w:val="18"/>
          <w:szCs w:val="18"/>
          <w:color w:val="auto"/>
        </w:rPr>
      </w:pPr>
    </w:p>
    <w:p>
      <w:pPr>
        <w:ind w:left="1040" w:hanging="519"/>
        <w:spacing w:after="0" w:line="286"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complying with FDA promotion and advertising requirements, which include, among other things, standards for direct-to-consumer advertising, restrictions on promoting products for uses or in-patient populations that are not described in the product’s approved labeling, limitations on industry-sponsored scientific and educational activities and requirements for promotional activities involving the internet.</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Legislation and Regulations</w:t>
      </w:r>
    </w:p>
    <w:p>
      <w:pPr>
        <w:spacing w:after="0" w:line="11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changed or what the effect of such changes, if any, may be.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Outside of the U.S.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in the U.S., we may apply for designation of a product candidate as an orphan drug for the treatment of a specific indication in the European Union before the application for marketing authorization is made.</w:t>
      </w:r>
    </w:p>
    <w:p>
      <w:pPr>
        <w:spacing w:after="0" w:line="17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 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 Since its enactment, there have been judicial and Congressional challenges to certain aspects of the ACA, as well as efforts by the current presidential administration to modify, repeal, or otherwise invalidate all, or certain provisions of, the ACA. By way of example, the Tax Cuts and Jobs Act was enacted, which, among other things, removes penalties for not complying with the ACA’s individual mandate to carry health insurance. It is unclear how these challenges, subsequent appeals, and other efforts to challenge, repeal, or replace the ACA will impact the ACA.</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of 2% per fiscal year starting in April 2013, and, due to subsequent legislative amendments, will stay in effect through 2027 unless additional Congressional action is taken. On January 2, 2013, President Obama signed into law the American Taxpayer Relief Act of 2012 (the “ATRA”)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20"/>
        <w:spacing w:after="0" w:line="290" w:lineRule="auto"/>
        <w:rPr>
          <w:sz w:val="20"/>
          <w:szCs w:val="20"/>
          <w:color w:val="auto"/>
        </w:rPr>
      </w:pPr>
      <w:r>
        <w:rPr>
          <w:rFonts w:ascii="Arial" w:cs="Arial" w:eastAsia="Arial" w:hAnsi="Arial"/>
          <w:sz w:val="16"/>
          <w:szCs w:val="16"/>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Finally, in some foreign countries, the proposed pricing for a product candidate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therapeutic candidates launched in the European Union do not follow price structures of the U.S. and generally tend to be significantly lower.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physician sunshine and drug pricing transparency laws and regulations.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80"/>
        <w:spacing w:after="0" w:line="290"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teaching hospitals and, beginning in 2022, certain other health care professionals,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and non-US laws and regulations (particularly EU laws regarding personal data relating to individuals based in Europe) govern the privacy and security of health information in certain circumstances, many of which differ from each other in significant ways, thus complicating compliance efforts. . For example, California recently enacted legislation, the California Consumer Privacy Act, or CCPA, which went into effect January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Origins and Team</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Probody platform technology has its origins in work performed at the University of California, Santa Barbara (“UCSB”), by our scientific founder Professor Patrick Daugherty. Since our inception, we have continued developing and adding to this technology and aspire to design a pipeline of Probody therapeutics that will better the lives of cancer patients. We have assembled an experienced and talented group of individuals dedicated to the advancement of cancer care. Our chief executive officer, Dr. Sean McCarthy, leads a team that draws on robust experience in all phases of product discovery, clinical development and commercialization. Our research and preclinical development team is led by Dr. Michael Kavanaugh, chief scientific officer, and includes renowned and established researchers, and our clinical development team is led by Dr. Amy Peterson, chief development officer. Our management team members have significant experience in oncology with previous experience at BeiGene, Chiron, Five Prime, Genentech, Maxygen, Medivation, Millennium, Novartis, SGX and other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2019, we had 158 full-time employees and 2 part-time employees. Of these employees, 118 were primarily engaged in research and development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ind w:right="260"/>
        <w:spacing w:after="0" w:line="264" w:lineRule="auto"/>
        <w:rPr>
          <w:sz w:val="20"/>
          <w:szCs w:val="20"/>
          <w:color w:val="auto"/>
        </w:rPr>
      </w:pPr>
      <w:r>
        <w:rPr>
          <w:rFonts w:ascii="Arial" w:cs="Arial" w:eastAsia="Arial" w:hAnsi="Arial"/>
          <w:sz w:val="18"/>
          <w:szCs w:val="18"/>
          <w:color w:val="auto"/>
        </w:rPr>
        <w:t>We view our operations and measure our business as one reportable segment operating in the United States. See Note 2 to our audited financial statement included elsewhere in this Annual Report on Form 10-K for additional information. Additional information required by this item is incorporated herein by reference to PART II. Item 6 of this Annual Report on Form 10-K.</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research and development expenses were $131.6 million, $103.9 million and $92.3 million for the years ended December 31, 2019, 2018 and 2017, respectively. Please see “Management’s Discussion and Analysis of Financial Condition and Results of Operations-Research and Development Expenses” for additional detail regarding our research and development activities.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www.cytomx.com</w:t>
      </w:r>
      <w:r>
        <w:rPr>
          <w:rFonts w:ascii="Arial" w:cs="Arial" w:eastAsia="Arial" w:hAnsi="Arial"/>
          <w:sz w:val="18"/>
          <w:szCs w:val="18"/>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3"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December 31, 2019 and 2018, we had an accumulated deficit of $417.2 million and $315.0 million, respectively. Substantially all of our losses have resulted from expenses incurred in connection with our research and development programs and from general and administrative costs associated with our operations.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begin to enroll patients in our Phase 2 clinical trial of CX-072, our candidate directed against PD-L1, in combination with ipilimumab in patients with relapsed or refractory melanoma and our Phase 2 clinical trial of CX-2009, our PDC candidate directed against CD-166 in patients with hormone receptor (ER, PR) positive, HER2 negative breast cancer, as we continue our other ongoing Phase 1/2 clinical trials of CX-072, CX-2009, and CX-2029, our PDC candidate directed against CD71 in collaboration with AbbVie Inc., and as we advance into later trials and new trials for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ind w:right="40"/>
        <w:spacing w:after="0" w:line="270" w:lineRule="auto"/>
        <w:rPr>
          <w:sz w:val="20"/>
          <w:szCs w:val="20"/>
          <w:color w:val="auto"/>
        </w:rPr>
      </w:pPr>
      <w:r>
        <w:rPr>
          <w:rFonts w:ascii="Arial" w:cs="Arial" w:eastAsia="Arial" w:hAnsi="Arial"/>
          <w:sz w:val="17"/>
          <w:szCs w:val="17"/>
          <w:color w:val="auto"/>
        </w:rPr>
        <w:t>As of December 31, 2019, we had $296.1 million in cash, cash equivalents and short-term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begin to enroll patients in both our Phase 2 clinical trial of CX-072 in combination with ipilimumab in patients with relapsed or refractory melanoma and our Phase 2 clinical trial of CX-2009 in patients with hormone receptor (ER, PR) positive, HER2 negative breast cancer, as we continue our other ongoing Phase 1/2 clinical trials of CX-072, CX-2009, and CX-2029, and as we advance into later trials and new trials for other programs.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right="180"/>
        <w:spacing w:after="0" w:line="264"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have a high risk of failure. We initiated a Phase 2 clinical trial of CX-072 in combination with ipilimumab for cancer in October 2019, have initiated a Phase 2 clinical trial of CX-2009 in patients with hormone receptor (ER, PR) positive, HER2 negative breast cancer, and we continue our 2017 Phase 1/2 clinical trials of CX-072 and CX-2009. We also initiated our Phase 1/2 clinical trial of CX-2029, our PDC candidate directed against CD71 in collaboration with AbbVie, for cancer in June 2018. Each of these clinical trials is ongoing. In addition, Bristol-Myers Squibb commenced enrollment of a Phase 1/2 clinical trial for BMS-986249, a Probody therapeutic directed against CTLA-4, in 2018 and initiated a Phase 1/2 trial for BMS-986288 in 2020.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BMS-986249 and BMS-986288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50"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are very early in our development efforts, with only three product candidates, CX-072, CX-2009 and CX-2029, currently in early stage clinical development. In addition, Bristol-Myers Squibb is currently evaluating BMS-986249, a CTLA-4-directed Probody therapeutic in a Phase 1/2 clinical trial that it initiated in January 2018 and a Phase 2 trial initiated in 2020.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78"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40" w:right="100" w:hanging="519"/>
        <w:spacing w:after="0" w:line="34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5" w:lineRule="exact"/>
        <w:rPr>
          <w:rFonts w:ascii="Arial" w:cs="Arial" w:eastAsia="Arial" w:hAnsi="Arial"/>
          <w:sz w:val="16"/>
          <w:szCs w:val="16"/>
          <w:color w:val="auto"/>
        </w:rPr>
      </w:pPr>
    </w:p>
    <w:p>
      <w:pPr>
        <w:ind w:left="1040" w:right="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announced preliminary clinical data on CX-072 and CX-2009 at various meetings and at our CytomX 2019 R&amp;D Day. Clinical data we report, including efficacy and safety data, will vary over time and such data will evolve as we treat additional patients and pursue further clinical trials. The rates of clinical activity and rates and types of adverse events will evolve as well.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June 2019, we reported that the administration of monotherapy CX-072 has been generally well tolerated with the majority of treatment-related adverse events (“TRAEs”) as Grade 1/2. At that time, we also reported that of the 72 monotherapy patients treated with 10mg/kg every two weeks and who were evaluable for safety, 6% of patients experienced a grade ≥3 TRAE, and 3% experienced grade ≥3 immune related adverse events (irAEs), with no (0%) TRAEs leading to treatment discontinuation. We have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Administration of CX-072 in combination with ipilimumab has been generally well tolerated with the majority of TRAEs as Grade 1/2. In October 2019, we reported that of the 27 patients treated across all combination doses, Grade 3/4 TRAEs were reported in nine (33%) patients and Grade 3/4 immune related adverse events (irAEs) were reported in six (22%) patients. Of the 20 patients treated with ipilimumab at 3 mg/kg at varying doses of CX-072, Grade 3/4 TRAEs were reported in five (25%) patients and Grade 3/4 irAEs were reported in three (15%) patients. We cannot provide assurance that these rates and the types of adverse events will not increase over time with more patients being treated in ongoing or future studies.</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Administration of CX-2009 has also been generally well tolerated to date with most reported TRAEs being Grade 1/2. In February 2019 we announced that 23/76 (30.3%)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results of our future clinical trials or the clinical trials of our collaborators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October 2019, we announced the initiation of our first Phase 2 clinical trial of CX-072 at a dose level of 10 mg/kg in combination with ipilimumab at a dose level of 3mg/kg. This dose of ipilimumab in combination with another PD agent, Nivolumab, is often not tolerated by patients. While we believe our Phase 1 clinical data supports this combination, only further clinical testing will determine whether such a combination is tolerable for patients. Additionally, the Phase 2 clinical trial of BMS-986249 being conducted by Bristol-Myers Squibb includes the administration of the product candidate at relatively high dosage levels, which could further exacerbate such risks. In our Phase 2 clinical trial with CX-2009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line="269"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stopped treatment due to ocular toxicity. While we are using ocular toxicity prophylactic measures in our dose optimization phase and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8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3"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89"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were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was no assurance that patients would choose to enroll in our clinical trial. While that trial is fully enrolled, there can be no assurance that further trials with CX-072, including our Phase 2 clinical trial that we initiated in October 2019, or our other drug candidates will not be adversely affected by a limited patient population. Our clinical trials of CX-072, CX-2009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As with the clinical trials of CX-072, our clinical trials of CX-2009 and CX-2029 are also competing with hundreds of clinical trials with alternative anti-cancer drugs in a similar class (e.g. antibody 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CX-072, CX-2009 and CX-2029.</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 reactions. For example, we reported in February 2019 that in our ongoing CX-072 trial at the 10 mg/kg dose, the anti-drug antibody (“ADA”) rate was approximately 62%. We do not believe ADA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jc w:val="both"/>
        <w:ind w:right="180"/>
        <w:spacing w:after="0" w:line="312"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and BMS-986249) for which there are existing approved therapies, such as approved agents targeting PD-L1, PD-1, or CTLA-4. Market acceptance of our product candidates will depend on, among other factors:</w:t>
      </w:r>
    </w:p>
    <w:p>
      <w:pPr>
        <w:spacing w:after="0" w:line="7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36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Since 2013, we have entered into collaborations with AbbVie, Amgen, Bristol-Myers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December 2019, licensed the other program to us, terminating their license agreement from us. In addition, in January 2019, Bristol-Myers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1040" w:right="9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Bristol-Myers Squibb, BMS-986249 and BMS-986288;</w:t>
      </w:r>
    </w:p>
    <w:p>
      <w:pPr>
        <w:spacing w:after="0" w:line="62" w:lineRule="exact"/>
        <w:rPr>
          <w:rFonts w:ascii="Arial" w:cs="Arial" w:eastAsia="Arial" w:hAnsi="Arial"/>
          <w:sz w:val="18"/>
          <w:szCs w:val="18"/>
          <w:color w:val="auto"/>
        </w:rPr>
      </w:pPr>
    </w:p>
    <w:p>
      <w:pPr>
        <w:jc w:val="both"/>
        <w:ind w:left="1040" w:right="40" w:hanging="519"/>
        <w:spacing w:after="0" w:line="286"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57" w:lineRule="exact"/>
        <w:rPr>
          <w:rFonts w:ascii="Arial" w:cs="Arial" w:eastAsia="Arial" w:hAnsi="Arial"/>
          <w:sz w:val="17"/>
          <w:szCs w:val="17"/>
          <w:color w:val="auto"/>
        </w:rPr>
      </w:pPr>
    </w:p>
    <w:p>
      <w:pPr>
        <w:ind w:left="1040" w:right="320" w:hanging="519"/>
        <w:spacing w:after="0" w:line="286"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Bristol-Myers Squibb’s ongoing Phase 2 cohort expansion of BMS-986249 and its Phase 1/2 clinical trial of BMS-986288, and may release data from such clinical trials, including with respect to our Probody therapeutics, without consulting us;</w:t>
      </w:r>
    </w:p>
    <w:p>
      <w:pPr>
        <w:spacing w:after="0" w:line="57" w:lineRule="exact"/>
        <w:rPr>
          <w:rFonts w:ascii="Arial" w:cs="Arial" w:eastAsia="Arial" w:hAnsi="Arial"/>
          <w:sz w:val="17"/>
          <w:szCs w:val="17"/>
          <w:color w:val="auto"/>
        </w:rPr>
      </w:pPr>
    </w:p>
    <w:p>
      <w:pPr>
        <w:ind w:left="1040" w:right="22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3"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3"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40" w:right="11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95"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Bristol-Myers Squibb terminated its programs for three targets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0"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3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9"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Since commencing operations, we have entered into several collaboration agreements, including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3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coronavirus, could disrupt or delay enrollment in our clinical trials in South Korea.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Because we have no long 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CX-072 CX-2009 and CX-2029, our manufacturing supply chain includes several contract manufacturers, and failure by any of these manufacturers could result in interruptions of our clinical studies. For example, in November 2019 one of our contract manufacturers that manufactures CX-072 for our Phase 2 clinical trial experienced a production failure. We believe we have contracted with alternative suppliers that will be able to timely deliver clinical trial drug product for our ongoing trial. However, if the contract manufacturers are not able to manufacture satisfactory drug product in the second quarter of 2020, we may be required to temporarily suspend our ongoing trial for new and ongoing patients, which could affect our ability to conduct our trial on our originally planned timeline.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have recently completed transfer of the drug substance manufacturing process from ImmunoGen to a CMO, where we have an existing relationship and which has expertise in the manufacture of antibody drug conjugates at a clinical and commercial scale. While the manufacturing transfer process has been completed, there can be no assurance that we will not experience a disruption in the supply of CX-2009 as a result of such transfer or that we will not experience any other disruption in the manufacture of CX-2009.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CX-072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CX-072, CX-2009 and CX-2029, we will need to manufacture them in large quantities. To date we have generally been able to successfully manufacture CX-072, CX-2009 and CX-2029 for our ongoing early stage clinical trials. However, in November 2019 we had a production failure at one of our contract manufacturers that manufactures CX-072 for our Phase 2 clinical trial. We believe we have contracted with alternative suppliers that will be able to timely deliver clinical trial drug product for our ongoing trial. However, if the contract manufacturers are not able to manufacture satisfactory drug product in the second quarter of 2020, we may be required to temporarily suspend our ongoing trial for new and ongoing patients, which could affect our ability to conduct our trial on our originally planned timeline. Furthermore, in order to conduct later stage clinical trials of our product candidates, such as our Phase 2 clinical trial for CX-072,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and to increase the term of stability for CX-072 drug product and we are scaling up CX-2009 drug product for late stage clinical trials and commercialization. However, we may have to start late stage trials with our early clinical trial drug product and switch to late stage or commercial drug product mid trial. In such event, the FDA will require us to complete bridging studies to compare the earlier stage material with late stage or commercial material to assure comparability between the earlier trial material and the late stage or commercial material. Changing formulation and scaling up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60"/>
        <w:spacing w:after="0" w:line="297" w:lineRule="auto"/>
        <w:rPr>
          <w:sz w:val="20"/>
          <w:szCs w:val="20"/>
          <w:color w:val="auto"/>
        </w:rPr>
      </w:pPr>
      <w:r>
        <w:rPr>
          <w:rFonts w:ascii="Arial" w:cs="Arial" w:eastAsia="Arial" w:hAnsi="Arial"/>
          <w:sz w:val="16"/>
          <w:szCs w:val="16"/>
          <w:color w:val="auto"/>
        </w:rPr>
        <w:t>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CX-072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recently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CX-2009 in connection with such transfer or that we will not experience any other disruption in the manufacturing of CX-2009 .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16"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including CX-072, CX-2009 and CX-2029.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face substantial competition from pharmaceutical companies developing products in immuno-oncology, including companies, such as Amgen, AstraZeneca PLC, Bristol-Myers Squibb, Celgene,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Takeda.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success largely depends on the continued service of key management, advisors and other specialized personnel, including Sean A. McCarthy, D.Phil., our president and chief executive officer, W. Michael Kavanaugh, M.D., our chief scientific officer and Amy C. Peterson, M.D., our newly appointed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32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CX-072, CX-2009, CX-2029, BMS-986249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t>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3"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line="291" w:lineRule="auto"/>
        <w:rPr>
          <w:sz w:val="20"/>
          <w:szCs w:val="20"/>
          <w:color w:val="auto"/>
        </w:rPr>
      </w:pPr>
      <w:r>
        <w:rPr>
          <w:rFonts w:ascii="Arial" w:cs="Arial" w:eastAsia="Arial" w:hAnsi="Arial"/>
          <w:sz w:val="16"/>
          <w:szCs w:val="16"/>
          <w:color w:val="auto"/>
        </w:rPr>
        <w:t>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46" w:lineRule="exact"/>
        <w:rPr>
          <w:sz w:val="20"/>
          <w:szCs w:val="20"/>
          <w:color w:val="auto"/>
        </w:rPr>
      </w:pPr>
    </w:p>
    <w:p>
      <w:pPr>
        <w:ind w:left="1040" w:right="4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1040" w:right="10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40" w:right="16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6" w:name="page57"/>
    <w:bookmarkEnd w:id="56"/>
    <w:p>
      <w:pPr>
        <w:ind w:right="60"/>
        <w:spacing w:after="0" w:line="271"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line="290" w:lineRule="auto"/>
        <w:rPr>
          <w:sz w:val="20"/>
          <w:szCs w:val="20"/>
          <w:color w:val="auto"/>
        </w:rPr>
      </w:pPr>
      <w:r>
        <w:rPr>
          <w:rFonts w:ascii="Arial" w:cs="Arial" w:eastAsia="Arial" w:hAnsi="Arial"/>
          <w:sz w:val="16"/>
          <w:szCs w:val="16"/>
          <w:color w:val="auto"/>
        </w:rPr>
        <w:t>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2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8" w:name="page59"/>
    <w:bookmarkEnd w:id="58"/>
    <w:p>
      <w:pPr>
        <w:ind w:right="160"/>
        <w:spacing w:after="0" w:line="279" w:lineRule="auto"/>
        <w:rPr>
          <w:sz w:val="20"/>
          <w:szCs w:val="20"/>
          <w:color w:val="auto"/>
        </w:rPr>
      </w:pPr>
      <w:r>
        <w:rPr>
          <w:rFonts w:ascii="Arial" w:cs="Arial" w:eastAsia="Arial" w:hAnsi="Arial"/>
          <w:sz w:val="17"/>
          <w:szCs w:val="17"/>
          <w:color w:val="auto"/>
        </w:rPr>
        <w:t>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301"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9" w:name="page60"/>
    <w:bookmarkEnd w:id="59"/>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right="18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040" w:right="2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U.S. government may impact our business and industry. For example, the Executive Branch of the U.S. government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spacing w:after="0" w:line="285"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and other efforts to challenge, repeal, or replace the ACA will impact the ACA or our business or financial condition. 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2029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39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certain candidates for the U.S. Presidential race in 2020 have promoted substantial changes to the healthcare system and drug pricing rules. If some of these changes were implemented, it could have a materially adverse impact on the ability of biotechnology and pharmaceutical companies, like us, to obtain capital to further their research or develop their product candidates and could make it economically unfeasible for such companies to continue to develop needed new innovative therapies.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right="70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1" w:lineRule="exact"/>
        <w:rPr>
          <w:sz w:val="20"/>
          <w:szCs w:val="20"/>
          <w:color w:val="auto"/>
        </w:rPr>
      </w:pPr>
    </w:p>
    <w:p>
      <w:pPr>
        <w:ind w:left="1040" w:right="100" w:hanging="519"/>
        <w:spacing w:after="0" w:line="25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Arial" w:cs="Arial" w:eastAsia="Arial" w:hAnsi="Arial"/>
          <w:sz w:val="18"/>
          <w:szCs w:val="18"/>
          <w:color w:val="auto"/>
        </w:rPr>
      </w:pPr>
    </w:p>
    <w:p>
      <w:pPr>
        <w:ind w:left="1040" w:right="60" w:hanging="519"/>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5" w:lineRule="exact"/>
        <w:rPr>
          <w:rFonts w:ascii="Arial" w:cs="Arial" w:eastAsia="Arial" w:hAnsi="Arial"/>
          <w:sz w:val="18"/>
          <w:szCs w:val="18"/>
          <w:color w:val="auto"/>
        </w:rPr>
      </w:pPr>
    </w:p>
    <w:p>
      <w:pPr>
        <w:ind w:left="1040" w:right="40" w:hanging="519"/>
        <w:spacing w:after="0" w:line="276"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Arial" w:cs="Arial" w:eastAsia="Arial" w:hAnsi="Arial"/>
          <w:sz w:val="17"/>
          <w:szCs w:val="17"/>
          <w:color w:val="auto"/>
        </w:rPr>
      </w:pPr>
    </w:p>
    <w:p>
      <w:pPr>
        <w:ind w:left="1040" w:right="100" w:hanging="519"/>
        <w:spacing w:after="0" w:line="276"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64" w:lineRule="exact"/>
        <w:rPr>
          <w:rFonts w:ascii="Arial" w:cs="Arial" w:eastAsia="Arial" w:hAnsi="Arial"/>
          <w:sz w:val="17"/>
          <w:szCs w:val="17"/>
          <w:color w:val="auto"/>
        </w:rPr>
      </w:pPr>
    </w:p>
    <w:p>
      <w:pPr>
        <w:ind w:left="1040" w:hanging="519"/>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85" w:lineRule="exact"/>
        <w:rPr>
          <w:rFonts w:ascii="Arial" w:cs="Arial" w:eastAsia="Arial" w:hAnsi="Arial"/>
          <w:sz w:val="18"/>
          <w:szCs w:val="18"/>
          <w:color w:val="auto"/>
        </w:rPr>
      </w:pPr>
    </w:p>
    <w:p>
      <w:pPr>
        <w:ind w:left="1040" w:right="120" w:hanging="519"/>
        <w:spacing w:after="0" w:line="272"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right="40"/>
        <w:spacing w:after="0" w:line="270" w:lineRule="auto"/>
        <w:rPr>
          <w:sz w:val="20"/>
          <w:szCs w:val="20"/>
          <w:color w:val="auto"/>
        </w:rPr>
      </w:pPr>
      <w:r>
        <w:rPr>
          <w:rFonts w:ascii="Arial" w:cs="Arial" w:eastAsia="Arial" w:hAnsi="Arial"/>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ind w:right="40"/>
        <w:spacing w:after="0" w:line="255" w:lineRule="auto"/>
        <w:rPr>
          <w:sz w:val="20"/>
          <w:szCs w:val="20"/>
          <w:color w:val="auto"/>
        </w:rPr>
      </w:pPr>
      <w:r>
        <w:rPr>
          <w:rFonts w:ascii="Arial" w:cs="Arial" w:eastAsia="Arial" w:hAnsi="Arial"/>
          <w:sz w:val="18"/>
          <w:szCs w:val="18"/>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ind w:right="160"/>
        <w:spacing w:after="0" w:line="25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3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7" w:name="page68"/>
    <w:bookmarkEnd w:id="67"/>
    <w:p>
      <w:pPr>
        <w:ind w:right="60"/>
        <w:spacing w:after="0" w:line="259" w:lineRule="auto"/>
        <w:rPr>
          <w:sz w:val="20"/>
          <w:szCs w:val="20"/>
          <w:color w:val="auto"/>
        </w:rPr>
      </w:pPr>
      <w:r>
        <w:rPr>
          <w:rFonts w:ascii="Arial" w:cs="Arial" w:eastAsia="Arial" w:hAnsi="Arial"/>
          <w:sz w:val="18"/>
          <w:szCs w:val="18"/>
          <w:color w:val="auto"/>
        </w:rPr>
        <w:t>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right="1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$5.17 and $35.00 per share. The market price for our common stock may be influenced by many factors, including the other risks described in this section titled “Risk Factors” and the following:</w:t>
      </w:r>
    </w:p>
    <w:p>
      <w:pPr>
        <w:spacing w:after="0" w:line="7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8" w:name="page69"/>
    <w:bookmarkEnd w:id="68"/>
    <w:p>
      <w:pPr>
        <w:ind w:left="1040" w:right="3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9" w:name="page70"/>
    <w:bookmarkEnd w:id="69"/>
    <w:p>
      <w:pPr>
        <w:ind w:right="90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2019, our executive officers, directors, holders of 5% or more of our capital stock based on publicly available filings made with the SEC and their respective affiliates beneficially owned approximately 30%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301"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40" w:right="60" w:hanging="519"/>
        <w:spacing w:after="0" w:line="25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jc w:val="both"/>
        <w:ind w:right="280"/>
        <w:spacing w:after="0" w:line="302"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principal executive office is currently located in South San Francisco, California, and consists of approximately 76,000 square feet of office and research and development space, all of which is located in a single building, under a lease that expires in October 2026. We believe that our existing facilities are sufficient for our current needs.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litigation or legal proceedings.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for Common Stock</w:t>
      </w:r>
    </w:p>
    <w:p>
      <w:pPr>
        <w:ind w:right="80"/>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“CTMX” since our initial public offering in October 2015. Prior to that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January 31, 2020, there were approximately 36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graph shows the total stockholder’s return on an investment of $100 in cash at market close on October 8, 2015 (the first day of trading of our common stock), through December 31, 2019 for (i) our common stock, (ii) the Nasdaq Composite Index and (iii) the Nasdaq Biotechnology Index. Pursuant to applicable Securities and Exchange Commission rules, all values assume reinvestment of pre-tax amount of all dividends; however, no dividends have been declared on our common stock to date. The stockholder return shown on the graph below is not necessarily indicative of future performance, and we do not make or endorse any predictions as to future stockholder return. This graph shall not be deemed “soliciting material” or be deemed “filed”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122555</wp:posOffset>
            </wp:positionV>
            <wp:extent cx="6165850" cy="3473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6585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$100 investment in stock or index</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October 8, 2015</w:t>
            </w:r>
          </w:p>
        </w:tc>
        <w:tc>
          <w:tcPr>
            <w:tcW w:w="2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31, 2019</w:t>
            </w:r>
          </w:p>
        </w:tc>
        <w:tc>
          <w:tcPr>
            <w:tcW w:w="120" w:type="dxa"/>
            <w:vAlign w:val="bottom"/>
            <w:tcBorders>
              <w:bottom w:val="single" w:sz="8" w:color="CFF0FC"/>
            </w:tcBorders>
          </w:tcPr>
          <w:p>
            <w:pPr>
              <w:spacing w:after="0"/>
              <w:rPr>
                <w:sz w:val="14"/>
                <w:szCs w:val="14"/>
                <w:color w:val="auto"/>
              </w:rPr>
            </w:pPr>
          </w:p>
        </w:tc>
      </w:tr>
      <w:tr>
        <w:trPr>
          <w:trHeight w:val="237"/>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CytomX (CTMX)</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161.78</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w:t>
            </w:r>
          </w:p>
        </w:tc>
        <w:tc>
          <w:tcPr>
            <w:tcW w:w="6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120" w:type="dxa"/>
            <w:vAlign w:val="bottom"/>
            <w:shd w:val="clear" w:color="auto" w:fill="CFF0FC"/>
          </w:tcPr>
          <w:p>
            <w:pPr>
              <w:spacing w:after="0"/>
              <w:rPr>
                <w:sz w:val="20"/>
                <w:szCs w:val="20"/>
                <w:color w:val="auto"/>
              </w:rPr>
            </w:pPr>
          </w:p>
        </w:tc>
      </w:tr>
      <w:tr>
        <w:trPr>
          <w:trHeight w:val="215"/>
        </w:trPr>
        <w:tc>
          <w:tcPr>
            <w:tcW w:w="2860" w:type="dxa"/>
            <w:vAlign w:val="bottom"/>
          </w:tcPr>
          <w:p>
            <w:pPr>
              <w:spacing w:after="0"/>
              <w:rPr>
                <w:sz w:val="20"/>
                <w:szCs w:val="20"/>
                <w:color w:val="auto"/>
              </w:rPr>
            </w:pPr>
            <w:r>
              <w:rPr>
                <w:rFonts w:ascii="Arial" w:cs="Arial" w:eastAsia="Arial" w:hAnsi="Arial"/>
                <w:sz w:val="18"/>
                <w:szCs w:val="18"/>
                <w:color w:val="auto"/>
              </w:rPr>
              <w:t>Nasdaq Composite Index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(IXIC)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104.09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111.90</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143.50</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137.92</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186.51</w:t>
            </w:r>
          </w:p>
        </w:tc>
        <w:tc>
          <w:tcPr>
            <w:tcW w:w="120" w:type="dxa"/>
            <w:vAlign w:val="bottom"/>
          </w:tcPr>
          <w:p>
            <w:pPr>
              <w:spacing w:after="0"/>
              <w:rPr>
                <w:sz w:val="20"/>
                <w:szCs w:val="20"/>
                <w:color w:val="auto"/>
              </w:rPr>
            </w:pPr>
          </w:p>
        </w:tc>
      </w:tr>
      <w:tr>
        <w:trPr>
          <w:trHeight w:val="243"/>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Nasdaq Biotech Index (^NBI)</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6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117.91</w:t>
            </w:r>
          </w:p>
        </w:tc>
        <w:tc>
          <w:tcPr>
            <w:tcW w:w="120" w:type="dxa"/>
            <w:vAlign w:val="bottom"/>
            <w:shd w:val="clear" w:color="auto" w:fill="CFF0FC"/>
          </w:tcPr>
          <w:p>
            <w:pPr>
              <w:spacing w:after="0"/>
              <w:rPr>
                <w:sz w:val="21"/>
                <w:szCs w:val="2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disclosed in our Quarterly Report on Form 10-Q for the quarter ended March 31, 2019, filed with the Securities and Exchange Commission on May 9, 2019, we entered into Amendment No.3 to the UCSB Agreement with UCSB on April 2, 2019 to adjust and clarify certain sublicense terms (“Amendment No.3”). In connection with Amendment No.3, we issued 150,000 shares of CytomX common stock, pursuant to a Securities Issuance Agreement, dated April 2, 2019, by and between CytomX and UCSB. The issuance of shares described in the preceding sentence was deemed to be exempt from registration under Section 4(a)(2) of the Securities Act as a transaction by an issuer not involving a public offering.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You should read the following selected financial data together with the information under “Item 7. Management’s Discussion and Analysis of Financial Condition and Results of Operations” and our financial statements and related notes included in this Form 10-K. The statement of operations data for each of the years ended December 31, 2019, 2018 and 2017 and the balance sheet data as of December 31, 2019 and 2018 are derived from our audited financial statements included elsewhere in this Form 10-K. The statement of operations data for each of the years ended December 31, 2016 and 2015 and the selected balance sheet data as of December 31, 2017, 2016 and 2015 are derived from our audited financial statements which are not included in this Annual Report on Form 10-K. Our historical results of any prior periods are not necessary indicative of results to be expected in any future period.</w:t>
      </w:r>
    </w:p>
    <w:p>
      <w:pPr>
        <w:spacing w:after="0" w:line="1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We adopted the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January 1, 2018 on a modified retrospective basis. As such, the prior period amounts were not restated and continue to be presented in accordance with Accounting Standards Codification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We adopted the Accounting Standard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effective on January 1, 2019 on a modified retrospective basis. We also elected for the new transition method to use the effective date as the date of initial application and accordingly the prior period amounts were not restated.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Statement of Operations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CFF0FC"/>
            </w:tcBorders>
            <w:vMerge w:val="continue"/>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57,489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168,384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(102,665)</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(benefit from)</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Accretion to redemption value and</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cumulative dividends on</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7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40"/>
              <w:spacing w:after="0"/>
              <w:rPr>
                <w:sz w:val="20"/>
                <w:szCs w:val="20"/>
                <w:color w:val="auto"/>
              </w:rPr>
            </w:pPr>
            <w:r>
              <w:rPr>
                <w:rFonts w:ascii="Arial" w:cs="Arial" w:eastAsia="Arial" w:hAnsi="Arial"/>
                <w:sz w:val="18"/>
                <w:szCs w:val="18"/>
                <w:color w:val="auto"/>
              </w:rPr>
              <w:t>common stockholders</w:t>
            </w:r>
          </w:p>
        </w:tc>
        <w:tc>
          <w:tcPr>
            <w:tcW w:w="9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(102,238)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(84,604)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(43,099)</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(58,900)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(42,079)</w:t>
            </w:r>
          </w:p>
        </w:tc>
        <w:tc>
          <w:tcPr>
            <w:tcW w:w="0" w:type="dxa"/>
            <w:vAlign w:val="bottom"/>
          </w:tcPr>
          <w:p>
            <w:pPr>
              <w:spacing w:after="0"/>
              <w:rPr>
                <w:sz w:val="1"/>
                <w:szCs w:val="1"/>
                <w:color w:val="auto"/>
              </w:rPr>
            </w:pPr>
          </w:p>
        </w:tc>
      </w:tr>
      <w:tr>
        <w:trPr>
          <w:trHeight w:val="196"/>
        </w:trPr>
        <w:tc>
          <w:tcPr>
            <w:tcW w:w="37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w:t>
            </w:r>
          </w:p>
        </w:tc>
        <w:tc>
          <w:tcPr>
            <w:tcW w:w="7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basic</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9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(2.03)</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w:t>
            </w:r>
          </w:p>
        </w:tc>
        <w:tc>
          <w:tcPr>
            <w:tcW w:w="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Shares used to compute net loss per</w:t>
            </w: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8"/>
                <w:szCs w:val="18"/>
                <w:color w:val="auto"/>
              </w:rPr>
              <w:t>share attributable to common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stockholders, basic and diluted</w:t>
            </w:r>
          </w:p>
        </w:tc>
        <w:tc>
          <w:tcPr>
            <w:tcW w:w="7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45,335,927</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41,664,382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37,166,830</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36,234,732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8,595,247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260"/>
              <w:spacing w:after="0"/>
              <w:rPr>
                <w:sz w:val="20"/>
                <w:szCs w:val="20"/>
                <w:color w:val="auto"/>
              </w:rPr>
            </w:pPr>
            <w:r>
              <w:rPr>
                <w:rFonts w:ascii="Arial" w:cs="Arial" w:eastAsia="Arial" w:hAnsi="Arial"/>
                <w:sz w:val="18"/>
                <w:szCs w:val="18"/>
                <w:color w:val="auto"/>
              </w:rPr>
              <w:t>Changes in unrealized gain (losses)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80"/>
              <w:spacing w:after="0"/>
              <w:rPr>
                <w:sz w:val="20"/>
                <w:szCs w:val="20"/>
                <w:color w:val="auto"/>
              </w:rPr>
            </w:pPr>
            <w:r>
              <w:rPr>
                <w:rFonts w:ascii="Arial" w:cs="Arial" w:eastAsia="Arial" w:hAnsi="Arial"/>
                <w:sz w:val="18"/>
                <w:szCs w:val="18"/>
                <w:color w:val="auto"/>
              </w:rPr>
              <w:t>on investments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adoption of new accounting</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pronouncement</w:t>
            </w:r>
          </w:p>
        </w:tc>
        <w:tc>
          <w:tcPr>
            <w:tcW w:w="7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(102,088)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CFF0FC"/>
            </w:tcBorders>
            <w:vMerge w:val="continue"/>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8"/>
                <w:szCs w:val="18"/>
                <w:color w:val="auto"/>
              </w:rPr>
              <w:t>Cash, cash equivalents and short term</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9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296,145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436,127</w:t>
            </w:r>
          </w:p>
        </w:tc>
        <w:tc>
          <w:tcPr>
            <w:tcW w:w="16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374,110</w:t>
            </w:r>
          </w:p>
        </w:tc>
        <w:tc>
          <w:tcPr>
            <w:tcW w:w="220" w:type="dxa"/>
            <w:vAlign w:val="bottom"/>
          </w:tcPr>
          <w:p>
            <w:pPr>
              <w:spacing w:after="0"/>
              <w:rPr>
                <w:sz w:val="20"/>
                <w:szCs w:val="20"/>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181,938</w:t>
            </w:r>
          </w:p>
        </w:tc>
        <w:tc>
          <w:tcPr>
            <w:tcW w:w="160" w:type="dxa"/>
            <w:vAlign w:val="bottom"/>
          </w:tcPr>
          <w:p>
            <w:pPr>
              <w:spacing w:after="0"/>
              <w:rPr>
                <w:sz w:val="20"/>
                <w:szCs w:val="20"/>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341,282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457,108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397,644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199,128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(417,230)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(314,981)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(219,465)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(176,366)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(117,466)</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51,113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130,883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69,896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78,479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3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6" w:name="page77"/>
    <w:bookmarkEnd w:id="76"/>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are a clinical-stage, oncology-focused biopharmaceutical company with a vision of transforming lives with safer, more effective therapies. We are developing a novel class of investigational antibody therapeutics, based on our Probody® technology platform, for the treatment of cancer. Our innovative technology is designed to turn previously undruggable targets into druggable targets and to enable more effective combination therapies. Together with our partners, we have advanced five novel drug-candidates into clinical trials, three of which are in Phase 2 studies. We have strong industry partnerships with leading biotech and pharmaceutical companies. Our Probody therapeutic approach is designed to enable “conditional activation” of antibody-based drugs within cancer tissue to more specifically target the tumor microenvironment and minimize drug activity in healthy tissue and in circulation. We achieve conditional activation of antibodies by modifying them with a mask which blocks binding of the antibody to its target until the mask is removed. Mask removal occurs in cancer tissue when proteases, enzymes that are highly active in cancer but not normal tissue, selectively cleave the mask from the antibody, resulting in unmasked antibody activity in the tumor but not normal tissue. We believe this approach has the potential to develop clinically meaningful therapeutics and improve patient outcomes in three ways: 1) by enhancing the “therapeutic window” for drug candidates, that is, the balance between their tolerability and activity, 2) by pursuing tumor targets that were previously considered ‘undruggable’ due to their ubiquitous expression on normal tissues, and</w:t>
      </w:r>
    </w:p>
    <w:p>
      <w:pPr>
        <w:spacing w:after="0" w:line="5" w:lineRule="exact"/>
        <w:rPr>
          <w:sz w:val="20"/>
          <w:szCs w:val="20"/>
          <w:color w:val="auto"/>
        </w:rPr>
      </w:pPr>
    </w:p>
    <w:p>
      <w:pPr>
        <w:jc w:val="both"/>
        <w:ind w:right="140" w:firstLine="8"/>
        <w:spacing w:after="0" w:line="255" w:lineRule="auto"/>
        <w:tabs>
          <w:tab w:leader="none" w:pos="1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pursuing novel combination therapies that are poorly tolerated without using our Probody platform. We are developing a robust pipeline by leveraging our Probody platform to develop a product pipeline of potential best-in-class immunotherapies against clinically validated targets and potential first-in-class therapeutics against novel, difficult to drug targets.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conducting clinical trials for three product candidates derived from our Probody platform. Our partner, Bristol-Myers Squibb is conducting clinical trials for a fourth and fifth product candidate derived from our Probody platform. 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$102.2 million, $84.6 million and $43.1 million for 2019, 2018 and 2017, respectively. As of December 31, 2019 and 2018, we had an accumulated deficit of $ 417.2 million and $315.0 million, respectively. We expect to continue to incur significant losses for the foreseeable future.</w:t>
      </w:r>
    </w:p>
    <w:p>
      <w:pPr>
        <w:spacing w:after="0" w:line="2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Bristol-Myers Squibb and Pfizer for research and development costs incurred under our research, collaboration and license agreements with them are classified as revenue.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Bristol-Myers Squibb and any other collaboration partners, and as a result of the fluctuations in the research and development expenses we incur in the performance of assigned activities under these agreements.</w:t>
      </w:r>
    </w:p>
    <w:p>
      <w:pPr>
        <w:spacing w:after="0" w:line="21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AbbVie Ireland Unlimited Company (“AbbVie”),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5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 xml:space="preserve">On January 1, 2018, we adopted Accounting Standards Update, or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using the modified retrospective transition method. See further discussion under “Critical Accounting Policies and Estimates – Revenue Recognition.”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1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the recent initiation of our Phase 2 clinical trials for each of CX-072 and CX-2009 and the continuation of our ongoing Phase 1/2 clinical trials evaluating CX-072, CX-2009 and CX-2029.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changes to currency exchange rates.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8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57,489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59,502</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(2,013)</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decreased by $2.0 million for 2019 compared to 2018. The following table summarizes our revenue by collaboration partner during the respective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330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(13,119)</w:t>
            </w: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Amgen</w:t>
            </w:r>
          </w:p>
        </w:tc>
        <w:tc>
          <w:tcPr>
            <w:tcW w:w="2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Bristol-Myers Squibb</w:t>
            </w:r>
          </w:p>
        </w:tc>
        <w:tc>
          <w:tcPr>
            <w:tcW w:w="2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47,740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14,960</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ImmunoGen</w:t>
            </w:r>
          </w:p>
        </w:tc>
        <w:tc>
          <w:tcPr>
            <w:tcW w:w="2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(1,471)</w:t>
            </w: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Pfizer</w:t>
            </w:r>
          </w:p>
        </w:tc>
        <w:tc>
          <w:tcPr>
            <w:tcW w:w="2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(1,355)</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57,489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revenue of $2.0 million for 2019 compared to 2018 was primarily due to:</w:t>
      </w:r>
    </w:p>
    <w:p>
      <w:pPr>
        <w:spacing w:after="0" w:line="117" w:lineRule="exact"/>
        <w:rPr>
          <w:sz w:val="20"/>
          <w:szCs w:val="20"/>
          <w:color w:val="auto"/>
        </w:rPr>
      </w:pPr>
    </w:p>
    <w:p>
      <w:pPr>
        <w:ind w:left="1040" w:right="14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revenue from AbbVie due to the $21.0 million milestone payment (net of the associated sublicense fee of $4.0 million) earned in May 2018 under the CD71 Co-Development and Licensing Agreement with AbbVie (the “CD71 Agreement”), of which $11.7 million was recognized in 2018 (reflecting the percentage completed to-date on the project);</w:t>
      </w:r>
    </w:p>
    <w:p>
      <w:pPr>
        <w:spacing w:after="0" w:line="73"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lower percentage of completion progress under the CD71 Agreement in 2019 as a result of ongoing dose escalation in the continued development program for CX-2029, which extended the estimated research service period;</w:t>
      </w:r>
    </w:p>
    <w:p>
      <w:pPr>
        <w:spacing w:after="0" w:line="62"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revenue from Amgen of $1.0 million due to lower percentage of completion progress in 2019 as a result of a joint decision with Amgen to perform additional research, which required a corresponding extension of the research service period under the Collaboration and License Agreement with Amgen (the “Amgen Agreement”);</w:t>
      </w:r>
    </w:p>
    <w:p>
      <w:pPr>
        <w:spacing w:after="0" w:line="73"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revenue from ImmunoGen of $1.5 million due to the completion of the related research term in June 2018 under our Research Collaboration Agreement with ImmunoGen (the “ImmunoGen Research Agreement”); and</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revenue from Pfizer of $1.4 million due to termination of our Research Collaboration, Option and License Agreement with Pfizer Inc. in March 2018.</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above decreases were partially offset by the accelerated recognition of revenue of $17.4 million related to the termination of certain targets under the Collaboration and License Agreement with Bristol-Myers Squibb (the “BMS Agreement”) in the first quarter of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131,619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103,866</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by $27.8 million during 2019 compared to 2018. The increase was attributable to the following:</w:t>
      </w:r>
    </w:p>
    <w:p>
      <w:pPr>
        <w:spacing w:after="0" w:line="131"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$7.9 million in personnel-related expenses primarily due to an increase in headcount;</w:t>
      </w:r>
    </w:p>
    <w:p>
      <w:pPr>
        <w:spacing w:after="0" w:line="130"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$5.0 million charge relating to the acquisition of technical know-how related to drug conjugate linker-toxin and CD3-based bispecific technologies during the first quarter of 2019;</w:t>
      </w:r>
    </w:p>
    <w:p>
      <w:pPr>
        <w:spacing w:after="0" w:line="75" w:lineRule="exact"/>
        <w:rPr>
          <w:rFonts w:ascii="Arial" w:cs="Arial" w:eastAsia="Arial" w:hAnsi="Arial"/>
          <w:sz w:val="18"/>
          <w:szCs w:val="18"/>
          <w:color w:val="auto"/>
        </w:rPr>
      </w:pPr>
    </w:p>
    <w:p>
      <w:pPr>
        <w:ind w:left="1040" w:right="40" w:hanging="519"/>
        <w:spacing w:after="0" w:line="25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$11.2 million in license fees primarily due to (1) $3.4 million associated with entering into the amendment to the license agreement with UCSB (the “UCSB Agreement”) in the second quarter of 2019 (“Amendment No.3”) (representing the 150,000 shares of common stock issued for $1.6 million, the upfront payment of $1.0 million and the additional annual maintenance fee of $0.8 million) and (2) a $7.5 million upfront license fee for the ImmunoGen EpCAM agreement (the “ImmunoGen 2019 License”) established in the fourth quarter of 2019;</w:t>
      </w:r>
    </w:p>
    <w:p>
      <w:pPr>
        <w:spacing w:after="0" w:line="93"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$1.8 million in clinical related expenses resulting from increased clinical trial activities;</w:t>
      </w:r>
    </w:p>
    <w:p>
      <w:pPr>
        <w:spacing w:after="0" w:line="130"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$2.7 million in the allocation of information technology and facilities related expenses resulting from an increase in headcount and overall overhead expenses;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$1.4 million in consulting expenses resulting from increased clinical trial activities;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$0.4 million in depreciation expense due to the addition of machinery and equipment.</w:t>
      </w:r>
    </w:p>
    <w:p>
      <w:pPr>
        <w:spacing w:after="0" w:line="2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above increases were partially offset by a decrease of $2.6 million in laboratory contracts and services as a result of timing of manufacturing activities and reduced related activities as well as reduced costs relating to CX-188 following our indefinite postponement of further development of such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i w:val="1"/>
                <w:iCs w:val="1"/>
                <w:color w:val="auto"/>
                <w:w w:val="89"/>
              </w:rPr>
              <w:t>(in thousands)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CX-072 (PD-L1)</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CX-2009 (CD166)</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CX-2029 (CD71)</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wholly owned and partnered programs</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General research and development expenses</w:t>
            </w:r>
          </w:p>
        </w:tc>
        <w:tc>
          <w:tcPr>
            <w:tcW w:w="1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Internal Costs</w:t>
            </w:r>
          </w:p>
        </w:tc>
        <w:tc>
          <w:tcPr>
            <w:tcW w:w="1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36,252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8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131,619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103,866</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40" w:type="dxa"/>
            <w:vAlign w:val="bottom"/>
            <w:vMerge w:val="restart"/>
          </w:tcPr>
          <w:p>
            <w:pPr>
              <w:jc w:val="right"/>
              <w:ind w:right="850"/>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0" w:name="page81"/>
    <w:bookmarkEnd w:id="80"/>
    <w:p>
      <w:pPr>
        <w:ind w:right="20"/>
        <w:spacing w:after="0" w:line="270" w:lineRule="auto"/>
        <w:rPr>
          <w:sz w:val="20"/>
          <w:szCs w:val="20"/>
          <w:color w:val="auto"/>
        </w:rPr>
      </w:pPr>
      <w:r>
        <w:rPr>
          <w:rFonts w:ascii="Arial" w:cs="Arial" w:eastAsia="Arial" w:hAnsi="Arial"/>
          <w:sz w:val="17"/>
          <w:szCs w:val="17"/>
          <w:color w:val="auto"/>
        </w:rPr>
        <w:t>The increase in CX-072 costs for 2019 compared to 2018 was primarily due to an increase in laboratory contracts and services of $5.4 million and clinical trial expenses of $1.2 million. The decreases in CX-2009 and CX-2029 costs for 2019 compared to 2018 were primarily due to decreased drug production runs in 2019. The increase in “Other wholly-owned and partnered programs” for 2019 compared to 2018 was primarily due to the $7.5 million upfront license fee for the EPCAM PDC program we entered into with Immunogen in the fourth quarter of 2019 (the “ImmunoGen 2019 License”), partially offset by reduced costs relating to CX-188 following our indefinite postponement of further development of such program at the end of 2018. The increase in general research and development expenses for 2019 compared to 2018 was primarily due to a $5.0 million charge relating to the acquisition of technical know-how during the first quarter of 2019, and a $3.4 million expense associated with entering into Amendment No.3 to the UCSB Agreement in the second quarter of 2019. The increase in internal costs for 2019 was primarily due to increase in personnel-related expenses and allocation of information technology and facilities-related expenses resulting from an increase in headcount and overall overhead expenses.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2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36,765</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33,510</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increased by $3.3 million during 2019 compared to that in 2018. The increase was attributable to the following:</w:t>
      </w:r>
    </w:p>
    <w:p>
      <w:pPr>
        <w:spacing w:after="0" w:line="142"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$3.3 million in personnel-related and recruiting expense due to an increase in headcount;</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$1.1 million in dues and subscriptions expenses primarily related to software and other IT services;</w:t>
      </w:r>
    </w:p>
    <w:p>
      <w:pPr>
        <w:spacing w:after="0" w:line="130"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$1.0 million in consulting and professional services primarily due to an increase in tax and audit activities in the first quarter of 2019;</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$0.3 million in building maintenance charges;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$0.3 million in depreciation and amortization expenses due to addition of furniture and fixtures and leasehold improvements.</w:t>
      </w:r>
    </w:p>
    <w:p>
      <w:pPr>
        <w:spacing w:after="0" w:line="2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These increases were partially offset by a decrease of $2.7 million through more overhead expenses allocated out to research and development due to an increase in research and development headcount relative to general and administrative headcount.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82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income and other expense</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income increased $0.7 million for 2019 compared to 2018. The increase was primarily attributable to an increase in interest income earned since July 2018 on our short-term investments due to an overall increase in our cash, cash equivalents and short-term investments position resulting from the common stock offering completed in July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Other expenses, net increased by $0.1 million in expense for 2019 compared to 2018. The increase in expense was primarily attributable to an increase in foreign currency losses resulting from the weakening of the U.S. dollar against the Euro and British Pound Sterling.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26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14,303</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(14,730)</w:t>
            </w: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Provision for income taxes decreased by $14.7 million for 2019 compared to 2018. The benefit from income taxes of $0.4 million for 2019 was primarily due to a true-up of 2018 federal income tax expense and an unrealized gain related to the available-for-sale securities recorded in other comprehensive income for 2019. The provision for income taxes of $14.3 million for 2018 was generated as a result of a temporary difference in the recognition of revenue under tax and U.S. GAAP authoritative guidance, primarily due to revenue recognition for tax purposes in 2018 of certain upfront payments received in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8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59,502</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71,623</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(12,121)</w:t>
            </w:r>
          </w:p>
        </w:tc>
      </w:tr>
    </w:tbl>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decreased by $12.1 million for 2018 compared to 2017. The following table summarizes our revenue by collaboration partner during the respective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6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18,997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Amgen</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Bristol-Myers Squibb</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32,780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(3,712)</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ImmunoGen</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(11,032)</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Pfizer</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(528)</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Revenue</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59,502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71,623</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variances in revenue for 2018 compared to 2017 were partially due to the adoption of ASC 606.</w:t>
      </w:r>
    </w:p>
    <w:p>
      <w:pPr>
        <w:spacing w:after="0" w:line="25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Under ASC 605, total revenue for 2018 would have been $66.0 million, a decrease of $5.6 million from $71.6 million in 2017, primarily due to a $3.0 million net decrease in milestone payments, as well as a $2.6 million decrease in the recognition of deferred revenues in 2018 as follows:</w:t>
      </w:r>
    </w:p>
    <w:p>
      <w:pPr>
        <w:spacing w:after="0" w:line="76" w:lineRule="exact"/>
        <w:rPr>
          <w:sz w:val="20"/>
          <w:szCs w:val="20"/>
          <w:color w:val="auto"/>
        </w:rPr>
      </w:pPr>
    </w:p>
    <w:p>
      <w:pPr>
        <w:ind w:left="1040" w:right="4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2017, a total of $24.0 million in milestone payments were recognized, including $14.0 million (net of the payment of an associated license fee of $1.0 million to Seattle Genetics (“SGEN”) under the Seattle Genetics Agreement) received from AbbVie for meeting the criteria to begin the CD71 GLP toxicology studies under the AbbVie Agreements and $10.0 million received from Bristol-Myers Squibb related to the IND filing for BMS-986249 in 2017;</w:t>
      </w:r>
    </w:p>
    <w:p>
      <w:pPr>
        <w:spacing w:after="0" w:line="78"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a $21.0 million milestone payment (net of the payment of an associated sublicense fee of $4.0 million to SGEN) was received from AbbVie for the achievement of the successful IND filing criteria related to CX-2029; and</w:t>
      </w:r>
    </w:p>
    <w:p>
      <w:pPr>
        <w:spacing w:after="0" w:line="62"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$2.6 million decrease in recognition of deferred revenue under ASC 605 was attributable to a decrease of $11.8 million related to ImmunoGen, partially offset by a $6.2 million increase and a $3.1 million increase related to Bristol-Myers Squibb and Amgen, respectively.</w:t>
      </w:r>
    </w:p>
    <w:p>
      <w:pPr>
        <w:spacing w:after="0" w:line="15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difference between the amount of revenue recognized under ASC 606 and the amount that would have been recognized under ASC 605 was primarily a result of the difference in how revenue is recognized related to the $21.0 million (net of the payment of an associated sublicense fee of $4.0 million to SGEN) CD71 milestone payment. Under ASC 606, the milestone payment is included in the transaction price and recognized over time based on the total estimated percentage completed to-date. Under ASC 605, the entire $21.0 million would have been recognized upon satisfaction of the successful IND filing criteria.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2" w:name="page83"/>
    <w:bookmarkEnd w:id="82"/>
    <w:p>
      <w:pPr>
        <w:ind w:right="40"/>
        <w:spacing w:after="0" w:line="255" w:lineRule="auto"/>
        <w:rPr>
          <w:sz w:val="20"/>
          <w:szCs w:val="20"/>
          <w:color w:val="auto"/>
        </w:rPr>
      </w:pPr>
      <w:r>
        <w:rPr>
          <w:rFonts w:ascii="Arial" w:cs="Arial" w:eastAsia="Arial" w:hAnsi="Arial"/>
          <w:sz w:val="18"/>
          <w:szCs w:val="18"/>
          <w:color w:val="auto"/>
        </w:rPr>
        <w:t>The decrease in revenue from AbbVie of $0.4 million for 2018 compared to 2017 was primarily due to the recognition of $14.0 million (net of the payment of an associated license fee of $1.0 million to SGEN) in milestone revenue as a result of completion of certain milestones under the CD71 Agreement during the third quarter of 2017, which was partially offset by the recognition of $11.7 million of revenue based on the percentage completed to-date on the project of the $21.0 million milestone payment received(net of the payment of an associated sublicense fee of $4.0 million to SGEN) and added to the transaction price in May 2018 for the achievement of the IND filing success criteria under the CD71 Agreement; and an increase of $1.9 million in revenue resulting from the change in the method of revenue recognition for the CD71 Agreement from straight-line under ASC 605 to percentage-of-completion under ASC 606, which we adopted on January 1, 2018.</w:t>
      </w:r>
    </w:p>
    <w:p>
      <w:pPr>
        <w:spacing w:after="0" w:line="2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Revenue from Amgen under the Amgen Agreement entered into in September 2017 increased by $3.6 million for 2018 compared to 2017. The increase in revenue was primarily due to a full year of revenue recognized for 2018 as compared to a partial year’s revenue recognition for this agreement starting in October 2017. In the fourth quarter of 2018, the joint steering committee (“JSC”) officially terminated any further work on two molecules in the Amgen EGFR project due to unacceptable test results. The current plan is to evaluate other molecules as part of the candidate identification phase of the project, and as a result, there has been a change in estimate of the actual full-time employee (“FTE”) hours-to-completion and an extended research service period to seven years. As such, the revenue growth in 2018 was not as large as it may have been before this change in estimate in late 2018.</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revenue from Bristol-Myers Squibb of $3.7 million for 2018 compared to 2017 was primarily due to a $10.0 million milestone payment related to the IND filing for BMS-986249 by Bristol-Myers Squibb in 2017, a decrease of $1.3 million in amortization of certain deferred revenue resulting from an increase in the estimated length of the research terms during late April 2017, which caused average monthly amortization in 2018 to be less than that reported in 2017, and a decrease in service revenue of $0.3 million for 2018 compared to that in 2017. These factors that contributed to larger revenue in 2017 were partially offset by an increase of $7.9 million in amortization of deferred revenue for 2018 related to the $200.0 million upfront payment we received in the second quarter of 2017 as a result of Amendment Number 1 to Extend Collaboration and License Agreement (“BMS Amendment) entered into in March 2017.</w:t>
      </w:r>
    </w:p>
    <w:p>
      <w:pPr>
        <w:spacing w:after="0" w:line="2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decrease in revenue from ImmunoGen of $11.0 million for 2018 compared to 2017 was the result of the recognition of $6.5 million in revenue in 2017 related to the delivery of the ImmunoGen 2017 License to ImmunoGen in connection with the ImmunoGen Research Agreement, as well as the recognition of $5.9 million of revenue during 2017 resulting from an amendment to the ImmunoGen Research Agreement extending the research term to June 2018, which was partially offset by an increase of $1.4 million in revenue in 2018 due to the related extension of the research term to June 2018.</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decrease in revenue from Pfizer of $0.5 million for 2018 compared to 2017 was as a result of Pfizer terminating our Research Collaboration, Option and License Agreement in March 2018.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103,866</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92,277</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by $11.6 million during 2018 compared to 2017. The increase was primarily attributable to the following:</w:t>
      </w:r>
    </w:p>
    <w:p>
      <w:pPr>
        <w:spacing w:after="0" w:line="154" w:lineRule="exact"/>
        <w:rPr>
          <w:sz w:val="20"/>
          <w:szCs w:val="20"/>
          <w:color w:val="auto"/>
        </w:rPr>
      </w:pPr>
    </w:p>
    <w:p>
      <w:pPr>
        <w:ind w:left="1040" w:right="3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$10.0 million in lab services and $12.3 million in clinical trial expenses related to CX-072, CX-2009 and CX-2029 Phase 1/2 clinical development and the ramp up for IND filing and clinical trial preparation for CX-188;</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$10.5 million in personnel related expenses and a $1.2 million allocation of information technology and facilities-related expenses resulting from an increase in headcount;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$0.9 million in lab supplies;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$0.7 million in consulting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131" w:lineRule="exact"/>
        <w:rPr>
          <w:sz w:val="20"/>
          <w:szCs w:val="20"/>
          <w:color w:val="auto"/>
        </w:rPr>
      </w:pPr>
    </w:p>
    <w:p>
      <w:pPr>
        <w:ind w:left="1040" w:right="2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$10.7 million of non-cash research and development expense recognized in 2017 related to the estimated fair value of the CytomX Product under the Amgen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left="520" w:hanging="519"/>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$10.0 million sublicense fee payment made to UCSB in 2017, which was triggered by the $200 million upfront payment made by Bristol-Myers Squibb in connection with our expanded collaboration;</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60"/>
          </w:cols>
          <w:pgMar w:left="760" w:top="449" w:right="579" w:bottom="1440" w:gutter="0" w:footer="0" w:header="0"/>
        </w:sectPr>
      </w:pPr>
    </w:p>
    <w:bookmarkStart w:id="84" w:name="page85"/>
    <w:bookmarkEnd w:id="84"/>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$2.1 million sublicense fee payable to UCSB recognized as a result of the Amgen Agreement in 2017; and</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$1.0 million sublicense payment to ImmunoGen upon the commencement of enrollment of Phase 1/2 and first patient dosing in the clinical trial for CX-2009 during the second quarter of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1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CX-072 (PD-L1)</w:t>
            </w: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9,290</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CX-2009 (CD166)</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CX-2029 (CD71)</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Other wholly owned and partnered programs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General research and development expenses</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Internal Costs</w:t>
            </w:r>
          </w:p>
        </w:tc>
        <w:tc>
          <w:tcPr>
            <w:tcW w:w="1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36,252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decrease in “Other wholly owned and partnered programs” for 2018 compared to 2017 was primarily due to $10.7 million of research and development expense recognized during 2017 related to the estimated fair value of the CytomX Product under the Amgen Agreement. The decrease in general research and development expenses for 2018 compared to 2017 was primarily a payment of $10.0 million in sublicense fee under the UCSB Agreement in 2017. The increase in other categories of external costs for 2018 was due primarily to increases in laboratory contracts and services and clinical trial expenses related to CX-072, CX-2009 and CX-2029 Phase 1/2 clinical development and the ramp up for IND filing and clinical trial preparation for CX-188. The increase in internal costs for 2018 was primarily due to increase in personnel-related expenses and allocation of information technology and facilities-related expenses resulting from an increase in headcount.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2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33,510</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25,605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and administrative expenses increased by $7.9 million during 2018 compared to 2017. The increase was attributable to an increase of $5.6 million in personnel-related expenses primarily due to an increase in headcount, and an increase of $2.3 million in subscription services and consulting or services expenses related to audit, strategic planning, tax compliance, legal compliance and facilities.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82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income and other expense</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Interest income increased by $5.0 million for 2018 compared to 2017. The increase was primarily attributable to an increase in interest earned on our short-term investments due to an overall increase in our cash and cash equivalents position resulting from the common stock offering completed in July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Other Expense, Net</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expense, net increased by $41,000 in expense was primarily due to increased loss in currency exchange resulting from unfavorable movements in the US dollar relative to Euros.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282"/>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262"/>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25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14,303</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(513)</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Provision for income taxes increased to $14.3 million in 2018 from a benefit from income taxes of $0.5 million in 2017. The income tax expense was generated as a result of a temporary difference in the recognition of revenue under tax and U.S. GAAP authoritative guidance, primarily due to revenue recognized for tax purposes in 2018 related to upfront payments received in 2017, prior to revenue recognition for U.S. GAAP purposes. These upfront payments will be recognized over the related research and development service periods under U.S. GAAP for book purposes and the associated deferred tax assets due to the timing differences are subject to a valuation allowance. In addition, the ownership changes under Section 382 of the IRC in 2017 limited the use of available net operating losses and research tax credits against our 2018 taxable income.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2019, we had cash, cash equivalents and short-term investments of $296.1 million and an accumulated deficit of $417.2 million, compared to cash, cash equivalents and short-term investments of $436.1 million and an accumulated deficit of $315.0 million as of December 31, 2018. To date, we have financed our operations primarily through sales of our common stock in conjunction with the IPO and a subsequent stock offering, sales of our convertible preferred securities prior to our IPO and payments received under our collaboration agreements.</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2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(140,480)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(75,521)</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cash provided by (used in) by investing activities</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(121,266)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9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139,624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9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vMerge w:val="restart"/>
          </w:tcPr>
          <w:p>
            <w:pPr>
              <w:jc w:val="right"/>
              <w:ind w:right="890"/>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w:t>
      </w:r>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year ended December 31, 2019, cash used in operating activities was $140.5 million, which consisted of a net loss of $102.2 million, adjusted by non-cash charges of $21.1 million and a net decrease of $59.4 million relating to the change in our net operating assets and liabilities. The non-cash charges primarily consisted of $19.1 million in stock-based compensation; $1.6 million of common stock issued in connection with our entry into Amendment No.3 to the UCSB Agreement and $2.6 million in depreciation and amortization expense; which amounts were partially offset by $2.2 million in accretion of discounts on our short-term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31" w:lineRule="exact"/>
        <w:rPr>
          <w:sz w:val="20"/>
          <w:szCs w:val="20"/>
          <w:color w:val="auto"/>
        </w:rPr>
      </w:pPr>
    </w:p>
    <w:p>
      <w:pPr>
        <w:ind w:left="1040" w:right="60" w:hanging="519"/>
        <w:spacing w:after="0" w:line="25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$47.7 million in deferred revenue resulting from continued recognition of deferred revenue from existing customers and the accelerated recognition of revenue of $17.4 million related to the termination of certain targets under the BMS Agreement in the first quarter of 2019, partially offset by the additional $10.0 million milestone payment due from AbbVie in June 2019, which payment was triggered by its selection of the second target under the Discovery Collaboration and Licensing Agreement with AbbVie (as amended, the “Discovery Agreement”);</w:t>
      </w:r>
    </w:p>
    <w:p>
      <w:pPr>
        <w:spacing w:after="0" w:line="9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$12.7 million in accrued liabilities and income tax payable primarily due to the net payment of $13.1 million for our 2018 income tax liability and $3.8 million in sublicense fees, partially offset by $4.2 million increase in other liabilities during 2019;</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$1.0 million in cashflow with $0.4 million from accounts payable and $0.6 million from other assets;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$2.0 million in cash flows from prepaid expenses and other current assets.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 ended December 31, 2018, cash used in operating activities was $75.5 million, which consisted of a net loss of $84.6 million, adjusted by non-cash charges of $17.1 million and a net decrease of $8.0 million in our operating assets and liabilities. The non-cash charges primarily consisted of $16.9 million in stock-based compensation and $1.9 million in depreciation and amortization, partially offset by $1.7 million in accretion of discounts on our short-term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net decrease in our operating assets and liabilities of $8.0 million was primarily attributable to:</w:t>
      </w:r>
    </w:p>
    <w:p>
      <w:pPr>
        <w:spacing w:after="0" w:line="131" w:lineRule="exact"/>
        <w:rPr>
          <w:sz w:val="20"/>
          <w:szCs w:val="20"/>
          <w:color w:val="auto"/>
        </w:rPr>
      </w:pPr>
    </w:p>
    <w:p>
      <w:pPr>
        <w:ind w:left="1040" w:right="20" w:hanging="519"/>
        <w:spacing w:after="0" w:line="312"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net decrease in deferred revenue of $38.2 million resulting from the recognition of $59.2 million in upfront fees and milestone payments under ASC 606 pursuant to our collaboration agreements, offset by the $21.0 million (net of the payment of an associated sublicense fee of $4.0 million to SGEN) new milestone addition to deferred revenue in 2018 resulting from the AbbVie CX-2029 milestone payment received;</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of $4.9 million resulting from the increase in prepaid expenses and other current assets; partially offset by</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cash flows from accounts receivable primarily from the $10.0 million we received from Bristol-Myers Squibb for achieving the milestone of IND filing of BMS-986249 in 2018;</w:t>
      </w:r>
    </w:p>
    <w:p>
      <w:pPr>
        <w:spacing w:after="0" w:line="62"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$24.8 million in accrued liabilities, income tax payable and other long-term liabilities resulting primarily from a $13.3 million increase in income tax payable, a $10.3 million in accrued liabilities driven by increases in laboratory services, UCSB sublicense fee accrual and CRO expenses accrual relating to clinical trial activities;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accounts payable of $0.3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cash provided by operating activities was $170.4 million, which consisted of a net loss of $43.1 million, non-cash charges of $23.5 million, and an increase of $190.0 million in our net operating assets and liabilities. The non-cash charges primarily consisted of $1.6 million in depreciation and amortization, $11.3 million in stock-based compensation and a $10.7 million non-cash acquisition of in-process research and development asset charged to expense.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change in our net operating assets and liabilities of $190.0 million was primarily attributable to:</w:t>
      </w:r>
    </w:p>
    <w:p>
      <w:pPr>
        <w:spacing w:after="0" w:line="117" w:lineRule="exact"/>
        <w:rPr>
          <w:sz w:val="20"/>
          <w:szCs w:val="20"/>
          <w:color w:val="auto"/>
        </w:rPr>
      </w:pPr>
    </w:p>
    <w:p>
      <w:pPr>
        <w:ind w:left="1040" w:right="80" w:hanging="519"/>
        <w:spacing w:after="0" w:line="255"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$189.9 million in deferred revenue resulting from Bristol-Myers Squibb upfront payment of $200.0 million and $40.0 million received in connection with the collaboration we entered into with Amgen in September 2017. These increases were partially offset by an increase in the recognition of revenue associated with upfront fees of $34.4 million under our various collaboration agreements, $6.6 million in recognized revenue from our delivery of a Development and Commercialization License to ImmunoGen in connection with the ImmunoGen Research Agreement, and $5.9 million in recognized revenue from ImmunoGen as a result of the amendment to the ImmunoGen Research Amendment;</w:t>
      </w:r>
    </w:p>
    <w:p>
      <w:pPr>
        <w:spacing w:after="0" w:line="85"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in accrued and long-term liabilities of $9.2 million;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in other assets of $1.6 million; partially offset by</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in accounts receivable of $8.0 million resulting primarily from the $10.0 million of milestone billing to Bristol-Myers Squibb for the IND filing of BMS-986249, offset by a $2.0 million payment received from Bristol-Myers Squibb relating to the 2016 milestone for the selection of BMS-986249;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$2.4 million in accounts payable.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3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year ended December 31, 2019, cash provided by investing activities was $79.7 million, which consisted of $258.2 million in proceeds received upon the maturity of marketable securities, partially offset by $175.0 million used in the purchases of short-term investments and $3.5 million of capital expenditures used to purchase property and equipment.</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year ended December 31, 2018, cash provided by investing activities was $5.9 million, which consisted of $204.6 million used in purchases of short-term investments and $3.8 million of capital expenditures used to purchase property and equipment. This was offset by $214.3 million in proceeds received upon the maturity of short-term investments.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year ended December 31, 2017, cash used in investing activities was $121.3 million, which consisted of $218.7 million used in the purchase of short-term investments and $1.6 million of capital expenditures used to purchase property and equipment. This amount was partially offset by $99.0 million in proceeds received upon the maturity of short-term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year ended December 31, 2019, cash provided by financing activities was $1.6 million, primarily consisted of proceeds from the exercise of stock options and employee stock purchases under the employee stock purchase plan (“ESPP”).</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year ended December 31, 2018, cash provided by financing activities was $139.6 million, primarily consisted of proceeds from our common stock public offering of $134.6 million (net of underwriting discounts and stock issuance costs of $9.2 million) and proceeds from the exercise of stock options and employee stock purchases under the ESPP of $5.0 million.</w:t>
      </w:r>
    </w:p>
    <w:p>
      <w:pPr>
        <w:spacing w:after="0" w:line="18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During the year ended December 31, 2017, cash provided by financing activities was $23.8 million, which primarily consisted of proceeds received from the issuance of common stock to Amgen pursuant to a stock purchase of $20.0 million and proceeds from the exercise of stock options and ESPP of $3.8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Payments Due by Period</w:t>
            </w:r>
            <w:r>
              <w:rPr>
                <w:rFonts w:ascii="Arial" w:cs="Arial" w:eastAsia="Arial" w:hAnsi="Arial"/>
                <w:sz w:val="12"/>
                <w:szCs w:val="12"/>
                <w:b w:val="1"/>
                <w:bCs w:val="1"/>
                <w:color w:val="auto"/>
              </w:rPr>
              <w:t>(4)</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36,501</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Royalty obligations</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License maintenance fees</w:t>
            </w:r>
            <w:r>
              <w:rPr>
                <w:rFonts w:ascii="Arial" w:cs="Arial" w:eastAsia="Arial" w:hAnsi="Arial"/>
                <w:sz w:val="15"/>
                <w:szCs w:val="15"/>
                <w:color w:val="auto"/>
              </w:rPr>
              <w:t>(3)</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FF0FC"/>
          </w:tcPr>
          <w:p>
            <w:pPr>
              <w:spacing w:after="0"/>
              <w:rPr>
                <w:sz w:val="19"/>
                <w:szCs w:val="19"/>
                <w:color w:val="auto"/>
              </w:rPr>
            </w:pPr>
          </w:p>
        </w:tc>
      </w:tr>
      <w:tr>
        <w:trPr>
          <w:trHeight w:val="223"/>
        </w:trPr>
        <w:tc>
          <w:tcPr>
            <w:tcW w:w="424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45,276</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140" w:hanging="512"/>
        <w:spacing w:after="0" w:line="277" w:lineRule="auto"/>
        <w:tabs>
          <w:tab w:leader="none" w:pos="520" w:val="left"/>
        </w:tabs>
        <w:numPr>
          <w:ilvl w:val="0"/>
          <w:numId w:val="49"/>
        </w:numPr>
        <w:rPr>
          <w:rFonts w:ascii="Arial" w:cs="Arial" w:eastAsia="Arial" w:hAnsi="Arial"/>
          <w:sz w:val="15"/>
          <w:szCs w:val="15"/>
          <w:color w:val="auto"/>
        </w:rPr>
      </w:pPr>
      <w:r>
        <w:rPr>
          <w:rFonts w:ascii="Arial" w:cs="Arial" w:eastAsia="Arial" w:hAnsi="Arial"/>
          <w:sz w:val="18"/>
          <w:szCs w:val="18"/>
          <w:color w:val="auto"/>
        </w:rPr>
        <w:t>We lease our current facility under a long-term operating lease, which expires in 2026. The lease provides us with one option to extend the lease term for a period of five years at the then fair market rental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left="520" w:right="340" w:hanging="512"/>
        <w:spacing w:after="0" w:line="271"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7"/>
          <w:szCs w:val="17"/>
          <w:color w:val="auto"/>
        </w:rPr>
        <w:t>We have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10 - “License Agreement" in the accompanying Notes to the financial statements for more information.</w:t>
      </w:r>
    </w:p>
    <w:p>
      <w:pPr>
        <w:ind w:left="520" w:right="500" w:hanging="512"/>
        <w:spacing w:after="0" w:line="281"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6"/>
          <w:szCs w:val="16"/>
          <w:color w:val="auto"/>
        </w:rPr>
        <w:t>We have annual license maintenance fees under the terms of certain license agreement with UCSB. See Part II. Item 8. Financial Statements and Supplementary Data, Note 10 - “License Agreement” in the accompanying Notes to the financial statements for more information.</w:t>
      </w:r>
    </w:p>
    <w:p>
      <w:pPr>
        <w:spacing w:after="0" w:line="1" w:lineRule="exact"/>
        <w:rPr>
          <w:rFonts w:ascii="Arial" w:cs="Arial" w:eastAsia="Arial" w:hAnsi="Arial"/>
          <w:sz w:val="14"/>
          <w:szCs w:val="14"/>
          <w:color w:val="auto"/>
        </w:rPr>
      </w:pPr>
    </w:p>
    <w:p>
      <w:pPr>
        <w:ind w:left="520" w:right="280" w:hanging="512"/>
        <w:spacing w:after="0" w:line="255" w:lineRule="auto"/>
        <w:tabs>
          <w:tab w:leader="none" w:pos="520" w:val="left"/>
        </w:tabs>
        <w:numPr>
          <w:ilvl w:val="0"/>
          <w:numId w:val="50"/>
        </w:numPr>
        <w:rPr>
          <w:rFonts w:ascii="Arial" w:cs="Arial" w:eastAsia="Arial" w:hAnsi="Arial"/>
          <w:sz w:val="15"/>
          <w:szCs w:val="15"/>
          <w:color w:val="auto"/>
        </w:rPr>
      </w:pPr>
      <w:r>
        <w:rPr>
          <w:rFonts w:ascii="Arial" w:cs="Arial" w:eastAsia="Arial" w:hAnsi="Arial"/>
          <w:sz w:val="18"/>
          <w:szCs w:val="18"/>
          <w:color w:val="auto"/>
        </w:rPr>
        <w:t>This table does not include any milestone payments or royalty payments to third parties as the amounts, timing and likelihood of such payments are not known. See Part II. Item 8. Financial Statements and Supplementary Data, Note 9 - “Research and Collaboration Agreements” in the accompanying Notes to the financial statements for more information.</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enter into agreements in the normal course of business with CROs for clinical trials and with vendors for pre-clinical studies and other services and products for operating purposes, which are cancelable at any time by us, generally upon 30 to 60 days prior written notice. These payments are not included in the above table of contractual obligations. The above table also excludes unrecognized tax benefits of $5.2 million as of December 31, 2019 because these uncertain tax positions, if recognized, would be an adjustment to our deferred tax assets, which are subject to a valuation allowance.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On January 1, 2018, we adopted Accounting Standards Update, or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using the modified retrospective transition method.</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19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w:t>
      </w:r>
    </w:p>
    <w:p>
      <w:pPr>
        <w:spacing w:after="0" w:line="19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assess whether the promises in its arrangements with 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spacing w:after="0" w:line="270" w:lineRule="auto"/>
        <w:rPr>
          <w:sz w:val="20"/>
          <w:szCs w:val="20"/>
          <w:color w:val="auto"/>
        </w:rPr>
      </w:pPr>
      <w:r>
        <w:rPr>
          <w:rFonts w:ascii="Arial" w:cs="Arial" w:eastAsia="Arial" w:hAnsi="Arial"/>
          <w:sz w:val="17"/>
          <w:szCs w:val="17"/>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us or the licensee, such as regulatory approvals, are not considered probable of being achieved until those approvals are received. In certain agreements, the collaboration partner is solely responsible for meeting the defined collaboration objectives that trigger the contingent payment. At each reporting date, we re-evaluate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0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certain cases, our performance creates an asset that does not have an alternative use to the customer and we have an enforceable right to payment at all times for performance completed to date. In these cases,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we adjust the measure of performance and related revenue recognition. There have been changes in estimates of research service periods and the related estimated FTE hours-to-completion, of certain of our research development programs in 2018 and 2019. Such adjustments have impacted and may continue to impact the amounts and timing of our revenue recognized.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including CROs. Our contracts with CROs generally include pass-through costs, such as regulatory expenses, investigator fees, travel costs and other miscellaneous costs. The financial terms of these contracts are subject to negotiations, which vary from contract to contract and may result in payments that do not match the periods over which materials or services are provided to us under such contracts.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19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recognize compensation costs related to stock options granted to employees based on the estimated fair value of the awards on the date of grant and we record forfeitures as they are incurred. We estimate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9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estimate the fair value of our stock-based awards using the Black-Scholes option-pricing model, which requires the input of assumptions. Our assumptions are as follows:</w:t>
      </w:r>
    </w:p>
    <w:p>
      <w:pPr>
        <w:spacing w:after="0" w:line="76" w:lineRule="exact"/>
        <w:rPr>
          <w:sz w:val="20"/>
          <w:szCs w:val="20"/>
          <w:color w:val="auto"/>
        </w:rPr>
      </w:pPr>
    </w:p>
    <w:p>
      <w:pPr>
        <w:jc w:val="both"/>
        <w:ind w:left="1040" w:right="2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period that the stock options are expected to remain outstanding and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vesting terms, exercise term and contractual lives of the options. The expected term of the ESPP shares is equal to the six-month look-back period;</w:t>
      </w:r>
    </w:p>
    <w:p>
      <w:pPr>
        <w:spacing w:after="0" w:line="73"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our stock options was derived from the average historical volatilities of 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the stock price of several comparable publicly traded companies within the biotechnology and pharmaceutical industry. We will continue to apply this process until a sufficient amount of historical information of our own stock price becomes available. Volatility for ESPP shares is equal to our stock price’s historical volatility over a six-month period;</w:t>
      </w:r>
    </w:p>
    <w:p>
      <w:pPr>
        <w:spacing w:after="0" w:line="78"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in effect at the time of grant; and</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we have never paid dividends and have no current plans to pay any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common stock.</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On January 2019, the Company adopted ASU No. 2018-07, </w:t>
      </w:r>
      <w:r>
        <w:rPr>
          <w:rFonts w:ascii="Arial" w:cs="Arial" w:eastAsia="Arial" w:hAnsi="Arial"/>
          <w:sz w:val="17"/>
          <w:szCs w:val="17"/>
          <w:i w:val="1"/>
          <w:iCs w:val="1"/>
          <w:color w:val="auto"/>
        </w:rPr>
        <w:t>Compensation - 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Under this new standard, stock options granted to non-employees as consideration for services received are measured on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using the Black-Scholes option-pricing model. The related grant date fair values of stock options are expensed on a straight-line basis over the period, generally the vesting period, during which the non-employee is required to provide service in exchange for the award.</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adoption of ASU 2018-07, stock-based compensation expense for options granted to non-employees as consideration for services received was measured on the date of performance at the fair value of the consideration received or the fair value of the equity instruments issued, using the Black-Scholes option-pricing model, whichever can be more reliably measured. Stock-based compensation expense for options granted to non-employees was periodically remeasured as the underlying options vest.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account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We record a valuation allowance to reduce our deferred tax assets to reflect the net amount that we believe is more likely than not to be realized. Realization of our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2019,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91" w:name="page92"/>
    <w:bookmarkEnd w:id="91"/>
    <w:p>
      <w:pPr>
        <w:spacing w:after="0" w:line="270" w:lineRule="auto"/>
        <w:rPr>
          <w:sz w:val="20"/>
          <w:szCs w:val="20"/>
          <w:color w:val="auto"/>
        </w:rPr>
      </w:pPr>
      <w:r>
        <w:rPr>
          <w:rFonts w:ascii="Arial" w:cs="Arial" w:eastAsia="Arial" w:hAnsi="Arial"/>
          <w:sz w:val="17"/>
          <w:szCs w:val="17"/>
          <w:color w:val="auto"/>
        </w:rPr>
        <w:t>We recognize the tax effects of an uncertain tax position only if it is more likely than not that it will be sustained based solely on its technical merits as of the reporting date and only in an amount more likely than not that it will be sustained upon review by the tax authorities. We evaluate uncertain tax positions on a quarterly basis and adjust the liability for changes in facts and circumstances, such as new regulations or interpretations by the taxing authorities, including the 2017 Tax Cuts and Jobs Act (“Tax Act”),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statements of operations. Interest and/or penalties related to income tax matters are recognized as a component of income tax expense.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$296.1 million and $436.1 million as of December 31, 2019 and 2018, respectively, which consists of bank deposits, money market funds and U.S. government bonds. Such interest-bearing instruments carry a degree of interest rate risk; however, historical fluctuations of interest income have not been significant.</w:t>
      </w:r>
    </w:p>
    <w:p>
      <w:pPr>
        <w:spacing w:after="0" w:line="1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December 31, 2019, a hypothetical 100 basis point change in interest rates would not have material effect in the fair value of the portfolio. Any changes would only be realized if we sold the investments prior to maturity.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7"/>
            <w:vMerge w:val="restart"/>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Reports of Independent Registered Public Accounting Firm</w:t>
              </w:r>
            </w:hyperlink>
          </w:p>
        </w:tc>
        <w:tc>
          <w:tcPr>
            <w:tcW w:w="660" w:type="dxa"/>
            <w:vAlign w:val="bottom"/>
            <w:vMerge w:val="restart"/>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7"/>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120" w:type="dxa"/>
            <w:vAlign w:val="bottom"/>
          </w:tcPr>
          <w:p>
            <w:pPr>
              <w:spacing w:after="0"/>
              <w:rPr>
                <w:sz w:val="14"/>
                <w:szCs w:val="14"/>
                <w:color w:val="auto"/>
              </w:rPr>
            </w:pPr>
          </w:p>
        </w:tc>
        <w:tc>
          <w:tcPr>
            <w:tcW w:w="300" w:type="dxa"/>
            <w:vAlign w:val="bottom"/>
            <w:tcBorders>
              <w:top w:val="single" w:sz="8" w:color="auto"/>
            </w:tcBorders>
          </w:tcPr>
          <w:p>
            <w:pPr>
              <w:ind w:left="160"/>
              <w:spacing w:after="0" w:line="169" w:lineRule="exact"/>
              <w:rPr>
                <w:sz w:val="20"/>
                <w:szCs w:val="20"/>
                <w:color w:val="auto"/>
              </w:rPr>
            </w:pPr>
            <w:r>
              <w:rPr>
                <w:rFonts w:ascii="Arial" w:cs="Arial" w:eastAsia="Arial" w:hAnsi="Arial"/>
                <w:sz w:val="15"/>
                <w:szCs w:val="15"/>
                <w:color w:val="auto"/>
                <w:w w:val="71"/>
              </w:rPr>
              <w:t>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496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100" w:type="dxa"/>
            <w:vAlign w:val="bottom"/>
            <w:tcBorders>
              <w:bottom w:val="single" w:sz="8" w:color="0000EE"/>
            </w:tcBorders>
          </w:tcPr>
          <w:p>
            <w:pPr>
              <w:spacing w:after="0" w:line="190" w:lineRule="exact"/>
              <w:rPr>
                <w:rFonts w:ascii="Arial" w:cs="Arial" w:eastAsia="Arial" w:hAnsi="Arial"/>
                <w:sz w:val="18"/>
                <w:szCs w:val="18"/>
                <w:color w:val="0000EE"/>
                <w:w w:val="85"/>
              </w:rPr>
            </w:pPr>
            <w:hyperlink w:anchor="page97">
              <w:r>
                <w:rPr>
                  <w:rFonts w:ascii="Arial" w:cs="Arial" w:eastAsia="Arial" w:hAnsi="Arial"/>
                  <w:sz w:val="18"/>
                  <w:szCs w:val="18"/>
                  <w:color w:val="0000EE"/>
                  <w:w w:val="85"/>
                </w:rPr>
                <w:t>Balance Sheets</w:t>
              </w:r>
            </w:hyperlink>
          </w:p>
        </w:tc>
        <w:tc>
          <w:tcPr>
            <w:tcW w:w="3440" w:type="dxa"/>
            <w:vAlign w:val="bottom"/>
            <w:gridSpan w:val="6"/>
          </w:tcPr>
          <w:p>
            <w:pPr>
              <w:spacing w:after="0"/>
              <w:rPr>
                <w:sz w:val="16"/>
                <w:szCs w:val="16"/>
                <w:color w:val="auto"/>
              </w:rPr>
            </w:pPr>
          </w:p>
        </w:tc>
        <w:tc>
          <w:tcPr>
            <w:tcW w:w="6460" w:type="dxa"/>
            <w:vAlign w:val="bottom"/>
            <w:gridSpan w:val="3"/>
          </w:tcPr>
          <w:p>
            <w:pPr>
              <w:ind w:left="6280"/>
              <w:spacing w:after="0" w:line="190" w:lineRule="exact"/>
              <w:rPr>
                <w:sz w:val="20"/>
                <w:szCs w:val="20"/>
                <w:color w:val="auto"/>
              </w:rPr>
            </w:pPr>
            <w:r>
              <w:rPr>
                <w:rFonts w:ascii="Arial" w:cs="Arial" w:eastAsia="Arial" w:hAnsi="Arial"/>
                <w:sz w:val="18"/>
                <w:szCs w:val="18"/>
                <w:color w:val="auto"/>
                <w:w w:val="79"/>
              </w:rPr>
              <w:t>95</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Statements of Operations and Comprehensive Loss</w:t>
              </w:r>
            </w:hyperlink>
          </w:p>
        </w:tc>
        <w:tc>
          <w:tcPr>
            <w:tcW w:w="6460" w:type="dxa"/>
            <w:vAlign w:val="bottom"/>
            <w:gridSpan w:val="3"/>
          </w:tcPr>
          <w:p>
            <w:pPr>
              <w:ind w:left="6280"/>
              <w:spacing w:after="0" w:line="196" w:lineRule="exact"/>
              <w:rPr>
                <w:sz w:val="20"/>
                <w:szCs w:val="20"/>
                <w:color w:val="auto"/>
              </w:rPr>
            </w:pPr>
            <w:r>
              <w:rPr>
                <w:rFonts w:ascii="Arial" w:cs="Arial" w:eastAsia="Arial" w:hAnsi="Arial"/>
                <w:sz w:val="18"/>
                <w:szCs w:val="18"/>
                <w:color w:val="auto"/>
                <w:w w:val="79"/>
              </w:rPr>
              <w:t>96</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Statements of Stockholders’ Equity</w:t>
              </w:r>
            </w:hyperlink>
          </w:p>
        </w:tc>
        <w:tc>
          <w:tcPr>
            <w:tcW w:w="1120" w:type="dxa"/>
            <w:vAlign w:val="bottom"/>
            <w:tcBorders>
              <w:top w:val="single" w:sz="8" w:color="0000EE"/>
            </w:tcBorders>
          </w:tcPr>
          <w:p>
            <w:pPr>
              <w:spacing w:after="0"/>
              <w:rPr>
                <w:sz w:val="17"/>
                <w:szCs w:val="17"/>
                <w:color w:val="auto"/>
              </w:rPr>
            </w:pPr>
          </w:p>
        </w:tc>
        <w:tc>
          <w:tcPr>
            <w:tcW w:w="860" w:type="dxa"/>
            <w:vAlign w:val="bottom"/>
            <w:gridSpan w:val="2"/>
          </w:tcPr>
          <w:p>
            <w:pPr>
              <w:spacing w:after="0"/>
              <w:rPr>
                <w:sz w:val="17"/>
                <w:szCs w:val="17"/>
                <w:color w:val="auto"/>
              </w:rPr>
            </w:pPr>
          </w:p>
        </w:tc>
        <w:tc>
          <w:tcPr>
            <w:tcW w:w="6460" w:type="dxa"/>
            <w:vAlign w:val="bottom"/>
            <w:gridSpan w:val="3"/>
          </w:tcPr>
          <w:p>
            <w:pPr>
              <w:ind w:left="6280"/>
              <w:spacing w:after="0" w:line="196" w:lineRule="exact"/>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Statements of Cash Flows</w:t>
              </w:r>
            </w:hyperlink>
          </w:p>
        </w:tc>
        <w:tc>
          <w:tcPr>
            <w:tcW w:w="2660" w:type="dxa"/>
            <w:vAlign w:val="bottom"/>
            <w:gridSpan w:val="5"/>
          </w:tcPr>
          <w:p>
            <w:pPr>
              <w:spacing w:after="0"/>
              <w:rPr>
                <w:sz w:val="17"/>
                <w:szCs w:val="17"/>
                <w:color w:val="auto"/>
              </w:rPr>
            </w:pPr>
          </w:p>
        </w:tc>
        <w:tc>
          <w:tcPr>
            <w:tcW w:w="6460" w:type="dxa"/>
            <w:vAlign w:val="bottom"/>
            <w:gridSpan w:val="3"/>
          </w:tcPr>
          <w:p>
            <w:pPr>
              <w:ind w:left="6280"/>
              <w:spacing w:after="0" w:line="196" w:lineRule="exact"/>
              <w:rPr>
                <w:sz w:val="20"/>
                <w:szCs w:val="20"/>
                <w:color w:val="auto"/>
              </w:rPr>
            </w:pPr>
            <w:r>
              <w:rPr>
                <w:rFonts w:ascii="Arial" w:cs="Arial" w:eastAsia="Arial" w:hAnsi="Arial"/>
                <w:sz w:val="18"/>
                <w:szCs w:val="18"/>
                <w:color w:val="auto"/>
                <w:w w:val="79"/>
              </w:rPr>
              <w:t>98</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Notes to Financial Statements</w:t>
              </w:r>
            </w:hyperlink>
          </w:p>
        </w:tc>
        <w:tc>
          <w:tcPr>
            <w:tcW w:w="6460" w:type="dxa"/>
            <w:vAlign w:val="bottom"/>
            <w:gridSpan w:val="3"/>
          </w:tcPr>
          <w:p>
            <w:pPr>
              <w:ind w:left="6280"/>
              <w:spacing w:after="0" w:line="196" w:lineRule="exact"/>
              <w:rPr>
                <w:sz w:val="20"/>
                <w:szCs w:val="20"/>
                <w:color w:val="auto"/>
              </w:rPr>
            </w:pPr>
            <w:r>
              <w:rPr>
                <w:rFonts w:ascii="Arial" w:cs="Arial" w:eastAsia="Arial" w:hAnsi="Arial"/>
                <w:sz w:val="18"/>
                <w:szCs w:val="18"/>
                <w:color w:val="auto"/>
                <w:w w:val="79"/>
              </w:rPr>
              <w:t>99</w:t>
            </w:r>
          </w:p>
        </w:tc>
        <w:tc>
          <w:tcPr>
            <w:tcW w:w="0" w:type="dxa"/>
            <w:vAlign w:val="bottom"/>
          </w:tcPr>
          <w:p>
            <w:pPr>
              <w:spacing w:after="0"/>
              <w:rPr>
                <w:sz w:val="1"/>
                <w:szCs w:val="1"/>
                <w:color w:val="auto"/>
              </w:rPr>
            </w:pPr>
          </w:p>
        </w:tc>
      </w:tr>
      <w:tr>
        <w:trPr>
          <w:trHeight w:val="898"/>
        </w:trPr>
        <w:tc>
          <w:tcPr>
            <w:tcW w:w="4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tcPr>
          <w:p>
            <w:pPr>
              <w:jc w:val="right"/>
              <w:ind w:right="519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CytomX Therapeutics,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We have audited the accompanying balance sheets of CytomX Therapeutics, Inc. (the Company) as of December 31, 2019 and 2018, the related statements of operations and comprehensive loss,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U.S. generally accepted accounting principles</w:t>
      </w:r>
    </w:p>
    <w:p>
      <w:pPr>
        <w:spacing w:after="0" w:line="21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February 27, 2020 expressed an unqualified opinion thereon.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135"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color w:val="auto"/>
        </w:rPr>
        <w:t xml:space="preserve">As discussed in Note 3 to the financial statements, the Company changed its method for accounting for leases as a result of the adoption of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using the modified retrospective transition method effective January 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13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 xml:space="preserve">As discussed in Note 2 to the financial statements, the Company changed its method for recognizing revenue as a result of the adoption of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using the modified retrospective transition method effective January 1, 2018.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Accounting for revenue and collaboration agreements</w:t>
      </w:r>
    </w:p>
    <w:p>
      <w:pPr>
        <w:spacing w:after="0" w:line="229" w:lineRule="exact"/>
        <w:rPr>
          <w:sz w:val="20"/>
          <w:szCs w:val="20"/>
          <w:color w:val="auto"/>
        </w:rPr>
      </w:pPr>
    </w:p>
    <w:p>
      <w:pPr>
        <w:jc w:val="both"/>
        <w:ind w:left="2200" w:hanging="2200"/>
        <w:spacing w:after="0" w:line="293" w:lineRule="auto"/>
        <w:tabs>
          <w:tab w:leader="none" w:pos="218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The Company recorded revenue from collaboration agreements of $57.4 million for the year ended December 31, 2019. As described in Note 2,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65" w:lineRule="exact"/>
        <w:rPr>
          <w:sz w:val="20"/>
          <w:szCs w:val="20"/>
          <w:color w:val="auto"/>
        </w:rPr>
      </w:pPr>
    </w:p>
    <w:p>
      <w:pPr>
        <w:jc w:val="both"/>
        <w:ind w:left="2200"/>
        <w:spacing w:after="0" w:line="259" w:lineRule="auto"/>
        <w:rPr>
          <w:sz w:val="20"/>
          <w:szCs w:val="20"/>
          <w:color w:val="auto"/>
        </w:rPr>
      </w:pPr>
      <w:r>
        <w:rPr>
          <w:rFonts w:ascii="Arial" w:cs="Arial" w:eastAsia="Arial" w:hAnsi="Arial"/>
          <w:sz w:val="18"/>
          <w:szCs w:val="18"/>
          <w:color w:val="auto"/>
        </w:rPr>
        <w:t>Auditing the Company’s accounting for revenues from collaboration arrangements was complex and required significant judgments primarily in identifying which elements represent revenue producing performance obligations, determining the measurement and allocation of arrangement consideration, and evaluating estimates of the total expected inputs under the input method for revenue recognized over time.</w:t>
      </w:r>
    </w:p>
    <w:p>
      <w:pPr>
        <w:spacing w:after="0" w:line="187"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jc w:val="both"/>
        <w:ind w:left="2200" w:hanging="2200"/>
        <w:spacing w:after="0" w:line="255" w:lineRule="auto"/>
        <w:tabs>
          <w:tab w:leader="none" w:pos="21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processes for assessing the accounting treatment of its collaboration arrangements, including controls over the review of contracts and accounting conclusions, as well as controls over the completeness and accuracy of the data used. We also tested the controls over the development of estimated total inputs for revenue recognized over time.</w:t>
      </w:r>
    </w:p>
    <w:p>
      <w:pPr>
        <w:spacing w:after="0" w:line="190" w:lineRule="exact"/>
        <w:rPr>
          <w:sz w:val="20"/>
          <w:szCs w:val="20"/>
          <w:color w:val="auto"/>
        </w:rPr>
      </w:pPr>
    </w:p>
    <w:p>
      <w:pPr>
        <w:jc w:val="both"/>
        <w:ind w:left="2200"/>
        <w:spacing w:after="0" w:line="293" w:lineRule="auto"/>
        <w:rPr>
          <w:sz w:val="20"/>
          <w:szCs w:val="20"/>
          <w:color w:val="auto"/>
        </w:rPr>
      </w:pPr>
      <w:r>
        <w:rPr>
          <w:rFonts w:ascii="Arial" w:cs="Arial" w:eastAsia="Arial" w:hAnsi="Arial"/>
          <w:sz w:val="16"/>
          <w:szCs w:val="16"/>
          <w:color w:val="auto"/>
        </w:rPr>
        <w:t>To test the accounting treatment for revenue from collaboration arrangements, we evaluated, among other things, whether the identified performance obligations were properly determined, and the transaction price was properly measured and allocated to the identified performance obligations. To test the measurement of efforts toward satisfying the performance obligation, our audit procedures included, among others, reviewing management’s analysis for accuracy and completeness by agreeing data to the underlying contract, inspecting communications with the collaborative partner, evaluating the application of the input method for the recognition of revenue and testing the estimated total inputs and actual inputs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5" w:name="page96"/>
    <w:bookmarkEnd w:id="9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CytomX Therapeutics,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have audited CytomX Therapeutics, Inc.’s internal control over financial reporting as of December 31, 2019, based on criteria established in Internal Control—Integrated Framework issued by the Committee of Sponsoring Organizations of the Treadway Commission (2013 framework) (the COSO criteria). In our opinion, CytomX Therapeutics, Inc. (the Company) maintained, in all material respects, effective internal control over financial reporting as of December 31, 2019, based on the COSO criteria.</w:t>
      </w:r>
    </w:p>
    <w:p>
      <w:pPr>
        <w:spacing w:after="0" w:line="22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balance sheets of the Company as of December 31, 2019 and 2018, the related statements of operations and comprehensive loss, stockholders' equity, and cash flows for each of the three years in the period ended December 31, 2019, and the related notes and our report dated February 27, 2020 expressed an unqualified opinion thereon.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1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5"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80" w:firstLine="76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247,577</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188,550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445,475</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341,282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457,108</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26,724</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revenues, current portion</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52,713</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225,267</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long term</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326,225</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Convertible preferred stock, $0.00001 par value; 10,000,000 shares authorized at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December 31, 2019 and 2018; no shares issued and outstanding at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December 31, 2019 and 2018, respectively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$0.00001 par value; 75,000,000 shares authorized at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2018; 45,523,088 and 45,083,209 shares issued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 at December 31, 2019 and 2018, 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468,285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445,956</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(417,230)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(314,981)</w:t>
            </w: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457,108</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103,866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7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(70,301)</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(102,238)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(84,604)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share, basic and diluted</w:t>
            </w:r>
          </w:p>
        </w:tc>
        <w:tc>
          <w:tcPr>
            <w:tcW w:w="7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net loss per share, basic and diluted</w:t>
            </w:r>
          </w:p>
        </w:tc>
        <w:tc>
          <w:tcPr>
            <w:tcW w:w="7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45,335,927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41,664,382</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37,166,830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unrealized gain (loss) on short-term investments, net of tax</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Impact of adoption of new accounting pronouncement</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loss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CYTOMX THERAPEUTIC,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Paid-in</w:t>
            </w: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Income/(Loss)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2016</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36,490,169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254,871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(176,366)</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764,576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w w:val="97"/>
              </w:rPr>
              <w:t>Issuance of common stock under the Employee Stock Purchase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20"/>
                <w:szCs w:val="20"/>
                <w:color w:val="auto"/>
              </w:rPr>
            </w:pPr>
            <w:r>
              <w:rPr>
                <w:rFonts w:ascii="Arial" w:cs="Arial" w:eastAsia="Arial" w:hAnsi="Arial"/>
                <w:sz w:val="16"/>
                <w:szCs w:val="16"/>
                <w:color w:val="auto"/>
              </w:rPr>
              <w:t>Issuance of common stock pursuant to the Amgen Stock Purchase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6"/>
                <w:szCs w:val="16"/>
                <w:color w:val="auto"/>
              </w:rPr>
              <w:t>Agreement</w:t>
            </w:r>
          </w:p>
        </w:tc>
        <w:tc>
          <w:tcPr>
            <w:tcW w:w="860" w:type="dxa"/>
            <w:vAlign w:val="bottom"/>
          </w:tcPr>
          <w:p>
            <w:pPr>
              <w:jc w:val="right"/>
              <w:spacing w:after="0"/>
              <w:rPr>
                <w:sz w:val="20"/>
                <w:szCs w:val="20"/>
                <w:color w:val="auto"/>
              </w:rPr>
            </w:pPr>
            <w:r>
              <w:rPr>
                <w:rFonts w:ascii="Arial" w:cs="Arial" w:eastAsia="Arial" w:hAnsi="Arial"/>
                <w:sz w:val="16"/>
                <w:szCs w:val="16"/>
                <w:color w:val="auto"/>
              </w:rPr>
              <w:t>1,156,069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(43,099)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(43,099)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2017</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8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38,478,560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289,454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(219,465)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w w:val="96"/>
              </w:rPr>
              <w:t>Impact of adoption of new accounting pronouncement - ASU 2014-09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(10,912)</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(10,912)</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w w:val="96"/>
              </w:rPr>
              <w:t>Issuance of common stock in follow-on offering, net of issuance costs</w:t>
            </w:r>
          </w:p>
        </w:tc>
        <w:tc>
          <w:tcPr>
            <w:tcW w:w="860" w:type="dxa"/>
            <w:vAlign w:val="bottom"/>
          </w:tcPr>
          <w:p>
            <w:pPr>
              <w:jc w:val="right"/>
              <w:spacing w:after="0"/>
              <w:rPr>
                <w:sz w:val="20"/>
                <w:szCs w:val="20"/>
                <w:color w:val="auto"/>
              </w:rPr>
            </w:pPr>
            <w:r>
              <w:rPr>
                <w:rFonts w:ascii="Arial" w:cs="Arial" w:eastAsia="Arial" w:hAnsi="Arial"/>
                <w:sz w:val="16"/>
                <w:szCs w:val="16"/>
                <w:color w:val="auto"/>
              </w:rPr>
              <w:t>5,867,347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134,596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673,382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w w:val="97"/>
              </w:rPr>
              <w:t>Issuance of common stock under the Employee Stock Purchase Plan</w:t>
            </w:r>
          </w:p>
        </w:tc>
        <w:tc>
          <w:tcPr>
            <w:tcW w:w="860" w:type="dxa"/>
            <w:vAlign w:val="bottom"/>
          </w:tcPr>
          <w:p>
            <w:pPr>
              <w:jc w:val="right"/>
              <w:spacing w:after="0"/>
              <w:rPr>
                <w:sz w:val="20"/>
                <w:szCs w:val="20"/>
                <w:color w:val="auto"/>
              </w:rPr>
            </w:pPr>
            <w:r>
              <w:rPr>
                <w:rFonts w:ascii="Arial" w:cs="Arial" w:eastAsia="Arial" w:hAnsi="Arial"/>
                <w:sz w:val="16"/>
                <w:szCs w:val="16"/>
                <w:color w:val="auto"/>
              </w:rPr>
              <w:t>63,920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(84,604)</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(84,604)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2018</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8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45,083,209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445,956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(314,981)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w w:val="96"/>
              </w:rPr>
              <w:t>Impact of adoption of new accounting pronouncement - ASU 2018-02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146,930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w w:val="97"/>
              </w:rPr>
              <w:t>Issuance of common stock under the Employee Stock Purchase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142,949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Issuance of common stock to UCSB</w:t>
            </w:r>
          </w:p>
        </w:tc>
        <w:tc>
          <w:tcPr>
            <w:tcW w:w="86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(102,238)</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(102,238)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8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45,523,088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468,285</w:t>
            </w:r>
          </w:p>
        </w:tc>
        <w:tc>
          <w:tcPr>
            <w:tcW w:w="220" w:type="dxa"/>
            <w:vAlign w:val="bottom"/>
          </w:tcPr>
          <w:p>
            <w:pPr>
              <w:spacing w:after="0"/>
              <w:rPr>
                <w:sz w:val="17"/>
                <w:szCs w:val="17"/>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(417,230)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44"/>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(102,238)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(84,604)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(43,099)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Amortization of intangible assets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Amortization of premium (accretion of discount) on investments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(2,228)</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(1,701)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Stock-based compensation expense</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19,100</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Issuance of common stock in connection with UCSB sublicense fee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Non-cash acquisition of in process research and development asset charged to</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600"/>
              <w:spacing w:after="0"/>
              <w:rPr>
                <w:sz w:val="20"/>
                <w:szCs w:val="20"/>
                <w:color w:val="auto"/>
              </w:rPr>
            </w:pPr>
            <w:r>
              <w:rPr>
                <w:rFonts w:ascii="Arial" w:cs="Arial" w:eastAsia="Arial" w:hAnsi="Arial"/>
                <w:sz w:val="16"/>
                <w:szCs w:val="16"/>
                <w:color w:val="auto"/>
              </w:rPr>
              <w:t>expense</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(7,980)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Related party accounts receivable</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(4,899)</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Other assets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(640)</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(374)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Accrued liabilities, income tax payable and other long-term liabilities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(12,724)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720"/>
              <w:spacing w:after="0"/>
              <w:rPr>
                <w:sz w:val="20"/>
                <w:szCs w:val="20"/>
                <w:color w:val="auto"/>
              </w:rPr>
            </w:pPr>
            <w:r>
              <w:rPr>
                <w:rFonts w:ascii="Arial" w:cs="Arial" w:eastAsia="Arial" w:hAnsi="Arial"/>
                <w:sz w:val="16"/>
                <w:szCs w:val="16"/>
                <w:color w:val="auto"/>
              </w:rPr>
              <w:t>Deferred revenue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(47,741)</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(38,195)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shd w:val="clear" w:color="auto" w:fill="CFF0FC"/>
          </w:tcPr>
          <w:p>
            <w:pPr>
              <w:ind w:left="720"/>
              <w:spacing w:after="0"/>
              <w:rPr>
                <w:sz w:val="20"/>
                <w:szCs w:val="20"/>
                <w:color w:val="auto"/>
              </w:rPr>
            </w:pPr>
            <w:r>
              <w:rPr>
                <w:rFonts w:ascii="Arial" w:cs="Arial" w:eastAsia="Arial" w:hAnsi="Arial"/>
                <w:sz w:val="16"/>
                <w:szCs w:val="16"/>
                <w:color w:val="auto"/>
              </w:rPr>
              <w:t>Net cash (used in) provided by operating activities</w:t>
            </w: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(140,480)</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(75,521)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Purchases of property and equipment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(3,497)</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(3,788)</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Purchases of short-term investments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(174,992)</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(204,601)</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(218,707)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Maturities of short-term investments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258,190</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214,315</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40" w:type="dxa"/>
            <w:vAlign w:val="bottom"/>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79,701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(121,266)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net of issuance costs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134,596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1,627</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5,028</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40" w:type="dxa"/>
            <w:vAlign w:val="bottom"/>
            <w:tcBorders>
              <w:bottom w:val="single" w:sz="8" w:color="CFF0FC"/>
            </w:tcBorders>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5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139,624</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(59,152)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70,029</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248,494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178,465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189,342</w:t>
            </w: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248,494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Arial" w:cs="Arial" w:eastAsia="Arial" w:hAnsi="Arial"/>
                <w:sz w:val="16"/>
                <w:szCs w:val="16"/>
                <w:color w:val="auto"/>
              </w:rPr>
              <w:t>Cash paid for income taxes</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13,061</w:t>
            </w:r>
          </w:p>
        </w:tc>
        <w:tc>
          <w:tcPr>
            <w:tcW w:w="18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Supplemental disclosures of noncash investing items: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 in accounts payable and accrued liabilities</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and short-term investments in highly rated money market funds and its short-term investments in U.S. Government Bonds.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Customers and collaboration partners who represent 10% or more of the Company’s total revenue during each period presented or accounts receivable balance at each respective balance sheet date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180"/>
              <w:spacing w:after="0"/>
              <w:rPr>
                <w:sz w:val="20"/>
                <w:szCs w:val="20"/>
                <w:color w:val="auto"/>
              </w:rPr>
            </w:pPr>
            <w:r>
              <w:rPr>
                <w:rFonts w:ascii="Arial" w:cs="Arial" w:eastAsia="Arial" w:hAnsi="Arial"/>
                <w:sz w:val="14"/>
                <w:szCs w:val="14"/>
                <w:b w:val="1"/>
                <w:bCs w:val="1"/>
                <w:color w:val="auto"/>
              </w:rPr>
              <w:t>Accounts Receivable, net</w:t>
            </w:r>
          </w:p>
        </w:tc>
      </w:tr>
      <w:tr>
        <w:trPr>
          <w:trHeight w:val="156"/>
        </w:trPr>
        <w:tc>
          <w:tcPr>
            <w:tcW w:w="1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0" w:type="dxa"/>
            <w:vAlign w:val="bottom"/>
            <w:tcBorders>
              <w:top w:val="single" w:sz="8" w:color="auto"/>
              <w:bottom w:val="single" w:sz="8" w:color="auto"/>
            </w:tcBorders>
            <w:gridSpan w:val="6"/>
          </w:tcPr>
          <w:p>
            <w:pPr>
              <w:jc w:val="center"/>
              <w:ind w:left="436"/>
              <w:spacing w:after="0" w:line="155" w:lineRule="exact"/>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3"/>
          </w:tcPr>
          <w:p>
            <w:pPr>
              <w:ind w:left="520"/>
              <w:spacing w:after="0" w:line="155"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54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37"/>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AbbVie Ireland Unlimited Company</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19,434</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Bristol-Myers Squibb Company</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47,740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32,780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36,492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89"/>
              </w:rPr>
              <w:t>13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89"/>
              </w:rPr>
              <w:t>97</w:t>
            </w:r>
          </w:p>
        </w:tc>
        <w:tc>
          <w:tcPr>
            <w:tcW w:w="100" w:type="dxa"/>
            <w:vAlign w:val="bottom"/>
          </w:tcPr>
          <w:p>
            <w:pPr>
              <w:spacing w:after="0"/>
              <w:rPr>
                <w:sz w:val="21"/>
                <w:szCs w:val="21"/>
                <w:color w:val="auto"/>
              </w:rPr>
            </w:pPr>
          </w:p>
        </w:tc>
      </w:tr>
      <w:tr>
        <w:trPr>
          <w:trHeight w:val="243"/>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ImmunoGen, Inc.</w:t>
            </w: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r>
      <w:tr>
        <w:trPr>
          <w:trHeight w:val="209"/>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Total revenue from customers who represent 10% or more</w:t>
            </w: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of the Company's total revenue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53,618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51,777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68,429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89"/>
              </w:rPr>
              <w:t>13</w:t>
            </w:r>
          </w:p>
        </w:tc>
        <w:tc>
          <w:tcPr>
            <w:tcW w:w="26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89"/>
              </w:rPr>
              <w:t>97</w:t>
            </w:r>
          </w:p>
        </w:tc>
        <w:tc>
          <w:tcPr>
            <w:tcW w:w="1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right="2580" w:firstLine="8"/>
        <w:spacing w:after="0" w:line="528" w:lineRule="auto"/>
        <w:tabs>
          <w:tab w:leader="none" w:pos="5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Revenue from the customer was less than 10% of the Company’s total revenue for the respective periods presented. All of the Company’s customers are located in the United States of America.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 has determined that it has one business activity and operates as one operating segment as it only reports financial information on an aggregate basis to its chief executive officer and principal financial officer, who are the Company’s chief operating decision makers. All long-lived assets are maintained in the United States of America.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amounts shown in the statement of cash flows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9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188,425</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247,577</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9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spacing w:after="0"/>
              <w:rPr>
                <w:sz w:val="19"/>
                <w:szCs w:val="19"/>
                <w:color w:val="auto"/>
              </w:rPr>
            </w:pPr>
          </w:p>
        </w:tc>
        <w:tc>
          <w:tcPr>
            <w:tcW w:w="29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189,342</w:t>
            </w: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All investments have been classified as “available-for-sale” and are carried at fair value as determined based upon quoted market prices or pricing models for similar securities at period end. Generally, those investments with contractual maturities greater than 12 months are considered long-term</w:t>
      </w:r>
    </w:p>
    <w:p>
      <w:pPr>
        <w:ind w:right="160"/>
        <w:spacing w:after="0" w:line="261" w:lineRule="auto"/>
        <w:rPr>
          <w:sz w:val="20"/>
          <w:szCs w:val="20"/>
          <w:color w:val="auto"/>
        </w:rPr>
      </w:pPr>
      <w:r>
        <w:rPr>
          <w:rFonts w:ascii="Arial" w:cs="Arial" w:eastAsia="Arial" w:hAnsi="Arial"/>
          <w:sz w:val="18"/>
          <w:szCs w:val="18"/>
          <w:color w:val="auto"/>
        </w:rPr>
        <w:t>investments. Unrealized gains and losses, deemed temporary in nature, are reported as a component of accumulated other comprehensive income (loss), net of tax.</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6960" w:type="dxa"/>
            <w:vAlign w:val="bottom"/>
            <w:shd w:val="clear" w:color="auto" w:fill="CFF0FC"/>
          </w:tcPr>
          <w:p>
            <w:pPr>
              <w:ind w:left="1960"/>
              <w:spacing w:after="0"/>
              <w:rPr>
                <w:sz w:val="20"/>
                <w:szCs w:val="20"/>
                <w:color w:val="auto"/>
              </w:rPr>
            </w:pPr>
            <w:r>
              <w:rPr>
                <w:rFonts w:ascii="Arial" w:cs="Arial" w:eastAsia="Arial" w:hAnsi="Arial"/>
                <w:sz w:val="18"/>
                <w:szCs w:val="18"/>
                <w:color w:val="auto"/>
              </w:rPr>
              <w:t>5 years</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960" w:type="dxa"/>
            <w:vAlign w:val="bottom"/>
          </w:tcPr>
          <w:p>
            <w:pPr>
              <w:ind w:left="1960"/>
              <w:spacing w:after="0"/>
              <w:rPr>
                <w:sz w:val="20"/>
                <w:szCs w:val="20"/>
                <w:color w:val="auto"/>
              </w:rPr>
            </w:pPr>
            <w:r>
              <w:rPr>
                <w:rFonts w:ascii="Arial" w:cs="Arial" w:eastAsia="Arial" w:hAnsi="Arial"/>
                <w:sz w:val="18"/>
                <w:szCs w:val="18"/>
                <w:color w:val="auto"/>
              </w:rPr>
              <w:t>3 years</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960" w:type="dxa"/>
            <w:vAlign w:val="bottom"/>
            <w:shd w:val="clear" w:color="auto" w:fill="CFF0FC"/>
          </w:tcPr>
          <w:p>
            <w:pPr>
              <w:ind w:left="1960"/>
              <w:spacing w:after="0"/>
              <w:rPr>
                <w:sz w:val="20"/>
                <w:szCs w:val="20"/>
                <w:color w:val="auto"/>
              </w:rPr>
            </w:pPr>
            <w:r>
              <w:rPr>
                <w:rFonts w:ascii="Arial" w:cs="Arial" w:eastAsia="Arial" w:hAnsi="Arial"/>
                <w:sz w:val="18"/>
                <w:szCs w:val="18"/>
                <w:color w:val="auto"/>
              </w:rPr>
              <w:t>3 years</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960" w:type="dxa"/>
            <w:vAlign w:val="bottom"/>
          </w:tcPr>
          <w:p>
            <w:pPr>
              <w:ind w:left="1960"/>
              <w:spacing w:after="0"/>
              <w:rPr>
                <w:sz w:val="20"/>
                <w:szCs w:val="20"/>
                <w:color w:val="auto"/>
              </w:rPr>
            </w:pPr>
            <w:r>
              <w:rPr>
                <w:rFonts w:ascii="Arial" w:cs="Arial" w:eastAsia="Arial" w:hAnsi="Arial"/>
                <w:sz w:val="18"/>
                <w:szCs w:val="18"/>
                <w:color w:val="auto"/>
              </w:rPr>
              <w:t>Shorter of remaining lease term or estimated life of the assets</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that do not extend the life or improve the asset are expensed when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2019, 2018 and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disposition is less than its carrying amount. Impairment, if any, would be assessed using discounted cash flows or other appropriate measures of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of long-lived assets during the years ended December 31, 2019, 2018 and 2017.</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On January 1, 2018, the Company adopted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Accounting Standards Codification (ASC) Topic 605, </w:t>
      </w:r>
      <w:r>
        <w:rPr>
          <w:rFonts w:ascii="Arial" w:cs="Arial" w:eastAsia="Arial" w:hAnsi="Arial"/>
          <w:sz w:val="16"/>
          <w:szCs w:val="16"/>
          <w:i w:val="1"/>
          <w:iCs w:val="1"/>
          <w:color w:val="auto"/>
        </w:rPr>
        <w:t>Revenue Recognition (ASC 605)</w:t>
      </w:r>
      <w:r>
        <w:rPr>
          <w:rFonts w:ascii="Arial" w:cs="Arial" w:eastAsia="Arial" w:hAnsi="Arial"/>
          <w:sz w:val="16"/>
          <w:szCs w:val="16"/>
          <w:color w:val="auto"/>
        </w:rPr>
        <w:t>, using the modified retrospective transition method applied to those contracts which were not completed as of January 1, 2018. Under the prior revenue recognition standard, milestone payments were recognized when earned and upfront fees were generally recognized as revenue over the research term on a straight-line basis if another method of revenue recognition did not more clearly match the pattern of delivery of goods or services to the customer. Under ASC 606, milestone payments are included in the initial transaction price when it is probable that a significant reversal of the milestone payment will not occur. In addition, the Company can no longer default to the straight-line method as the default method in recognizing revenue for goods or services delivered over time. As such, the amount and timing of revenue recognition for its collaboration agreements changed under ASC 606. The impact of the adoption of ASC 606 was an increase in the balance of deferred revenue and an increase in the accumulated deficit balance of $10.9 million on January 1, 2018 in the Company’s Balance Sheet. Results for reporting periods beginning after January 1, 2018 are presented under ASC 606, while prior period amounts have not been adjusted and continue to be reported in accordance with our historic accounting under ASC 605.</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9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2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3" w:name="page104"/>
    <w:bookmarkEnd w:id="103"/>
    <w:p>
      <w:pPr>
        <w:jc w:val="both"/>
        <w:ind w:right="80"/>
        <w:spacing w:after="0" w:line="257"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5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to the transaction price and combined with the performance obligation to which they relate.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Comprehensive loss represents all changes in stockholders’ equity except those resulting from distributions to stockholders. The Company’s unrealized gains and losses on short-term investments and impact of adoption of new accounting pronouncements during the period represents the components of other comprehensive income (loss) that is excluded from the reported net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measures its stock-based awards made to employees based on the fair values of the awards as of the grant date using the Black-Scholes option-pricing model. Stock-based compensation expense is recognized over the requisite service period using the ratable method and is based on the value of the portion of stock-based payment awards that is ultimately expected to vest. Forfeitures are recognized as they occur.</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On January 2019, the Company adopted ASU No. 2018-07, </w:t>
      </w:r>
      <w:r>
        <w:rPr>
          <w:rFonts w:ascii="Arial" w:cs="Arial" w:eastAsia="Arial" w:hAnsi="Arial"/>
          <w:sz w:val="17"/>
          <w:szCs w:val="17"/>
          <w:i w:val="1"/>
          <w:iCs w:val="1"/>
          <w:color w:val="auto"/>
        </w:rPr>
        <w:t>Compensation - 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Under this new standard, stock options granted to non-employees as consideration for services received are measured on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using the Black-Scholes option-pricing model. The related grant date fair values of stock options are expensed on a straight-line basis over the period, generally the vesting period, during which the non-employee is required to provide service in exchange for the award.</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Prior to the adoption of ASU 2018-07, such stock-based compensation expense was measured on the date of performance at the fair value of the consideration received or the fair value of the equity instruments issued, using the Black-Scholes option-pricing model, whichever can be more reliably measured. Stock-based compensation expense for options granted to non-employees was periodically remeasured as the underlying options vest.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2019, the Company continues to maintain a full valuation allowance against all of its deferred tax assets after management considered all available evidence, both positive and negative, including but not limited to its historical operating results, income or loss in recent periods, cumulative income in recent years, forecasted earnings, future taxable income, and significant risk and uncertainty related to forecasts.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04" w:name="page105"/>
    <w:bookmarkEnd w:id="104"/>
    <w:p>
      <w:pPr>
        <w:spacing w:after="0" w:line="270" w:lineRule="auto"/>
        <w:rPr>
          <w:sz w:val="20"/>
          <w:szCs w:val="20"/>
          <w:color w:val="auto"/>
        </w:rPr>
      </w:pPr>
      <w:r>
        <w:rPr>
          <w:rFonts w:ascii="Arial" w:cs="Arial" w:eastAsia="Arial" w:hAnsi="Arial"/>
          <w:sz w:val="17"/>
          <w:szCs w:val="17"/>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Although the Company does not anticipate significant changes to its uncertain income tax positions in the next twelve months, items outside of its control could cause its uncertain income tax positions to change in the future, which would be recorded in its statements of operations. Interest and/or penalties related to income tax matters are recognized as a component of income tax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2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January 2019, the Company acquired certain technology know-how that is complementary to the Company’s proprietary Probody technology from a third party for $5.0 million. The Company plans to use this technology in certain of the Company’s discovery stage projects, and has concluded that the technology acquired does not have an alternative future use. Accordingly, the $5.0 million has been recorded as research and development expense for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Adopted and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Company adopted the Accounting Standard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using the modified retrospective approach. This new standard amends the guidance for the accounting and disclosure of leases and requires that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5" w:name="page106"/>
    <w:bookmarkEnd w:id="105"/>
    <w:p>
      <w:pPr>
        <w:ind w:right="80"/>
        <w:spacing w:after="0" w:line="259" w:lineRule="auto"/>
        <w:rPr>
          <w:sz w:val="20"/>
          <w:szCs w:val="20"/>
          <w:color w:val="auto"/>
        </w:rPr>
      </w:pPr>
      <w:r>
        <w:rPr>
          <w:rFonts w:ascii="Arial" w:cs="Arial" w:eastAsia="Arial" w:hAnsi="Arial"/>
          <w:sz w:val="18"/>
          <w:szCs w:val="18"/>
          <w:color w:val="auto"/>
        </w:rPr>
        <w:t>lessees recognize on the balance sheet the assets and liabilities that arise from leases, including leases classified as operating leases under current GAAP, and disclose qualitative and quantitative information about leasing arrangements. In July 2018, the Financial Accounting Standard Board (“FASB”) further amended this standard to allow for a new transition method that provides the option to use the effective date as the date of initial application. The Company has elected such option and accordingly the comparative periods are not recast.</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has also elected the package of practical expedients permitted under the new standard (“ASC 842”). Accordingly, the Company continues to account for its existing operating leases as operating leases under the new guidance, without reassessing (a) whether the contracts contain a lease under ASC 842, (b) whether classification of the operating leases would be different in accordance with ASC 842, or (c) whether the unamortized initial direct costs before transition adjustments would have met the definition of initial direct costs in ASC 842 at lease commencement. In addition, the Company also elected the short-term lease practical expedients allowed under the standard. As a result of the adoption of ASC 842, the Company recorded a right-of-use asset of $28.0 million and a lease liability $30.1 million on January 1, 2019. There was no impact on the Company’s accumulated deficit as of the adoption date. This standard does not have material impact on the Company’s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The amendments in this standard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Tax Cuts and Jobs Act. The Company adopted this standard on January 1, 2019. There was no material impact on its financial statement upon adoption of this ASU and the Company recorded an increase in other comprehensive income of $11,000 against its retained earnings upon adoption.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Share-Based Payment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amendments in this ASU expand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The Company adopted this standard on January 1, 2019. There was no material impact on its financial statements upon the adoption of this ASU.</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does not expect the adoption of this ASU will have a material impact on its financial statements.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does not expect the adoption of this ASU will have a material impact on its financial statements.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are effective for the Company on January 1, 2020. The additional disclosures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06" w:name="page107"/>
    <w:bookmarkEnd w:id="106"/>
    <w:p>
      <w:pPr>
        <w:ind w:right="240"/>
        <w:spacing w:after="0" w:line="264" w:lineRule="auto"/>
        <w:rPr>
          <w:sz w:val="20"/>
          <w:szCs w:val="20"/>
          <w:color w:val="auto"/>
        </w:rPr>
      </w:pPr>
      <w:r>
        <w:rPr>
          <w:rFonts w:ascii="Arial" w:cs="Arial" w:eastAsia="Arial" w:hAnsi="Arial"/>
          <w:sz w:val="18"/>
          <w:szCs w:val="18"/>
          <w:color w:val="auto"/>
        </w:rPr>
        <w:t>periods presented upon their effective date. An entity is permitted to early adopt any removed or modified disclosures upon issuance of this ASU and delay adoption of the additional disclosures until their effective date. The Company does not expect the adoption of this ASU will have a material impact on its financial statements.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 Internal-Use Software (Subtopic 350-40)</w:t>
      </w:r>
      <w:r>
        <w:rPr>
          <w:rFonts w:ascii="Arial" w:cs="Arial" w:eastAsia="Arial" w:hAnsi="Arial"/>
          <w:sz w:val="18"/>
          <w:szCs w:val="18"/>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This ASU is effective for the Company on January 1, 2020. The Company is currently evaluating the impact of this new guidance.</w:t>
      </w:r>
    </w:p>
    <w:p>
      <w:pPr>
        <w:spacing w:after="0" w:line="19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The amendments in this ASU targeted improvements to generally accepted accounting principles for collaborative arrangements by clarifying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w:t>
      </w:r>
    </w:p>
    <w:p>
      <w:pPr>
        <w:spacing w:after="0" w:line="5" w:lineRule="exact"/>
        <w:rPr>
          <w:sz w:val="20"/>
          <w:szCs w:val="20"/>
          <w:color w:val="auto"/>
        </w:rPr>
      </w:pPr>
    </w:p>
    <w:p>
      <w:pPr>
        <w:ind w:right="360" w:firstLine="8"/>
        <w:spacing w:after="0" w:line="290" w:lineRule="auto"/>
        <w:tabs>
          <w:tab w:leader="none" w:pos="35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ASU is effective for the Company on January 1, 2020, and interim periods within those fiscal years. Early adoption is permitted. The Company does not expect the adoption of this ASU will have a material impact on its financial statements.</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May 2019, the FASB issued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to provide entities with an option to irrevocably elect the fair value option in Subtopic 825-10, applied on an instrument-by-instrument basis for eligible instruments, that are within the scope of Subtopic 326-20, upon adoption of Topic 326. The fair value option election does not apply to held-to-maturity debt securities. This targeted transition relief is intended to increase comparability of financial statement information for some entities that otherwise would have measured similar financial instruments using different measuring methodologies. The effective date of this ASU is the same as ASU No. 2016-13, for the Company on January 1, 2020. The Company does not expect the adoption of this ASU will have a material impact on its financial statements.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November 2019, the FASB issued ASU 2019-08, </w:t>
      </w:r>
      <w:r>
        <w:rPr>
          <w:rFonts w:ascii="Arial" w:cs="Arial" w:eastAsia="Arial" w:hAnsi="Arial"/>
          <w:sz w:val="17"/>
          <w:szCs w:val="17"/>
          <w:i w:val="1"/>
          <w:iCs w:val="1"/>
          <w:color w:val="auto"/>
        </w:rPr>
        <w:t>Compensation - Stock Compensation (Topic 718) and 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 Codification Improvements – Share-Based Consideration Payable to a Customer. </w:t>
      </w:r>
      <w:r>
        <w:rPr>
          <w:rFonts w:ascii="Arial" w:cs="Arial" w:eastAsia="Arial" w:hAnsi="Arial"/>
          <w:sz w:val="17"/>
          <w:szCs w:val="17"/>
          <w:color w:val="auto"/>
        </w:rPr>
        <w:t>The amendments in this ASU require that an entity measure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classify share-based payment awards granted to a customer by applying the guidance in Topic 718. Under ASC 606, these awards are considered a reduction of the transaction price, unless the awards are payment for a distinct good or service received from the customer and should be recorded as a reduction of the transaction price. However, the ASU requires these awards to be measured on the basis of the grant-date fair value of the share-based payment award in accordance with Topic 718 and should be recognized at the later of when the award is promised and when the entity recognizes revenue for the transfer of the related goods or services in accordance with ASC 606. The grant date is the date at which a grantor (supplier) and a grantee (customer) reach a mutual understanding of the key terms and conditions of a share-based payment award. The classification and subsequent measurement of the award are subject to the guidance in Topic 718 unless the share-based payment award is subsequently modified and the grantee is no longer a customer. The ASU is effective for the Company on January 1, 2020, and interim periods within those fiscal years. The Company does not expect the adoption of this ASU will have a material impact on its financial statements.</w:t>
      </w:r>
    </w:p>
    <w:p>
      <w:pPr>
        <w:spacing w:after="0" w:line="2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ASU is effective for the Company on January 1, 2021, and interim periods within those fiscal years. The Company does not expect the adoption of this ASU will have a material impact on its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7" w:name="page108"/>
    <w:bookmarkEnd w:id="107"/>
    <w:p>
      <w:pPr>
        <w:ind w:right="80"/>
        <w:spacing w:after="0" w:line="286"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80" w:type="dxa"/>
            <w:vAlign w:val="bottom"/>
            <w:tcBorders>
              <w:bottom w:val="single" w:sz="8" w:color="CFF0FC"/>
            </w:tcBorders>
          </w:tcPr>
          <w:p>
            <w:pPr>
              <w:spacing w:after="0"/>
              <w:rPr>
                <w:sz w:val="13"/>
                <w:szCs w:val="13"/>
                <w:color w:val="auto"/>
              </w:rPr>
            </w:pPr>
          </w:p>
        </w:tc>
        <w:tc>
          <w:tcPr>
            <w:tcW w:w="1700" w:type="dxa"/>
            <w:vAlign w:val="bottom"/>
            <w:tcBorders>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700" w:type="dxa"/>
            <w:vAlign w:val="bottom"/>
            <w:tcBorders>
              <w:bottom w:val="single" w:sz="8" w:color="auto"/>
            </w:tcBorders>
          </w:tcPr>
          <w:p>
            <w:pPr>
              <w:jc w:val="right"/>
              <w:ind w:right="62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720" w:type="dxa"/>
            <w:vAlign w:val="bottom"/>
            <w:tcBorders>
              <w:bottom w:val="single" w:sz="8" w:color="auto"/>
            </w:tcBorders>
          </w:tcPr>
          <w:p>
            <w:pPr>
              <w:jc w:val="right"/>
              <w:ind w:right="63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9,687,844</w:t>
            </w: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7,478,755</w:t>
            </w: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6,891,123</w:t>
            </w:r>
          </w:p>
        </w:tc>
        <w:tc>
          <w:tcPr>
            <w:tcW w:w="120" w:type="dxa"/>
            <w:vAlign w:val="bottom"/>
            <w:shd w:val="clear" w:color="auto" w:fill="CFF0FC"/>
          </w:tcPr>
          <w:p>
            <w:pPr>
              <w:spacing w:after="0"/>
              <w:rPr>
                <w:sz w:val="19"/>
                <w:szCs w:val="19"/>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 and Short-Term Investments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3"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jc w:val="both"/>
        <w:ind w:left="1040" w:right="140" w:hanging="519"/>
        <w:spacing w:after="0" w:line="264"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is included in restricted cash and U.S. government bonds that are included in short-term investments.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Holding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Money market funds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170,757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 funds)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U.S. Government bonds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Securities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Holding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Money market funds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226,979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 funds)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U.S. Government bonds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188,616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Securities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securities have contractual maturities of longer than one year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December 31</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5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12,124</w:t>
            </w:r>
          </w:p>
        </w:tc>
        <w:tc>
          <w:tcPr>
            <w:tcW w:w="3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1,555</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3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1,483</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5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16,422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(9,050)</w:t>
            </w:r>
          </w:p>
        </w:tc>
        <w:tc>
          <w:tcPr>
            <w:tcW w:w="5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(6,946)</w:t>
            </w:r>
          </w:p>
        </w:tc>
      </w:tr>
      <w:tr>
        <w:trPr>
          <w:trHeight w:val="223"/>
        </w:trPr>
        <w:tc>
          <w:tcPr>
            <w:tcW w:w="5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7,372</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$2.5 million, $1.7 million and $1.5 million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Goodwill and in-process research and development assets resulted from a series of integrated financing transactions in 2010 that was accounted for as a business combination. The in-process research and development relates to the Company’s proprietary Probody Platform and was accounted for as an indefinite-lived intangible asset until the underlying project was completed or abandoned. In connection with the collaboration agreements, the Company began amortizing the intangible asset in 2017. The intangible asset is being amortized over the estimated lives of the patents which average 12 years. The amortization expense for the years ended December 31, 2019, 2018 and 2017 was $0.1 million, $0.1 million and $0.1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consisted of the following (in thousands):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4340" w:type="dxa"/>
            <w:vAlign w:val="bottom"/>
            <w:tcBorders>
              <w:bottom w:val="single" w:sz="8" w:color="CFF0FC"/>
            </w:tcBorders>
          </w:tcPr>
          <w:p>
            <w:pPr>
              <w:spacing w:after="0"/>
              <w:rPr>
                <w:sz w:val="20"/>
                <w:szCs w:val="20"/>
                <w:color w:val="auto"/>
              </w:rPr>
            </w:pPr>
          </w:p>
        </w:tc>
        <w:tc>
          <w:tcPr>
            <w:tcW w:w="35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37"/>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3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6"/>
              </w:rPr>
              <w:t>949</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20"/>
                <w:szCs w:val="20"/>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tcPr>
          <w:p>
            <w:pPr>
              <w:spacing w:after="0"/>
              <w:rPr>
                <w:sz w:val="20"/>
                <w:szCs w:val="20"/>
                <w:color w:val="auto"/>
              </w:rPr>
            </w:pPr>
          </w:p>
        </w:tc>
        <w:tc>
          <w:tcPr>
            <w:tcW w:w="288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In-process research and development</w:t>
            </w:r>
          </w:p>
        </w:tc>
        <w:tc>
          <w:tcPr>
            <w:tcW w:w="3880" w:type="dxa"/>
            <w:vAlign w:val="bottom"/>
            <w:gridSpan w:val="2"/>
            <w:shd w:val="clear" w:color="auto" w:fill="CFF0FC"/>
          </w:tcPr>
          <w:p>
            <w:pPr>
              <w:jc w:val="right"/>
              <w:ind w:right="8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Less accumulated amortization</w:t>
            </w:r>
          </w:p>
        </w:tc>
        <w:tc>
          <w:tcPr>
            <w:tcW w:w="2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FF0FC"/>
          </w:tcPr>
          <w:p>
            <w:pPr>
              <w:spacing w:after="0"/>
              <w:rPr>
                <w:sz w:val="20"/>
                <w:szCs w:val="20"/>
                <w:color w:val="auto"/>
              </w:rPr>
            </w:pPr>
          </w:p>
        </w:tc>
        <w:tc>
          <w:tcPr>
            <w:tcW w:w="28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8. Accrued Liabilities</w:t>
            </w:r>
          </w:p>
        </w:tc>
        <w:tc>
          <w:tcPr>
            <w:tcW w:w="28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8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2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clinical expenses</w:t>
            </w:r>
          </w:p>
        </w:tc>
        <w:tc>
          <w:tcPr>
            <w:tcW w:w="28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19,006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expenses</w:t>
            </w:r>
          </w:p>
        </w:tc>
        <w:tc>
          <w:tcPr>
            <w:tcW w:w="2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lease liabilities - short term</w:t>
            </w:r>
          </w:p>
        </w:tc>
        <w:tc>
          <w:tcPr>
            <w:tcW w:w="2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8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9"/>
                <w:szCs w:val="19"/>
                <w:color w:val="auto"/>
              </w:rPr>
            </w:pPr>
          </w:p>
        </w:tc>
        <w:tc>
          <w:tcPr>
            <w:tcW w:w="1000" w:type="dxa"/>
            <w:vAlign w:val="bottom"/>
            <w:tcBorders>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30,051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80" w:type="dxa"/>
            <w:vAlign w:val="bottom"/>
            <w:vMerge w:val="restart"/>
          </w:tcPr>
          <w:p>
            <w:pPr>
              <w:jc w:val="right"/>
              <w:ind w:right="1930"/>
              <w:spacing w:after="0"/>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9. Research and 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24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24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Amgen</w:t>
            </w:r>
          </w:p>
        </w:tc>
        <w:tc>
          <w:tcPr>
            <w:tcW w:w="2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Bristol-Myers Squibb</w:t>
            </w:r>
          </w:p>
        </w:tc>
        <w:tc>
          <w:tcPr>
            <w:tcW w:w="2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47,740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ImmunoGen</w:t>
            </w:r>
          </w:p>
        </w:tc>
        <w:tc>
          <w:tcPr>
            <w:tcW w:w="2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Pfizer</w:t>
            </w:r>
          </w:p>
        </w:tc>
        <w:tc>
          <w:tcPr>
            <w:tcW w:w="24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FF0FC"/>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57,489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71,623</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if the Company participates in the co-development of the CD71 Licensed Product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the PDC targeting CD71. As a result, the Company achieved the IND success criteria under the CD71 Agreement and received a $21.0 million milestone payment (net of the payment of an associated sublicense fee of $4.0 million to SGEN). The Company commenced enrollment of its Phase 1/2 clinical trial and dosed the first patient in a clinical trial at the end of the second quarter of 2018.</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$275.0 million in development, regulatory and commercial milestone payments and royalties in the high single to low teens from commercial sales of any resulting PDCs. The second target was selected under the Amended and Restated Discovery Collaboration and License Agreement entered into in June 2019 that allows AbbVie to select a target for developing a PDC or a Probody.</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determined that the CD71 Agreement and Discovery Agreement with AbbVie should be combined and evaluated as a single arrangement in determining revenue recognition, because both agreements were concurrently negotiated and executed.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AbbVie Agreements:</w:t>
      </w:r>
    </w:p>
    <w:p>
      <w:pPr>
        <w:spacing w:after="0" w:line="131" w:lineRule="exact"/>
        <w:rPr>
          <w:sz w:val="20"/>
          <w:szCs w:val="20"/>
          <w:color w:val="auto"/>
        </w:rPr>
      </w:pPr>
    </w:p>
    <w:p>
      <w:pPr>
        <w:ind w:left="5580" w:right="4000" w:hanging="5059"/>
        <w:spacing w:after="0" w:line="528" w:lineRule="auto"/>
        <w:tabs>
          <w:tab w:leader="none" w:pos="10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CD71 Probody therapeutic,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research services related to CD71 Probody therapeutic,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obligation to participate in the CD71 Agreement joint research committee,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research services related to the first discovery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the first discovery target,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obligation to participate in the Discovery Agreement joint research committee.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concluded that AbbVie’s option for the second discovery target was not a material right and was therefore not a performance obligation at the inception of the AbbVie Agreements. However, it was subsequently included in the total transaction price in June 2019 as a performance obligation upon AbbVie’s selection of such second target as further discussed below.</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73" w:lineRule="exact"/>
        <w:rPr>
          <w:sz w:val="20"/>
          <w:szCs w:val="20"/>
          <w:color w:val="auto"/>
        </w:rPr>
      </w:pPr>
    </w:p>
    <w:p>
      <w:pPr>
        <w:ind w:left="1040" w:right="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total transaction price upon adoption of ASC 606 on January 1, 2018 of $39.8 million consists of $30.0 million in upfront payments, $14.0 million milestone payment received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estimated sublicense fees of $4.2 million are allocated to the CD71 Agreement performance obligation as they are directly related to the development of the CD71 Probody therapeutic.</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 The Company determined that the remaining potential milestone payments are probable of significant revenue reversal as their achievement is highly dependent on factors outside the Company’s control. Therefore, these payments have been fully constrained and were not included in the transaction price as of December 31, 2019.</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 obligated to make sublicense payments under the license agreement with the Regents of the University of California, acting through its Santa Barbara campus (“UCSB”), as amended, equal to 7.5% of certain upfront and milestone payments owed to or received by the Company. As of December 31, 2019 and 2018, the Company recorded accrued sublicense fees of zero and $1.1 million, respectively, under the UCSB Agreement.</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Of the $39.8 million total initial transaction price, the Company allocated $29.8 million to the CD71 Agreement performance obligation and recognized revenue using a cost-based input measure, the common measure of progress for the performance obligation. In applying the cost-based input method, revenue is recognized based on actual full-time employee (“FTE”) hours incurred as a percentage of total estimated FTE hours for completing its combined performance obligation over the estimated service period. The Company evaluates the measure of progress each reporting period and, if necessary, adjusts the measure of performance and related revenue recognition. During 2019, as a result of ongoing dose escalation in the continued development program, there has been a change in estimates of the research service period as well as an increase in the projected FTE hours-to-completion. The research service period for the CD71 Agreement performance obligation is extended from April 2021 to March 2022.</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remaining $10.0 million of the total initial transaction price of $39.8 million allocated to the Discovery Agreement performance obligation represents an obligation to continuously make the Company’s Probody therapeutic technology platform available to AbbVie. The $10.0 million is recognized using the common measure of progress for the entire performance obligation over the estimated research service period of five years through April 2021.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1" w:name="page112"/>
    <w:bookmarkEnd w:id="111"/>
    <w:p>
      <w:pPr>
        <w:ind w:right="200"/>
        <w:spacing w:after="0" w:line="342" w:lineRule="auto"/>
        <w:rPr>
          <w:sz w:val="20"/>
          <w:szCs w:val="20"/>
          <w:color w:val="auto"/>
        </w:rPr>
      </w:pPr>
      <w:r>
        <w:rPr>
          <w:rFonts w:ascii="Arial" w:cs="Arial" w:eastAsia="Arial" w:hAnsi="Arial"/>
          <w:sz w:val="16"/>
          <w:szCs w:val="16"/>
          <w:color w:val="auto"/>
        </w:rPr>
        <w:t>In June 2019, the Company earned a $10.0 million milestone payment for the second target selected by AbbVie under the Discovery Agreement. It is recognized also using the common measure of progress of the related obligation over the estimated research service period of five years through June 2024.</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recognized revenue of $5.9 million, $19.0 million and $19.4 million for 2019, 2018 and 2017, respectively, related to the AbbVie Agreements. As of December 31, 2019 and 2018, deferred revenue related to the CD71 Agreement performance obligation was $20.0 million and $23.2 million, respectively, and deferred revenue related to the Discovery Agreement performance obligation was $11.6 million and $4.7 million, respectively. As of both December 31, 2019 and 2018, no amount was due from AbbVie under the CD71 Agreement and the Discovery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terms of the Amgen Agreement, the Company and Amgen will co-develop a Probody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0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87" w:lineRule="exact"/>
        <w:rPr>
          <w:sz w:val="20"/>
          <w:szCs w:val="20"/>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research and development services for the EGFR Products and the Amgen Other Product,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2" w:name="page113"/>
    <w:bookmarkEnd w:id="112"/>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obligation to participate in the joint steering committee (“JSC”) and the joint research committee (“JRC”).</w:t>
      </w:r>
    </w:p>
    <w:p>
      <w:pPr>
        <w:spacing w:after="0" w:line="2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20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7.5% of certain upfront and milestone payments owed to or received by the Company. As of December 31, 2019 and 2018, the Company recorded liabilities of zero and $2.1 million, respectively, representing the sublicense fee payable to UCSB.</w:t>
      </w:r>
    </w:p>
    <w:p>
      <w:pPr>
        <w:spacing w:after="0" w:line="21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January 1, 2018, the adoption date of ASC 606.</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FTE hours expected to be incurred for the combined performance obligation over the research service period. In the fourth quarter of 2018, the JSC officially terminated any further work on two molecules that did not meet required research criteria. Pre-clinical evaluation of additional molecules has been ongoing as part of the candidate identification phase of the EGFR project, and as a result, there was a change in estimate of the FTE hours-to-completion and research service period to seven years during the fourth quarter of 2018. At the end of the second quarter of 2019, the Company determined it will undertake additional testing and assessment of the molecules being evaluated under the EGFR project. As a result, the estimated FTE hours-to-completion and research service period was further increased to eight years.</w:t>
      </w:r>
    </w:p>
    <w:p>
      <w:pPr>
        <w:spacing w:after="0" w:line="20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2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recognized revenue of $3.9 million, $4.9 million and $1.3 million for the years ended December 31, 2019, 2018 and 2017, respectively, related to the Amgen Agreement. As of December 31, 2019 and 2018, deferred revenue related to the EGFR Products performance obligation was $37.6 million and $40.7 million, respectively. As of December 31, 2019 and 2018, deferred revenue related to the Amgen Other Products performance obligation was $3.0 million and $3.8 million, respectively. As of December 31, 2019 and 2018, no amount was due from Amgen under the Amgen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On May 23, 2014, the Company and Bristol-Myers Squibb Company (“Bristol-Myers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the BMS Agreement, the Company granted Bristol-Myers Squibb exclusive worldwide rights to develop and commercialize Probody therapeutics for up to four oncology targets. Bristol-Myers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Bristol-Myers Squibb within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3" w:name="page114"/>
    <w:bookmarkEnd w:id="113"/>
    <w:p>
      <w:pPr>
        <w:ind w:right="160"/>
        <w:spacing w:after="0" w:line="277" w:lineRule="auto"/>
        <w:rPr>
          <w:sz w:val="20"/>
          <w:szCs w:val="20"/>
          <w:color w:val="auto"/>
        </w:rPr>
      </w:pPr>
      <w:r>
        <w:rPr>
          <w:rFonts w:ascii="Arial" w:cs="Arial" w:eastAsia="Arial" w:hAnsi="Arial"/>
          <w:sz w:val="18"/>
          <w:szCs w:val="18"/>
          <w:color w:val="auto"/>
        </w:rPr>
        <w:t>five years of the effective date of the BMS Agreement. The research term for each collaboration target could be extended in one year increments up to three times.</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Pursuant to the BMS Agreement, the financial consideration from Bristol-Myers Squibb was comprised of an upfront payment of $50.0 million and the Company was initially entitled to receive contingent payments of up to an aggregate of $1,217.0 million as follows: (i) up to $25.0 million for additional targets; (ii) up to $114.0 million in development milestone payments per research target program or up to $456.0 million if the maximum of four research targets are selected; (iii) up to $124.0 million in milestone payments for the first commercial sale in various territories for up to three indications per research target program or up to $496.0 million if the maximum of four research targets are selected, and (iv) up to $60.0 million in sales milestones payments per research target program or up to $240.0 million if maximum of four research targets are selected. The Company is entitled to royalty payments in the mid-single digits to low double-digit percentages from potential future sales. The Company also receives research and development service fees based on a prescribed FTE rate that is capped.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BMS Agreement:</w:t>
      </w:r>
    </w:p>
    <w:p>
      <w:pPr>
        <w:spacing w:after="0" w:line="131"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Bristol-Myers Squibb’s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w:t>
      </w:r>
    </w:p>
    <w:p>
      <w:pPr>
        <w:spacing w:after="0" w:line="23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received an upfront payment of $50.0 million from Bristol-Myers Squibb in July 2014. In January and December 2016, Bristol-Myers Squibb selected the third and fourth targets, respectively, and paid the Company $10.0 million and $15.0 million, respectively, pursuant to the terms of the BMS Agreement. In December 2016, Bristol-Myers Squibb selected a clinical candidate pursuant to the BMS Agreement, which triggered a $2.0 million pre-clinical milestone payment to the Company. In November 2017, the Company recognized a $10.0 million milestone payment from Bristol-Myers Squibb upon approval of the investigational new drug application for the CTLA-4-directed Probody therapeutic.</w:t>
      </w:r>
    </w:p>
    <w:p>
      <w:pPr>
        <w:spacing w:after="0" w:line="20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On March 17, 2017, the Company and Bristol-Myers Squibb entered into Amendment Number 1 to Extend Collaboration and License Agreement (the “BMS Amendment”). The BMS Amendment grants Bristol-Myers Squibb exclusive worldwide rights to develop and commercialize Probody therapeutics for up to six additional oncology targets and two non-oncology targets. The effective date of the BMS Amendment was April 25, 2017 (“Amendment Effective Date”). Under the terms of the BMS Amendment, the Company continues to collaborate with Bristol-Myers Squibb to discover and conduct preclinical development of Probody therapeutics against targets selected by Bristol-Myers Squibb under the terms of the BMS Amendment.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BMS Amendment, the financial consideration from Bristol-Myers Squibb is comprised of an upfront payment of $200.0 million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eligible to receive up to an aggregate of $3,586.0 million as follows:</w:t>
      </w:r>
    </w:p>
    <w:p>
      <w:pPr>
        <w:spacing w:after="0" w:line="211" w:lineRule="exact"/>
        <w:rPr>
          <w:sz w:val="20"/>
          <w:szCs w:val="20"/>
          <w:color w:val="auto"/>
        </w:rPr>
      </w:pPr>
    </w:p>
    <w:p>
      <w:pPr>
        <w:ind w:left="1040" w:right="10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 to $116.0 million in development milestone payments per target or up to $928.0 million if the maximum of eight targets are selected for the first product modality;</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 to $124.0 million in milestone payments for the first commercial sale in various territories for up to three indications per target program or up to $992.0 million if the maximum of eight targets are selected for the first product modality;</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 to $60.0 million in sales milestone payments per target or up to $480.0 million if maximum of eight targets are selected for the first product modality; and</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 to $56.3 million in development milestone payments or up to $450.0 million if the maximum of eight targets are selected for the second product modality;</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 to $62.0 million in milestone payments for the first commercial sale in various territories for up to three indications per target program or up to $496.0 million if the maximum of eight targets are selected for the second product modality;</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 to $30.0 million in sales milestone payments per target or up to $240.0 million if maximum of eight targets are selected for the second product modality.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4" w:name="page115"/>
    <w:bookmarkEnd w:id="114"/>
    <w:p>
      <w:pPr>
        <w:ind w:right="40"/>
        <w:spacing w:after="0" w:line="257" w:lineRule="auto"/>
        <w:rPr>
          <w:sz w:val="20"/>
          <w:szCs w:val="20"/>
          <w:color w:val="auto"/>
        </w:rPr>
      </w:pPr>
      <w:r>
        <w:rPr>
          <w:rFonts w:ascii="Arial" w:cs="Arial" w:eastAsia="Arial" w:hAnsi="Arial"/>
          <w:sz w:val="18"/>
          <w:szCs w:val="18"/>
          <w:color w:val="auto"/>
        </w:rPr>
        <w:t>The Company is also entitled to tiered mid-single to low double-digit percentage royalties from potential future sales. The BMS Amendment does not change the term of the Bristol-Myers Squibb’s royalty obligation under the BMS Agreement. Bristol-Myers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as of December 31, 2019. The BMS Agreement represents an obligation to continuously make the Probody therapeutic technology platform available to BMS. Therefore, the initial transaction price is recognized over the estimated research service period, which ends on April 25, 2025.</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first quarter of 2019, Bristol-Myers Squibb terminated pre-clinical activities on three of the first four collaboration targets selected under the initial original 2014 BMS Agreement. The first and second targets under the BMS Agreement were combined into a single performance obligation. The Company determined that termination of pre-clinical activities on the second target does not impact the Company’s continuing obligation to Bristol-Myers Squibb for the first target, CTLA-4, as it is still being actively developed by Bristol-Myers Squibb. Therefore, the Company concluded that it will continue to amortize the related deferred revenue over the original performance period. The Company has determined that upon the termination of pre-clinical activities on the third and the fourth collaboration targets selected by Bristol-Myers Squibb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 Research work under the BMS Amendment executed in March 2017 continues.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revenue of $47.7 million, $32.8 million and $36.5 million for the years ended December 31, 2019, 2018, and 2017, respectively. As of December 31, 2019 and 2018, deferred revenue related to the BMS Agreement was $158.0 million and $205.6 million, respectively. The amount due from Bristol-Myers Squibb under the BMS Agreement was $13,000 and $97,000 as of December 31, 2019 and 2018,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 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In December 2019, the parties entered into a license agreement pursuant to which the ImmunoGen 2017 License was terminated and ImmunoGen granted a license for all of ImmunoGen’s rights under the ImmunoGen 2017 license to the Company. See Note 10. License Agreement, for more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5" w:name="page116"/>
    <w:bookmarkEnd w:id="115"/>
    <w:p>
      <w:pPr>
        <w:ind w:right="40"/>
        <w:spacing w:after="0" w:line="259" w:lineRule="auto"/>
        <w:rPr>
          <w:sz w:val="20"/>
          <w:szCs w:val="20"/>
          <w:color w:val="auto"/>
        </w:rPr>
      </w:pPr>
      <w:r>
        <w:rPr>
          <w:rFonts w:ascii="Arial" w:cs="Arial" w:eastAsia="Arial" w:hAnsi="Arial"/>
          <w:sz w:val="18"/>
          <w:szCs w:val="18"/>
          <w:color w:val="auto"/>
        </w:rPr>
        <w:t>Under the terms of the ImmunoGen Research Agreement, both the Company and ImmunoGen performed research activities on behalf of the other party for no monetary consideration through January 2018 and the arrangement was extended to June 2018, as discussed below. Each party is solely responsible for the development, manufacturing and commercialization of any products resulting from the exclusive development and commercialization license obtained by such party under the agreement.</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consideration for the ImmunoGen 2017 License, the Company is entitled to receive up to $30.0 million in development and regulatory milestone payments, up to $50.0 million in sales milestone payments and royalties in the mid-single digits percentage on the commercial sales of any resulting product. For the CX-2009 License, the Company is obligated to pay ImmunoGen up to $60.0 million in development and regulatory milestone payments and up to $100.0 million in sales milestone payments and royalties in the mid to high single digits percentage on the commercial sales of any resulting product. In August 2017, the Company made a milestone payment of $1.0 million to ImmunoGen for the first patient dosing with CX-2009. No milestone payments were payable to the Company under the ImmunoGen 2017 License while it was in effect.</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accounted for the ImmunoGen Research Agreement based on the fair value of the assets and services exchanged. The Company identified the following performance obligations at the inception of the ImmunoGen Research Agreement:</w:t>
      </w:r>
    </w:p>
    <w:p>
      <w:pPr>
        <w:spacing w:after="0" w:line="76" w:lineRule="exact"/>
        <w:rPr>
          <w:sz w:val="20"/>
          <w:szCs w:val="20"/>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research license,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research services,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obligation to provide future technology improvements, when available.</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that the research license, the research services, the participation in the joint steering committee, and the technology improvements are not distinct from the development and commercialization license and therefore those performance obligations were combined into one combined performance obligation. The Company considered factors such as the limited economic benefits to ImmunoGen if the development and commercialization license was not obtained and the lack of sublicensing rights in the research license.</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estimated total fair value of the consideration of $13.2 million was recorded as deferred revenue at the inception of the ImmunoGen Research Agreement. In December 2017, the Company entered into the ImmunoGen 2017 License arrangement and extended the Company’s obligation to provide research services under the ImmunoGen Research Agreement to June 30, 2018. The fair value of the consideration for the combined performance obligation was recognized as revenue over the research period that ended on June 30, 2018. As of December 31, 2019 and 2018, neither company has further research obligations under the ImmunoGen Research Agreement.</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estimated total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recognized no revenue for the year ended December 31, 2019 and revenue of $1.5 million and $12.5 million for the years ended December 31, 2018 and 2017, respectively. As of December 31, 2019 and 2018, there was no deferred revenue relating to the ImmunoGen Research Agreements, respectively. As of both December 31, 2019 and 2018, no amount was due from ImmunoGen under the ImmunoGen Research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MD Anderson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November 2015, the Company entered into a research collaboration agreement with MD Anderson to research Probody-enabled chimeric antigen receptor killer (CAR-NK) cell therapies, known as ProCAR-NK cell therapies. Under this collaboration, MD Anderson used the Company’s Probody technology to conduct research of ProCAR-NK cell therapies against certain targets selected by the Company in cancer immunotherapy. Under the research collaboration agreement, the Company had the right to exercise an option, during the option period expiring on November 2, 2019 and upon payment of an option exercise fee, to negotiate and acquire a worldwide, exclusive, sublicensable license from MD Anderson for development and commercialization of products directed against any of the selected targets. The Company decided not to exercise the option and the research collaboration agreement expired on November 2, 2019. The expenses related to this agreement were not material to the financial statements for the years ended December 31, 2019, 2018 and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Inc.</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after the first quarter of 2018.</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Pfizer Agreement, the Company received an upfront payment of $6.0 million and research and development service fees based on a prescribed FTE rate per year that is capped. The Company identified the following performance obligations at the inception of the Pfizer Agreement: (1) the research license, (2) the research services and (3) the obligation to participate in the joint research committee. The Company determined that the research license was not distinct from the research services and participation in the joint research committee due to the specialized nature of the research services to be provided by the Company, and accordingly, this deliverable was combined with the research services and participation in the joint research committee as a combined performance obligation. The Company concluded that, at the inception of the agreement, Pfizer’s options to obtain an exclusive development and commercialization license for each research project target did not represent a material right and were not performance obligations.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the combined performance obligation represented an obligation to continuously make the Probody therapeutic technology platform available to Pfizer, the initial transaction price was recognized over the common measure of progress for the entire performance obligation over the estimated research service period of five and a half years.</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recognized no revenue for the year ended December 31, 2019, and recognized revenue of $1.4 million and $1.9 million for the years ended December 31, 2018 and 2017, respectively. As of December 31, 2019 and 2018, there was no deferred revenue relating to the Pfizer Agreement. As of December 31, 2019 and 2018, there was no amount due from Pfizer under the Pfizer Agreement,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for the year ended December 31, 2019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ind w:left="240"/>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1580" w:type="dxa"/>
            <w:vAlign w:val="bottom"/>
            <w:vMerge w:val="restart"/>
          </w:tcPr>
          <w:p>
            <w:pPr>
              <w:jc w:val="right"/>
              <w:ind w:right="662"/>
              <w:spacing w:after="0"/>
              <w:rPr>
                <w:sz w:val="20"/>
                <w:szCs w:val="20"/>
                <w:color w:val="auto"/>
              </w:rPr>
            </w:pPr>
            <w:r>
              <w:rPr>
                <w:rFonts w:ascii="Arial" w:cs="Arial" w:eastAsia="Arial" w:hAnsi="Arial"/>
                <w:sz w:val="14"/>
                <w:szCs w:val="14"/>
                <w:b w:val="1"/>
                <w:bCs w:val="1"/>
                <w:color w:val="auto"/>
              </w:rPr>
              <w:t>Additions</w:t>
            </w:r>
          </w:p>
        </w:tc>
        <w:tc>
          <w:tcPr>
            <w:tcW w:w="580" w:type="dxa"/>
            <w:vAlign w:val="bottom"/>
          </w:tcPr>
          <w:p>
            <w:pPr>
              <w:spacing w:after="0"/>
              <w:rPr>
                <w:sz w:val="14"/>
                <w:szCs w:val="14"/>
                <w:color w:val="auto"/>
              </w:rPr>
            </w:pPr>
          </w:p>
        </w:tc>
        <w:tc>
          <w:tcPr>
            <w:tcW w:w="150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Deductions</w:t>
            </w:r>
          </w:p>
        </w:tc>
        <w:tc>
          <w:tcPr>
            <w:tcW w:w="48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12/31/2018</w:t>
            </w: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12/31/2019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6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FF0FC"/>
          </w:tcPr>
          <w:p>
            <w:pPr>
              <w:jc w:val="center"/>
              <w:ind w:right="810"/>
              <w:spacing w:after="0"/>
              <w:rPr>
                <w:sz w:val="20"/>
                <w:szCs w:val="20"/>
                <w:color w:val="auto"/>
              </w:rPr>
            </w:pPr>
            <w:r>
              <w:rPr>
                <w:rFonts w:ascii="Arial" w:cs="Arial" w:eastAsia="Arial" w:hAnsi="Arial"/>
                <w:sz w:val="18"/>
                <w:szCs w:val="18"/>
                <w:b w:val="1"/>
                <w:bCs w:val="1"/>
                <w:color w:val="auto"/>
                <w:w w:val="92"/>
              </w:rPr>
              <w:t>Contract liabilities: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jc w:val="center"/>
              <w:ind w:right="790"/>
              <w:spacing w:after="0"/>
              <w:rPr>
                <w:sz w:val="20"/>
                <w:szCs w:val="20"/>
                <w:color w:val="auto"/>
              </w:rPr>
            </w:pPr>
            <w:r>
              <w:rPr>
                <w:rFonts w:ascii="Arial" w:cs="Arial" w:eastAsia="Arial" w:hAnsi="Arial"/>
                <w:sz w:val="18"/>
                <w:szCs w:val="18"/>
                <w:color w:val="auto"/>
                <w:w w:val="88"/>
              </w:rPr>
              <w:t>Deferred revenue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2"/>
              <w:spacing w:after="0"/>
              <w:rPr>
                <w:sz w:val="20"/>
                <w:szCs w:val="20"/>
                <w:color w:val="auto"/>
              </w:rPr>
            </w:pPr>
            <w:r>
              <w:rPr>
                <w:rFonts w:ascii="Arial" w:cs="Arial" w:eastAsia="Arial" w:hAnsi="Arial"/>
                <w:sz w:val="18"/>
                <w:szCs w:val="18"/>
                <w:color w:val="auto"/>
              </w:rPr>
              <w:t>277,980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82"/>
              <w:spacing w:after="0"/>
              <w:rPr>
                <w:sz w:val="20"/>
                <w:szCs w:val="20"/>
                <w:color w:val="auto"/>
              </w:rPr>
            </w:pPr>
            <w:r>
              <w:rPr>
                <w:rFonts w:ascii="Arial" w:cs="Arial" w:eastAsia="Arial" w:hAnsi="Arial"/>
                <w:sz w:val="18"/>
                <w:szCs w:val="18"/>
                <w:color w:val="auto"/>
              </w:rPr>
              <w:t>10,000</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9"/>
              <w:spacing w:after="0"/>
              <w:rPr>
                <w:sz w:val="20"/>
                <w:szCs w:val="20"/>
                <w:color w:val="auto"/>
              </w:rPr>
            </w:pPr>
            <w:r>
              <w:rPr>
                <w:rFonts w:ascii="Arial" w:cs="Arial" w:eastAsia="Arial" w:hAnsi="Arial"/>
                <w:sz w:val="18"/>
                <w:szCs w:val="18"/>
                <w:color w:val="auto"/>
              </w:rPr>
              <w:t>57,741</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230,239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was a $10.0 million addition to deferred revenue related to the milestone payment triggered by selection of the second target by AbbVie during the year ended December 31, 2019. Deductions of $57.7 million represent primarily revenue recognized, including the accelerated recognition of deferred revenue of $17.4 million due to termination of certain targets by Bristol-Myers Squibb in the first quarter of 2019 that was included in the contract liability balance at the beginning of the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18"/>
          <w:szCs w:val="18"/>
          <w:color w:val="auto"/>
        </w:rPr>
        <w:t>The Company estimates that the $230.2 million of deferred revenue related to the following contracts as of December 31, 2019 to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1040" w:right="2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$20.0 million of deferred revenue related to the CD71 Agreement as of December 31, 2019 is expected to be recognized based on actual FTE effort and program progress until approximately March 2022.</w:t>
      </w:r>
    </w:p>
    <w:p>
      <w:pPr>
        <w:spacing w:after="0" w:line="62" w:lineRule="exact"/>
        <w:rPr>
          <w:rFonts w:ascii="Arial" w:cs="Arial" w:eastAsia="Arial" w:hAnsi="Arial"/>
          <w:sz w:val="18"/>
          <w:szCs w:val="18"/>
          <w:color w:val="auto"/>
        </w:rPr>
      </w:pPr>
    </w:p>
    <w:p>
      <w:pPr>
        <w:ind w:left="1040" w:right="480" w:hanging="519"/>
        <w:spacing w:after="0" w:line="286" w:lineRule="auto"/>
        <w:tabs>
          <w:tab w:leader="none" w:pos="10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$2.6 million of deferred revenue related to the first target under Discovery Agreement as of December 31, 2019 is expected to be recognized ratably until approximately April 2021. The $9.0 million of deferred revenue related to the second target under the Discovery Agreement as of December 31, 2019 is expected to be recognized ratably until approximately June 2024.</w:t>
      </w:r>
    </w:p>
    <w:p>
      <w:pPr>
        <w:spacing w:after="0" w:line="57" w:lineRule="exact"/>
        <w:rPr>
          <w:rFonts w:ascii="Arial" w:cs="Arial" w:eastAsia="Arial" w:hAnsi="Arial"/>
          <w:sz w:val="17"/>
          <w:szCs w:val="17"/>
          <w:color w:val="auto"/>
        </w:rPr>
      </w:pPr>
    </w:p>
    <w:p>
      <w:pPr>
        <w:ind w:left="1040" w:right="28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$37.6 million of deferred revenue related to the Amgen EGFR Products as of December 31, 2019 is expected to be recognized based on actual FTE effort and program progress until approximately September 2025.</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$3.0 million of deferred revenue related to the Amgen Other Products as of December 31, 2019 is expected to be recognized ratably until approximately September 2023.</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$158.0 million of deferred revenue related to the BMS Agreement as of December 31, 2019 is expected to be recognized ratably until approximately April 2025.</w:t>
      </w:r>
    </w:p>
    <w:p>
      <w:pPr>
        <w:spacing w:after="0" w:line="355"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second quarter of 2019.</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June 2019, the Company incurred an additional $0.8 million of sublicense fees related to the $10.0 million milestone payment for the second target selected by AbbVie under the Discovery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8" w:name="page119"/>
    <w:bookmarkEnd w:id="118"/>
    <w:p>
      <w:pPr>
        <w:ind w:right="220"/>
        <w:spacing w:after="0" w:line="264" w:lineRule="auto"/>
        <w:rPr>
          <w:sz w:val="20"/>
          <w:szCs w:val="20"/>
          <w:color w:val="auto"/>
        </w:rPr>
      </w:pPr>
      <w:r>
        <w:rPr>
          <w:rFonts w:ascii="Arial" w:cs="Arial" w:eastAsia="Arial" w:hAnsi="Arial"/>
          <w:sz w:val="18"/>
          <w:szCs w:val="18"/>
          <w:color w:val="auto"/>
        </w:rPr>
        <w:t>During the years ended December 31, 2019, 2018 and 2017, the Company incurred sublicense expenses of $4.3 million, $0.6 million and $13.5 million, respectively, under the provisions of the UCSB Agreement. As of December 31, 2019 and 2018, the Company recorded a liability of $0.2 million and $3.2 million, representing sublicense fee payable to UCSB,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a Probody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w:t>
      </w:r>
    </w:p>
    <w:p>
      <w:pPr>
        <w:spacing w:after="0" w:line="1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upfront license fee of $7.5 million was recorded as research and development expense in December 2019 and included in accrued liabilities as of December 31, 2019. The upfront license fee was paid in January 2020.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5"/>
          <w:szCs w:val="15"/>
          <w:color w:val="auto"/>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increased rent which continues through the expiration of the initial lease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9" w:name="page120"/>
    <w:bookmarkEnd w:id="119"/>
    <w:p>
      <w:pPr>
        <w:jc w:val="both"/>
        <w:ind w:right="80"/>
        <w:spacing w:after="0" w:line="264" w:lineRule="auto"/>
        <w:rPr>
          <w:sz w:val="20"/>
          <w:szCs w:val="20"/>
          <w:color w:val="auto"/>
        </w:rPr>
      </w:pPr>
      <w:r>
        <w:rPr>
          <w:rFonts w:ascii="Arial" w:cs="Arial" w:eastAsia="Arial" w:hAnsi="Arial"/>
          <w:sz w:val="18"/>
          <w:szCs w:val="18"/>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as non-current restricted cash on its balance sheet as at both December 31, 2019 and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on a straight-line basis over the term of the lease and accordingly the Company records the difference between cash rent payments and the recognition of rent expense against the operating lease ROU asset. Rent expense during the years ended December 31, 2019, 2018 and 2017 was $4.8 million, $4.2 million and $4.2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7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2019</w:t>
            </w:r>
          </w:p>
        </w:tc>
      </w:tr>
      <w:tr>
        <w:trPr>
          <w:trHeight w:val="156"/>
        </w:trPr>
        <w:tc>
          <w:tcPr>
            <w:tcW w:w="7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right="156"/>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9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4,855</w:t>
            </w:r>
          </w:p>
        </w:tc>
        <w:tc>
          <w:tcPr>
            <w:tcW w:w="180" w:type="dxa"/>
            <w:vAlign w:val="bottom"/>
          </w:tcPr>
          <w:p>
            <w:pPr>
              <w:spacing w:after="0"/>
              <w:rPr>
                <w:sz w:val="20"/>
                <w:szCs w:val="20"/>
                <w:color w:val="auto"/>
              </w:rPr>
            </w:pPr>
          </w:p>
        </w:tc>
      </w:tr>
      <w:tr>
        <w:trPr>
          <w:trHeight w:val="391"/>
        </w:trPr>
        <w:tc>
          <w:tcPr>
            <w:tcW w:w="7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2019</w:t>
            </w:r>
          </w:p>
        </w:tc>
      </w:tr>
      <w:tr>
        <w:trPr>
          <w:trHeight w:val="156"/>
        </w:trPr>
        <w:tc>
          <w:tcPr>
            <w:tcW w:w="7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right="156"/>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balance sheet information related to leases: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70"/>
        </w:trPr>
        <w:tc>
          <w:tcPr>
            <w:tcW w:w="706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9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25,382</w:t>
            </w:r>
          </w:p>
        </w:tc>
        <w:tc>
          <w:tcPr>
            <w:tcW w:w="180" w:type="dxa"/>
            <w:vAlign w:val="bottom"/>
          </w:tcPr>
          <w:p>
            <w:pPr>
              <w:spacing w:after="0"/>
              <w:rPr>
                <w:sz w:val="23"/>
                <w:szCs w:val="23"/>
                <w:color w:val="auto"/>
              </w:rPr>
            </w:pPr>
          </w:p>
        </w:tc>
      </w:tr>
      <w:tr>
        <w:trPr>
          <w:trHeight w:val="210"/>
        </w:trPr>
        <w:tc>
          <w:tcPr>
            <w:tcW w:w="70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operating lease liabilities</w:t>
            </w:r>
          </w:p>
        </w:tc>
        <w:tc>
          <w:tcPr>
            <w:tcW w:w="1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70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w:t>
            </w:r>
          </w:p>
        </w:tc>
        <w:tc>
          <w:tcPr>
            <w:tcW w:w="18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7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Operating lease</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Operating lease</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r>
      <w:tr>
        <w:trPr>
          <w:trHeight w:val="391"/>
        </w:trPr>
        <w:tc>
          <w:tcPr>
            <w:tcW w:w="7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2019</w:t>
            </w:r>
          </w:p>
        </w:tc>
      </w:tr>
      <w:tr>
        <w:trPr>
          <w:trHeight w:val="156"/>
        </w:trPr>
        <w:tc>
          <w:tcPr>
            <w:tcW w:w="7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right="156"/>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2020</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4,990</w:t>
            </w:r>
          </w:p>
        </w:tc>
        <w:tc>
          <w:tcPr>
            <w:tcW w:w="180" w:type="dxa"/>
            <w:vAlign w:val="bottom"/>
          </w:tcPr>
          <w:p>
            <w:pPr>
              <w:spacing w:after="0"/>
              <w:rPr>
                <w:sz w:val="19"/>
                <w:szCs w:val="19"/>
                <w:color w:val="auto"/>
              </w:rPr>
            </w:pPr>
          </w:p>
        </w:tc>
      </w:tr>
      <w:tr>
        <w:trPr>
          <w:trHeight w:val="230"/>
        </w:trPr>
        <w:tc>
          <w:tcPr>
            <w:tcW w:w="7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2022</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5,273</w:t>
            </w:r>
          </w:p>
        </w:tc>
        <w:tc>
          <w:tcPr>
            <w:tcW w:w="180" w:type="dxa"/>
            <w:vAlign w:val="bottom"/>
          </w:tcPr>
          <w:p>
            <w:pPr>
              <w:spacing w:after="0"/>
              <w:rPr>
                <w:sz w:val="19"/>
                <w:szCs w:val="19"/>
                <w:color w:val="auto"/>
              </w:rPr>
            </w:pPr>
          </w:p>
        </w:tc>
      </w:tr>
      <w:tr>
        <w:trPr>
          <w:trHeight w:val="230"/>
        </w:trPr>
        <w:tc>
          <w:tcPr>
            <w:tcW w:w="7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2024 and beyond</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15,689</w:t>
            </w:r>
          </w:p>
        </w:tc>
        <w:tc>
          <w:tcPr>
            <w:tcW w:w="18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36,501</w:t>
            </w:r>
          </w:p>
        </w:tc>
        <w:tc>
          <w:tcPr>
            <w:tcW w:w="180" w:type="dxa"/>
            <w:vAlign w:val="bottom"/>
            <w:shd w:val="clear" w:color="auto" w:fill="CFF0FC"/>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(8,820)</w:t>
            </w:r>
          </w:p>
        </w:tc>
      </w:tr>
      <w:tr>
        <w:trPr>
          <w:trHeight w:val="223"/>
        </w:trPr>
        <w:tc>
          <w:tcPr>
            <w:tcW w:w="7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12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 October 2015, the Company’s board of directors and stockholders approved the amended and restatement of the Company’s certificate of incorporation. The Amended and Restated Certificate of Incorporation was effective as of October 14, 2015, which provides for 75,000,000 authorized shares of common stock with par value of $0.00001 per share and 10,000,000 shares of preferred stock with a par value of $0.00001 per share.</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preferred stockholders. As of December 31, 2019 and 2018, no dividends on common stock had been declared by the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0" w:name="page121"/>
    <w:bookmarkEnd w:id="120"/>
    <w:p>
      <w:pPr>
        <w:ind w:right="280"/>
        <w:spacing w:after="0" w:line="259" w:lineRule="auto"/>
        <w:rPr>
          <w:sz w:val="20"/>
          <w:szCs w:val="20"/>
          <w:color w:val="auto"/>
        </w:rPr>
      </w:pPr>
      <w:r>
        <w:rPr>
          <w:rFonts w:ascii="Arial" w:cs="Arial" w:eastAsia="Arial" w:hAnsi="Arial"/>
          <w:sz w:val="18"/>
          <w:szCs w:val="18"/>
          <w:color w:val="auto"/>
        </w:rPr>
        <w:t>In July 2018, the Company completed an underwritten public offering of 5,867,347 shares of common stock at a price of $24.50 per share, which included 765,306 shares issued pursuant to the underwriters’ exercise of their option to purchase additional shares of common stock. The aggregate net proceeds received by the Company from the offering were approximately $134.6 million after deducting underwriting discounts and commissions and offering expenses of $9.2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Options issued and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9,936,168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7,803,773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1580" w:type="dxa"/>
            <w:vAlign w:val="bottom"/>
          </w:tcPr>
          <w:p>
            <w:pPr>
              <w:jc w:val="right"/>
              <w:spacing w:after="0"/>
              <w:rPr>
                <w:sz w:val="20"/>
                <w:szCs w:val="20"/>
                <w:color w:val="auto"/>
              </w:rPr>
            </w:pPr>
            <w:r>
              <w:rPr>
                <w:rFonts w:ascii="Arial" w:cs="Arial" w:eastAsia="Arial" w:hAnsi="Arial"/>
                <w:sz w:val="18"/>
                <w:szCs w:val="18"/>
                <w:color w:val="auto"/>
              </w:rPr>
              <w:t>3,145,266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1,884,494</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employee stock purchase plan</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1,609,137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1,301,254</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ind w:left="50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14,690,571</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10,989,521</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2010 Plan and 2011 Plan</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consummation of the IPO in October 2015, the board of directors adopted the Company’s 2015 Equity Incentive Plan (the “2015 Plan” and collectively with the 2010 Plan and 2011 Plan, the “Plans”). In conjunction with adopting the 2015 Plan, the Company discontinued the 2011 Plan with respect to new equity awards.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2015 Plan</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Options under the 2015 Plan may be granted for periods of up to ten years. All options issued to date have had a 10-year life. Under the terms of the 2015 Plan,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options granted under the 2015 Plan generally vest over four years and vest at a rate of 25% upon the first anniversary of the issuance date and 1/48th per month thereafter.</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initial number of shares of common stock available for future issuance under the 2015 Plan was 2,444,735. Beginning on January 1, 2016 and continuing until the expiration of the 2015 Plan, the total number of shares of common stock available for issuance under the 2015 Plan will automatically increase annually on January 1 by 4% of the total number of issued and outstanding shares of common stock as of January 1 of the same year. As of December 31, 2019, 1,808,066 shares of common stock were available for future issuance under the 2015 Plan.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2019 Plan</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2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number of shares of common stock available for future issuance under the 2019 Plan was 1,815,000. As of December 31, 2019, 1,337,200 shares of common stock were available for future issuance under the 2019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Weighted-</w:t>
            </w: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Available</w:t>
            </w: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Price Per</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Grant</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 (years)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2,493,188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6,158,746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Options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1,459,606</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(2,138,620)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2,138,620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(764,576)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forfeited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510,619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(1,029,332)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Balances at December 31, 2017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2,324,793</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6,503,458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authorized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1,539,142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(2,127,400)</w:t>
            </w:r>
          </w:p>
        </w:tc>
        <w:tc>
          <w:tcPr>
            <w:tcW w:w="1020" w:type="dxa"/>
            <w:vAlign w:val="bottom"/>
          </w:tcPr>
          <w:p>
            <w:pPr>
              <w:jc w:val="right"/>
              <w:spacing w:after="0"/>
              <w:rPr>
                <w:sz w:val="20"/>
                <w:szCs w:val="20"/>
                <w:color w:val="auto"/>
              </w:rPr>
            </w:pPr>
            <w:r>
              <w:rPr>
                <w:rFonts w:ascii="Arial" w:cs="Arial" w:eastAsia="Arial" w:hAnsi="Arial"/>
                <w:sz w:val="18"/>
                <w:szCs w:val="18"/>
                <w:color w:val="auto"/>
              </w:rPr>
              <w:t>2,127,400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(673,382)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Options 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147,959</w:t>
            </w:r>
          </w:p>
        </w:tc>
        <w:tc>
          <w:tcPr>
            <w:tcW w:w="2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(153,703)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14.29</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1,884,494</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7,803,773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Options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3,618,328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(3,269,683)</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3,269,683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(146,930)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forfeited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912,127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(990,358)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3,145,266</w:t>
            </w:r>
          </w:p>
        </w:tc>
        <w:tc>
          <w:tcPr>
            <w:tcW w:w="22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9,936,168</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Borders>
              <w:bottom w:val="single" w:sz="8" w:color="CFF0FC"/>
            </w:tcBorders>
          </w:tcPr>
          <w:p>
            <w:pPr>
              <w:spacing w:after="0"/>
              <w:rPr>
                <w:sz w:val="22"/>
                <w:szCs w:val="22"/>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Exercisable—December 31, 2019</w:t>
            </w:r>
          </w:p>
        </w:tc>
        <w:tc>
          <w:tcPr>
            <w:tcW w:w="10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6,023,372</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vest—December 31,</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9,936,168</w:t>
            </w:r>
          </w:p>
        </w:tc>
        <w:tc>
          <w:tcPr>
            <w:tcW w:w="16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underlying common stock as of December 31, 2019, 2018 and 2017, respectively.</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aggregate intrinsic value of stock options exercised in the years ended December 31, 2019, 2018 and 2017 was $0.9 million, $14.6 million and $10.5 million, respectively.</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options granted in the years ended December 31, 2019, 2018 and 2017 had weighted-average per share grant-date fair values of $7.03, $14.21 and $8.21, respectively. At December 31, 2019 and 2018, the unrecognized compensation expense with respect to options granted to employees was $31.1 million and $34.6 million, respectively, and is expected to be recognized over 2.6 years and 2.4 years,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Employee Options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stock options granted under the Plans provide option holders the right to elect to exercise unvested options in exchange for restricted common stock. Such unvested restricted shares are subject to a repurchase right held by the Company at the original issuance price in the event the optionee’s service to the Company is terminated either voluntarily or involuntarily. The right usually lapses 25% on the first anniversary of the vesting start date and in 36 equal monthly amounts thereafter. These repurchase terms are considered to be a forfeiture provision. The cash or full recourse notes received from employees for exercise of unvested options is treated as a refundable deposit and is classified as a liability on the balance sheets.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142,949 shares and 63,920 shares of common stock under the ESPP in 2019 and 2018,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ind w:right="400"/>
        <w:spacing w:after="0" w:line="259" w:lineRule="auto"/>
        <w:rPr>
          <w:sz w:val="20"/>
          <w:szCs w:val="20"/>
          <w:color w:val="auto"/>
        </w:rPr>
      </w:pPr>
      <w:r>
        <w:rPr>
          <w:rFonts w:ascii="Arial" w:cs="Arial" w:eastAsia="Arial" w:hAnsi="Arial"/>
          <w:sz w:val="18"/>
          <w:szCs w:val="18"/>
          <w:color w:val="auto"/>
        </w:rPr>
        <w:t>Shares available for future purchase under the ESPP were 1,609,137 shares and 1,301,254 shares at December 31, 2019 and 2018, respectively. The compensation expense related to the ESPP was $0.6 million, $0.5 million and $0.2 million for the years ended December 31, 2019, 2018 and 20167 respectively. As of December 31, 2019 and 2018, there was $0.2 million and $0.3 million, respectively, of unrecognized compensation cost related to the ESPP, which the Company expects to recognize over 5 months.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stock-based compensation recorded related to options granted to employees and non-employees and employee stock purchase plan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FF0FC"/>
          </w:tcPr>
          <w:p>
            <w:pPr>
              <w:spacing w:after="0"/>
              <w:rPr>
                <w:sz w:val="19"/>
                <w:szCs w:val="19"/>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Borders>
              <w:bottom w:val="single" w:sz="8" w:color="CFF0FC"/>
            </w:tcBorders>
          </w:tcPr>
          <w:p>
            <w:pPr>
              <w:spacing w:after="0"/>
              <w:rPr>
                <w:sz w:val="19"/>
                <w:szCs w:val="19"/>
                <w:color w:val="auto"/>
              </w:rPr>
            </w:pPr>
          </w:p>
        </w:tc>
      </w:tr>
      <w:tr>
        <w:trPr>
          <w:trHeight w:val="223"/>
        </w:trPr>
        <w:tc>
          <w:tcPr>
            <w:tcW w:w="6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19,100</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Stock-based compensation expense for employees was $18.9 million, $16.7 million and $11.0 million for the years ended December 31, 2019, 2018 and 2017, respectively.</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Stock-based compensation expense for non-employees was $0.2 million, $0.2 million and $0.3 million for the years ended December 31, 2019, 2018 and 2017, respectively.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estimated the fair value of employee stock options and ESPP using the Black-Scholes valuation model based on the date of grant with the following assumptions: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ESPP</w:t>
            </w:r>
          </w:p>
        </w:tc>
        <w:tc>
          <w:tcPr>
            <w:tcW w:w="1440" w:type="dxa"/>
            <w:vAlign w:val="bottom"/>
            <w:tcBorders>
              <w:bottom w:val="single" w:sz="8" w:color="auto"/>
            </w:tcBorders>
          </w:tcPr>
          <w:p>
            <w:pPr>
              <w:spacing w:after="0"/>
              <w:rPr>
                <w:sz w:val="14"/>
                <w:szCs w:val="14"/>
                <w:color w:val="auto"/>
              </w:rPr>
            </w:pPr>
          </w:p>
        </w:tc>
      </w:tr>
      <w:tr>
        <w:trPr>
          <w:trHeight w:val="156"/>
        </w:trPr>
        <w:tc>
          <w:tcPr>
            <w:tcW w:w="20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Year Ended December 31,</w:t>
            </w:r>
          </w:p>
        </w:tc>
        <w:tc>
          <w:tcPr>
            <w:tcW w:w="1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93"/>
              </w:rPr>
              <w:t>Year Ended December 31,</w:t>
            </w:r>
          </w:p>
        </w:tc>
        <w:tc>
          <w:tcPr>
            <w:tcW w:w="1440" w:type="dxa"/>
            <w:vAlign w:val="bottom"/>
            <w:tcBorders>
              <w:bottom w:val="single" w:sz="8" w:color="auto"/>
            </w:tcBorders>
          </w:tcPr>
          <w:p>
            <w:pPr>
              <w:spacing w:after="0"/>
              <w:rPr>
                <w:sz w:val="13"/>
                <w:szCs w:val="13"/>
                <w:color w:val="auto"/>
              </w:rPr>
            </w:pPr>
          </w:p>
        </w:tc>
      </w:tr>
      <w:tr>
        <w:trPr>
          <w:trHeight w:val="156"/>
        </w:trPr>
        <w:tc>
          <w:tcPr>
            <w:tcW w:w="2020" w:type="dxa"/>
            <w:vAlign w:val="bottom"/>
          </w:tcPr>
          <w:p>
            <w:pPr>
              <w:spacing w:after="0"/>
              <w:rPr>
                <w:sz w:val="13"/>
                <w:szCs w:val="13"/>
                <w:color w:val="auto"/>
              </w:rPr>
            </w:pPr>
          </w:p>
        </w:tc>
        <w:tc>
          <w:tcPr>
            <w:tcW w:w="1480" w:type="dxa"/>
            <w:vAlign w:val="bottom"/>
            <w:gridSpan w:val="2"/>
          </w:tcPr>
          <w:p>
            <w:pPr>
              <w:jc w:val="right"/>
              <w:ind w:right="510"/>
              <w:spacing w:after="0" w:line="155" w:lineRule="exact"/>
              <w:rPr>
                <w:sz w:val="20"/>
                <w:szCs w:val="20"/>
                <w:color w:val="auto"/>
              </w:rPr>
            </w:pPr>
            <w:r>
              <w:rPr>
                <w:rFonts w:ascii="Arial" w:cs="Arial" w:eastAsia="Arial" w:hAnsi="Arial"/>
                <w:sz w:val="14"/>
                <w:szCs w:val="14"/>
                <w:b w:val="1"/>
                <w:bCs w:val="1"/>
                <w:color w:val="auto"/>
              </w:rPr>
              <w:t>2019</w:t>
            </w:r>
          </w:p>
        </w:tc>
        <w:tc>
          <w:tcPr>
            <w:tcW w:w="1620" w:type="dxa"/>
            <w:vAlign w:val="bottom"/>
            <w:gridSpan w:val="2"/>
          </w:tcPr>
          <w:p>
            <w:pPr>
              <w:jc w:val="center"/>
              <w:ind w:left="19"/>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1580" w:type="dxa"/>
            <w:vAlign w:val="bottom"/>
            <w:gridSpan w:val="2"/>
          </w:tcPr>
          <w:p>
            <w:pPr>
              <w:jc w:val="center"/>
              <w:ind w:left="19"/>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r>
      <w:tr>
        <w:trPr>
          <w:trHeight w:val="22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- 68.6%</w:t>
            </w: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65.6%-69.3%</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69.1%-72.4%</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60.81%-71.89%</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46.4%-70.5%</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52.3%-63.8%</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ind w:left="20"/>
              <w:spacing w:after="0"/>
              <w:rPr>
                <w:sz w:val="20"/>
                <w:szCs w:val="20"/>
                <w:color w:val="auto"/>
              </w:rPr>
            </w:pPr>
            <w:r>
              <w:rPr>
                <w:rFonts w:ascii="Arial" w:cs="Arial" w:eastAsia="Arial" w:hAnsi="Arial"/>
                <w:sz w:val="18"/>
                <w:szCs w:val="18"/>
                <w:color w:val="auto"/>
              </w:rPr>
              <w:t>- 2.5%</w:t>
            </w:r>
          </w:p>
        </w:tc>
        <w:tc>
          <w:tcPr>
            <w:tcW w:w="1620" w:type="dxa"/>
            <w:vAlign w:val="bottom"/>
            <w:gridSpan w:val="2"/>
          </w:tcPr>
          <w:p>
            <w:pPr>
              <w:jc w:val="center"/>
              <w:ind w:left="19"/>
              <w:spacing w:after="0"/>
              <w:rPr>
                <w:sz w:val="20"/>
                <w:szCs w:val="20"/>
                <w:color w:val="auto"/>
              </w:rPr>
            </w:pPr>
            <w:r>
              <w:rPr>
                <w:rFonts w:ascii="Arial" w:cs="Arial" w:eastAsia="Arial" w:hAnsi="Arial"/>
                <w:sz w:val="18"/>
                <w:szCs w:val="18"/>
                <w:color w:val="auto"/>
                <w:w w:val="90"/>
              </w:rPr>
              <w:t>2.5%-3.0%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1.7%-2.2%</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1.62%-2.35%</w:t>
            </w:r>
          </w:p>
        </w:tc>
        <w:tc>
          <w:tcPr>
            <w:tcW w:w="1580" w:type="dxa"/>
            <w:vAlign w:val="bottom"/>
            <w:gridSpan w:val="2"/>
          </w:tcPr>
          <w:p>
            <w:pPr>
              <w:jc w:val="center"/>
              <w:ind w:left="19"/>
              <w:spacing w:after="0"/>
              <w:rPr>
                <w:sz w:val="20"/>
                <w:szCs w:val="20"/>
                <w:color w:val="auto"/>
              </w:rPr>
            </w:pPr>
            <w:r>
              <w:rPr>
                <w:rFonts w:ascii="Arial" w:cs="Arial" w:eastAsia="Arial" w:hAnsi="Arial"/>
                <w:sz w:val="18"/>
                <w:szCs w:val="18"/>
                <w:color w:val="auto"/>
                <w:w w:val="90"/>
              </w:rPr>
              <w:t>2.1%-2.6%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1.1%-1.5%</w:t>
            </w: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7"/>
              </w:rPr>
              <w:t>— %</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7"/>
              </w:rPr>
              <w:t>— %</w:t>
            </w:r>
          </w:p>
        </w:tc>
        <w:tc>
          <w:tcPr>
            <w:tcW w:w="15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7"/>
              </w:rPr>
              <w:t>— %</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 %</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(in years)</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800" w:type="dxa"/>
            <w:vAlign w:val="bottom"/>
          </w:tcPr>
          <w:p>
            <w:pPr>
              <w:ind w:left="20"/>
              <w:spacing w:after="0"/>
              <w:rPr>
                <w:sz w:val="20"/>
                <w:szCs w:val="20"/>
                <w:color w:val="auto"/>
              </w:rPr>
            </w:pPr>
            <w:r>
              <w:rPr>
                <w:rFonts w:ascii="Arial" w:cs="Arial" w:eastAsia="Arial" w:hAnsi="Arial"/>
                <w:sz w:val="18"/>
                <w:szCs w:val="18"/>
                <w:color w:val="auto"/>
              </w:rPr>
              <w:t>- 5.0</w:t>
            </w:r>
          </w:p>
        </w:tc>
        <w:tc>
          <w:tcPr>
            <w:tcW w:w="1620" w:type="dxa"/>
            <w:vAlign w:val="bottom"/>
            <w:gridSpan w:val="2"/>
          </w:tcPr>
          <w:p>
            <w:pPr>
              <w:jc w:val="center"/>
              <w:ind w:left="19"/>
              <w:spacing w:after="0"/>
              <w:rPr>
                <w:sz w:val="20"/>
                <w:szCs w:val="20"/>
                <w:color w:val="auto"/>
              </w:rPr>
            </w:pPr>
            <w:r>
              <w:rPr>
                <w:rFonts w:ascii="Arial" w:cs="Arial" w:eastAsia="Arial" w:hAnsi="Arial"/>
                <w:sz w:val="18"/>
                <w:szCs w:val="18"/>
                <w:color w:val="auto"/>
                <w:w w:val="92"/>
              </w:rPr>
              <w:t>4.7-4.9</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4.9-5.3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0.5</w:t>
            </w:r>
          </w:p>
        </w:tc>
        <w:tc>
          <w:tcPr>
            <w:tcW w:w="1580" w:type="dxa"/>
            <w:vAlign w:val="bottom"/>
            <w:gridSpan w:val="2"/>
          </w:tcPr>
          <w:p>
            <w:pPr>
              <w:jc w:val="center"/>
              <w:ind w:left="19"/>
              <w:spacing w:after="0"/>
              <w:rPr>
                <w:sz w:val="20"/>
                <w:szCs w:val="20"/>
                <w:color w:val="auto"/>
              </w:rPr>
            </w:pPr>
            <w:r>
              <w:rPr>
                <w:rFonts w:ascii="Arial" w:cs="Arial" w:eastAsia="Arial" w:hAnsi="Arial"/>
                <w:sz w:val="18"/>
                <w:szCs w:val="18"/>
                <w:color w:val="auto"/>
                <w:w w:val="95"/>
              </w:rPr>
              <w:t>0.5</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0.5</w:t>
            </w:r>
          </w:p>
        </w:tc>
      </w:tr>
    </w:tbl>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of stock options represents the period that the stock options are expected to remain outstanding and is based on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terms, exercise term and contractual lives of the options. The expected term of the ESPP shares is equal to the six-month look-back period.</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the Company’s stock options was derived from the average historical volatilities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 Volatility for ESPP shares is equal to the Company’s historical volatility over a six-month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 options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plans to pay any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derives its income only from the United States. The components of the provision for (benefit from) income taxes are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5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14,302</w:t>
            </w:r>
          </w:p>
        </w:tc>
        <w:tc>
          <w:tcPr>
            <w:tcW w:w="200" w:type="dxa"/>
            <w:vAlign w:val="bottom"/>
          </w:tcPr>
          <w:p>
            <w:pPr>
              <w:spacing w:after="0"/>
              <w:rPr>
                <w:sz w:val="19"/>
                <w:szCs w:val="19"/>
                <w:color w:val="auto"/>
              </w:rPr>
            </w:pP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6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Total current</w:t>
            </w:r>
          </w:p>
        </w:tc>
        <w:tc>
          <w:tcPr>
            <w:tcW w:w="16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6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Federal</w:t>
            </w: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6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164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Provision for (benefit from) income taxes</w:t>
            </w:r>
          </w:p>
        </w:tc>
        <w:tc>
          <w:tcPr>
            <w:tcW w:w="16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(427)</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14,303</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9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U.S. federal taxes at statutory rate</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State tax, net of federal benefit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Tax attributes subject to 382 limitation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deferreds due to rate change</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Return to provision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types of temporary differences that give rise to significant portions of the Company’s deferred income tax liabilities are set out below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Intangible assets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Accruals and deferred rent</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gross deferred income tax assets</w:t>
            </w:r>
          </w:p>
        </w:tc>
        <w:tc>
          <w:tcPr>
            <w:tcW w:w="20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115,353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87,603</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(109,174)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(86,466)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(50,791)</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Deferred tax assets, net of valuation allowance</w:t>
            </w:r>
          </w:p>
        </w:tc>
        <w:tc>
          <w:tcPr>
            <w:tcW w:w="20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Fixed assets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(5,330)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Intangible assets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Deferred tax liabilities</w:t>
            </w:r>
          </w:p>
        </w:tc>
        <w:tc>
          <w:tcPr>
            <w:tcW w:w="20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740"/>
              <w:spacing w:after="0"/>
              <w:rPr>
                <w:sz w:val="20"/>
                <w:szCs w:val="20"/>
                <w:color w:val="auto"/>
              </w:rPr>
            </w:pPr>
            <w:r>
              <w:rPr>
                <w:rFonts w:ascii="Arial" w:cs="Arial" w:eastAsia="Arial" w:hAnsi="Arial"/>
                <w:sz w:val="18"/>
                <w:szCs w:val="18"/>
                <w:color w:val="auto"/>
              </w:rPr>
              <w:t>Net deferred income tax liabilities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vMerge w:val="restart"/>
          </w:tcPr>
          <w:p>
            <w:pPr>
              <w:jc w:val="right"/>
              <w:ind w:right="850"/>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ind w:right="20"/>
        <w:spacing w:after="0" w:line="257" w:lineRule="auto"/>
        <w:rPr>
          <w:sz w:val="20"/>
          <w:szCs w:val="20"/>
          <w:color w:val="auto"/>
        </w:rPr>
      </w:pPr>
      <w:r>
        <w:rPr>
          <w:rFonts w:ascii="Arial" w:cs="Arial" w:eastAsia="Arial" w:hAnsi="Arial"/>
          <w:sz w:val="18"/>
          <w:szCs w:val="18"/>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2019, 2018 and 2017 was an increase of $22.7 million, $35.7 million and $4.7 million, respectively.</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had net operating loss carryforwards for federal and state income tax purposes of approximately $177.5 million and $24.2 million, respectively, as of December 31, 2019, available to reduce future taxable income. Of the federal net operating loss carryforwards, $65.6 million will begin to expire in 2034, if not utilized and $111.9 million will carryforward indefinitely. The state net operating loss carryforwards will begin to expire in 2032, if not utilized.</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also has federal and state research and development tax credits carryforwards of $9.3 million and $7.1 million, respectively, as of December 31, 2019 available to reduce future income taxes. The federal research and development tax credits will begin to expire in 2031 if not utilized. The state research and development tax credits have no expiration date.</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The Company has performed an IRC Section 382 analysis and determined there was an ownership change in 2017 that resulted in 382 limitations.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Accordingly, none of the tax attributes have been reduced but limited the full use in 2018. The Company has determined that, while an ownership change has occurred, the applicable limits would not impair the value or anticipated use of the Company’s federal and state net operating losses. Although realization is not assured, management believes it is more likely than not that any limitation under IRC Section 382 will not impair the realizability of the deferred income tax assets related to federal and state net operating loss carryforwards. The Company reviewed its stock ownership for the year ended December 31, 2019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8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The Company had approximately $5.2 million and $3.8 million of unrecognized tax benefits as of December 31, 2019 and 2018, respectively, and approximately $0.9 million and $1.0 million, respectively, would affect the Company’s effective tax rate if recognized.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unrecognized tax benefit amount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3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2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20"/>
                <w:szCs w:val="20"/>
                <w:color w:val="auto"/>
              </w:rPr>
            </w:pPr>
          </w:p>
        </w:tc>
      </w:tr>
      <w:tr>
        <w:trPr>
          <w:trHeight w:val="243"/>
        </w:trPr>
        <w:tc>
          <w:tcPr>
            <w:tcW w:w="5540" w:type="dxa"/>
            <w:vAlign w:val="bottom"/>
          </w:tcPr>
          <w:p>
            <w:pPr>
              <w:ind w:left="260"/>
              <w:spacing w:after="0"/>
              <w:rPr>
                <w:sz w:val="20"/>
                <w:szCs w:val="20"/>
                <w:color w:val="auto"/>
              </w:rPr>
            </w:pPr>
            <w:r>
              <w:rPr>
                <w:rFonts w:ascii="Arial" w:cs="Arial" w:eastAsia="Arial" w:hAnsi="Arial"/>
                <w:sz w:val="18"/>
                <w:szCs w:val="18"/>
                <w:color w:val="auto"/>
              </w:rPr>
              <w:t>Additions based on tax positions related to current year</w:t>
            </w:r>
          </w:p>
        </w:tc>
        <w:tc>
          <w:tcPr>
            <w:tcW w:w="1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1,403</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r>
      <w:tr>
        <w:trPr>
          <w:trHeight w:val="243"/>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 based on tax positions related to prior years</w:t>
            </w:r>
          </w:p>
        </w:tc>
        <w:tc>
          <w:tcPr>
            <w:tcW w:w="1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1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Interest and penalties have not been accrued for 2019, 2018 and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files income tax returns in the United States, including California state jurisdiction. The tax years 2010 to 2018 remains open to U.S. federal and state examination to the extent of the utilization of net operating loss and credit carryovers. As of December 31, 2019, the Company is under examination by the State of California.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2019, 2018 and 2017, the Company made contributions to the plan of $0.8 million, $0.6 million and $0.3 million,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Supplementary Data – Quarterly Financial Data (Unaudited)</w:t>
      </w:r>
    </w:p>
    <w:p>
      <w:pPr>
        <w:spacing w:after="0" w:line="1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represents certain unaudited financial information for each of the quarters in the twelve-month periods ended December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 2019</w:t>
            </w:r>
          </w:p>
        </w:tc>
        <w:tc>
          <w:tcPr>
            <w:tcW w:w="1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w w:val="94"/>
              </w:rPr>
              <w:t>March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8,279</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(35,455)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(28,960)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30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446"/>
        </w:trPr>
        <w:tc>
          <w:tcPr>
            <w:tcW w:w="4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 2018</w:t>
            </w:r>
          </w:p>
        </w:tc>
        <w:tc>
          <w:tcPr>
            <w:tcW w:w="1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w w:val="94"/>
              </w:rPr>
              <w:t>March 31, 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(32,233)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(23,431)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30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(0.72)</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February 2020, Bristol-Myers Squibb initiated a randomized Phase 2 cohort expansion in its Phase 1/2a trial of the anti-CTLA-4 Probody BMS-986249 and triggered a $10.0 million milestone payment to the Company pursuant to the terms of the BMS Agreement.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February 2020, the Company initiated a first dosing of a patient in the CX-2009 Phase 2 clinical trial and triggered a $3.0 million milestone payment to ImmunoGen pursuant to the ImmunoGen Research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6" w:name="page127"/>
    <w:bookmarkEnd w:id="126"/>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has evaluated the effectiveness of our disclosure controls and procedures as of December 31, 2019, the end of the period covered by this Annual Report on Form 10-K.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upon such evaluation, our Principal Executive Officer and Principal Financial Officer have concluded that our disclosure controls and procedures were effective at the reasonable assurance level as of such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Our management, with the participation of our principal executive officer and principal financial officer,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management concluded that our internal control over financial reporting was effective as of December 31, 2019.</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also been audited by Ernst &amp; Young LLP, an independent registered public accounting firm, as stated in its report included in this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our fiscal quarter ended December 31, 2019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(the “Agent”).</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Subject to the terms and conditions of the Sales Agreement, the Agent has agreed to use its commercially reasonable efforts, consistent with its normal trading and sales practices and applicable law and regulations, to sell all of the shares of our common stock so designated by us as agent in accordance with an instruction from us. The sales, if any, of shares of our common stock under the Sales Agreement, as amended, will be made by any method permitted that is deemed an “at the market offering” as defined in Rule 415(a)(4) under the Securities Act, or, with our prior consent, in negotiated transactions. The Sales Agreement, as amended, provides that the commission payable to the Agent for sales of shares of our common stock with respect to which the Agent acts as sales agent shall be 3.0% of the gross sales price for such shares of our common stock sold pursuant to the Sales Agreement. The Sales Agreement contains customary representations and warranties of the parties and indemnification and contribution provisions under which we and the Agent have agreed to indemnify each other against certain liabilities, including liabilities under the Securities Act of 1933, as amended (the “Securities Act”). We and the Agent have the right, by giving written notice as specified in the Sales Agreement to terminate the Sales Agreement.</w:t>
      </w:r>
    </w:p>
    <w:p>
      <w:pPr>
        <w:spacing w:after="0" w:line="5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offering has been registered under the Securities Act pursuant to our shelf registration statement on Form S-3, as amended (No. 333-228203), as supplemented by the Prospectus Supplement dated February 27, 2020 relating to the sale of shares of our common stock.</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description of the Sales Agreement is not complete and is qualified in its entirety by reference to the full text of such agreement, a copy of which was filed hereto as Exhibit 1.1 and is incorporated by reference herein.</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copy of the opinion of Latham &amp; Watkins LLP relating to the validity of the securities to be issued pursuant to the Sales Agreement is filed hereto as Exhibit 5.1.</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661" w:right="379" w:bottom="1440" w:gutter="0" w:footer="0" w:header="0"/>
        </w:sectPr>
      </w:pPr>
    </w:p>
    <w:bookmarkStart w:id="128" w:name="page129"/>
    <w:bookmarkEnd w:id="128"/>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www.cytomx.com.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statements required by Item 15(a) are filed as part of this Annual Report on Form 10-K under Item 8 “Financial Statements and Supplementary Data.”</w:t>
      </w:r>
    </w:p>
    <w:p>
      <w:pPr>
        <w:spacing w:after="0" w:line="62" w:lineRule="exact"/>
        <w:rPr>
          <w:sz w:val="20"/>
          <w:szCs w:val="20"/>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62" w:lineRule="exact"/>
        <w:rPr>
          <w:sz w:val="20"/>
          <w:szCs w:val="20"/>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Incorporated by Reference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1"/>
        </w:trPr>
        <w:tc>
          <w:tcPr>
            <w:tcW w:w="1000" w:type="dxa"/>
            <w:vAlign w:val="bottom"/>
            <w:gridSpan w:val="2"/>
            <w:vMerge w:val="continue"/>
          </w:tcPr>
          <w:p>
            <w:pPr>
              <w:spacing w:after="0"/>
              <w:rPr>
                <w:sz w:val="9"/>
                <w:szCs w:val="9"/>
                <w:color w:val="auto"/>
              </w:rPr>
            </w:pPr>
          </w:p>
        </w:tc>
        <w:tc>
          <w:tcPr>
            <w:tcW w:w="556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Exhibit Description</w:t>
            </w:r>
          </w:p>
        </w:tc>
        <w:tc>
          <w:tcPr>
            <w:tcW w:w="210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Number</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56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1.1</w:t>
            </w:r>
          </w:p>
        </w:tc>
        <w:tc>
          <w:tcPr>
            <w:tcW w:w="62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36">
              <w:r>
                <w:rPr>
                  <w:rFonts w:ascii="Arial" w:cs="Arial" w:eastAsia="Arial" w:hAnsi="Arial"/>
                  <w:sz w:val="18"/>
                  <w:szCs w:val="18"/>
                  <w:color w:val="0000EE"/>
                  <w:w w:val="90"/>
                </w:rPr>
                <w:t>Open Market Sale Agreement, dated as of February 27, 2020, by and between CytomX</w:t>
              </w:r>
            </w:hyperlink>
          </w:p>
        </w:tc>
        <w:tc>
          <w:tcPr>
            <w:tcW w:w="3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Therapeutics, Inc. and Jefferies LLC.</w:t>
              </w:r>
            </w:hyperlink>
          </w:p>
        </w:tc>
        <w:tc>
          <w:tcPr>
            <w:tcW w:w="3960" w:type="dxa"/>
            <w:vAlign w:val="bottom"/>
            <w:gridSpan w:val="14"/>
          </w:tcPr>
          <w:p>
            <w:pPr>
              <w:spacing w:after="0"/>
              <w:rPr>
                <w:sz w:val="17"/>
                <w:szCs w:val="17"/>
                <w:color w:val="auto"/>
              </w:rPr>
            </w:pPr>
          </w:p>
        </w:tc>
      </w:tr>
      <w:tr>
        <w:trPr>
          <w:trHeight w:val="412"/>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3.1</w:t>
            </w:r>
          </w:p>
        </w:tc>
        <w:tc>
          <w:tcPr>
            <w:tcW w:w="3740" w:type="dxa"/>
            <w:vAlign w:val="bottom"/>
            <w:tcBorders>
              <w:bottom w:val="single" w:sz="8" w:color="0000EE"/>
            </w:tcBorders>
            <w:gridSpan w:val="10"/>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Amended and Restated Certificate of Incorporation.</w:t>
              </w:r>
            </w:hyperlink>
          </w:p>
        </w:tc>
        <w:tc>
          <w:tcPr>
            <w:tcW w:w="2900" w:type="dxa"/>
            <w:vAlign w:val="bottom"/>
            <w:gridSpan w:val="10"/>
          </w:tcPr>
          <w:p>
            <w:pPr>
              <w:spacing w:after="0"/>
              <w:rPr>
                <w:sz w:val="24"/>
                <w:szCs w:val="24"/>
                <w:color w:val="auto"/>
              </w:rPr>
            </w:pPr>
          </w:p>
        </w:tc>
      </w:tr>
      <w:tr>
        <w:trPr>
          <w:trHeight w:val="412"/>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3.2</w:t>
            </w:r>
          </w:p>
        </w:tc>
        <w:tc>
          <w:tcPr>
            <w:tcW w:w="2300" w:type="dxa"/>
            <w:vAlign w:val="bottom"/>
            <w:tcBorders>
              <w:bottom w:val="single" w:sz="8" w:color="0000EE"/>
            </w:tcBorders>
            <w:gridSpan w:val="3"/>
          </w:tcPr>
          <w:p>
            <w:pPr>
              <w:spacing w:after="0"/>
              <w:rPr>
                <w:rFonts w:ascii="Arial" w:cs="Arial" w:eastAsia="Arial" w:hAnsi="Arial"/>
                <w:sz w:val="18"/>
                <w:szCs w:val="18"/>
                <w:color w:val="0000EE"/>
                <w:w w:val="88"/>
              </w:rPr>
            </w:pPr>
            <w:hyperlink r:id="rId160">
              <w:r>
                <w:rPr>
                  <w:rFonts w:ascii="Arial" w:cs="Arial" w:eastAsia="Arial" w:hAnsi="Arial"/>
                  <w:sz w:val="18"/>
                  <w:szCs w:val="18"/>
                  <w:color w:val="0000EE"/>
                  <w:w w:val="88"/>
                </w:rPr>
                <w:t>Amended and Restated Bylaws.</w:t>
              </w:r>
            </w:hyperlink>
          </w:p>
        </w:tc>
        <w:tc>
          <w:tcPr>
            <w:tcW w:w="4340" w:type="dxa"/>
            <w:vAlign w:val="bottom"/>
            <w:gridSpan w:val="17"/>
          </w:tcPr>
          <w:p>
            <w:pPr>
              <w:spacing w:after="0"/>
              <w:rPr>
                <w:sz w:val="24"/>
                <w:szCs w:val="24"/>
                <w:color w:val="auto"/>
              </w:rPr>
            </w:pPr>
          </w:p>
        </w:tc>
      </w:tr>
      <w:tr>
        <w:trPr>
          <w:trHeight w:val="453"/>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4.1</w:t>
            </w:r>
          </w:p>
        </w:tc>
        <w:tc>
          <w:tcPr>
            <w:tcW w:w="6640" w:type="dxa"/>
            <w:vAlign w:val="bottom"/>
            <w:gridSpan w:val="20"/>
          </w:tcPr>
          <w:p>
            <w:pPr>
              <w:spacing w:after="0"/>
              <w:rPr>
                <w:sz w:val="20"/>
                <w:szCs w:val="20"/>
                <w:color w:val="auto"/>
              </w:rPr>
            </w:pPr>
            <w:r>
              <w:rPr>
                <w:rFonts w:ascii="Arial" w:cs="Arial" w:eastAsia="Arial" w:hAnsi="Arial"/>
                <w:sz w:val="18"/>
                <w:szCs w:val="18"/>
                <w:color w:val="auto"/>
              </w:rPr>
              <w:t>Reference is made to exhibits 3.1 through 3.2.</w:t>
            </w:r>
          </w:p>
        </w:tc>
      </w:tr>
      <w:tr>
        <w:trPr>
          <w:trHeight w:val="392"/>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4.2</w:t>
            </w:r>
          </w:p>
        </w:tc>
        <w:tc>
          <w:tcPr>
            <w:tcW w:w="6640" w:type="dxa"/>
            <w:vAlign w:val="bottom"/>
            <w:gridSpan w:val="20"/>
          </w:tcPr>
          <w:p>
            <w:pPr>
              <w:spacing w:after="0"/>
              <w:rPr>
                <w:rFonts w:ascii="Arial" w:cs="Arial" w:eastAsia="Arial" w:hAnsi="Arial"/>
                <w:sz w:val="18"/>
                <w:szCs w:val="18"/>
                <w:color w:val="0000EE"/>
              </w:rPr>
            </w:pPr>
            <w:hyperlink r:id="rId161">
              <w:r>
                <w:rPr>
                  <w:rFonts w:ascii="Arial" w:cs="Arial" w:eastAsia="Arial" w:hAnsi="Arial"/>
                  <w:sz w:val="18"/>
                  <w:szCs w:val="18"/>
                  <w:color w:val="0000EE"/>
                </w:rPr>
                <w:t>Specimen Common Stock Certificate.</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4.3</w:t>
            </w:r>
          </w:p>
        </w:tc>
        <w:tc>
          <w:tcPr>
            <w:tcW w:w="6640" w:type="dxa"/>
            <w:vAlign w:val="bottom"/>
            <w:gridSpan w:val="20"/>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Registration Rights Agreement dated as of September 29, 2017 by and between CytomX</w:t>
              </w:r>
            </w:hyperlink>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Therapeutics, Inc. and Amgen, Inc.</w:t>
              </w:r>
            </w:hyperlink>
          </w:p>
        </w:tc>
        <w:tc>
          <w:tcPr>
            <w:tcW w:w="3840" w:type="dxa"/>
            <w:vAlign w:val="bottom"/>
            <w:tcBorders>
              <w:top w:val="single" w:sz="8" w:color="0000EE"/>
            </w:tcBorders>
            <w:gridSpan w:val="15"/>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4.4</w:t>
            </w:r>
          </w:p>
        </w:tc>
        <w:tc>
          <w:tcPr>
            <w:tcW w:w="6640" w:type="dxa"/>
            <w:vAlign w:val="bottom"/>
            <w:gridSpan w:val="20"/>
          </w:tcPr>
          <w:p>
            <w:pPr>
              <w:spacing w:after="0"/>
              <w:rPr>
                <w:rFonts w:ascii="Arial" w:cs="Arial" w:eastAsia="Arial" w:hAnsi="Arial"/>
                <w:sz w:val="18"/>
                <w:szCs w:val="18"/>
                <w:color w:val="0000EE"/>
                <w:w w:val="93"/>
              </w:rPr>
            </w:pPr>
            <w:hyperlink w:anchor="page179">
              <w:r>
                <w:rPr>
                  <w:rFonts w:ascii="Arial" w:cs="Arial" w:eastAsia="Arial" w:hAnsi="Arial"/>
                  <w:sz w:val="18"/>
                  <w:szCs w:val="18"/>
                  <w:color w:val="0000EE"/>
                  <w:w w:val="93"/>
                </w:rPr>
                <w:t>Description of Registrant’s Securities Registered Pursuant to Section 12 of the Securities</w:t>
              </w:r>
            </w:hyperlink>
          </w:p>
        </w:tc>
      </w:tr>
      <w:tr>
        <w:trPr>
          <w:trHeight w:val="196"/>
        </w:trPr>
        <w:tc>
          <w:tcPr>
            <w:tcW w:w="10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79">
              <w:r>
                <w:rPr>
                  <w:rFonts w:ascii="Arial" w:cs="Arial" w:eastAsia="Arial" w:hAnsi="Arial"/>
                  <w:sz w:val="18"/>
                  <w:szCs w:val="18"/>
                  <w:color w:val="0000EE"/>
                  <w:w w:val="90"/>
                </w:rPr>
                <w:t>Exchange Act of 1934.</w:t>
              </w:r>
            </w:hyperlink>
          </w:p>
        </w:tc>
        <w:tc>
          <w:tcPr>
            <w:tcW w:w="4720" w:type="dxa"/>
            <w:vAlign w:val="bottom"/>
            <w:tcBorders>
              <w:top w:val="single" w:sz="8" w:color="0000EE"/>
            </w:tcBorders>
            <w:gridSpan w:val="17"/>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000" w:type="dxa"/>
            <w:vAlign w:val="bottom"/>
          </w:tcPr>
          <w:p>
            <w:pPr>
              <w:jc w:val="right"/>
              <w:ind w:right="590"/>
              <w:spacing w:after="0"/>
              <w:rPr>
                <w:sz w:val="20"/>
                <w:szCs w:val="20"/>
                <w:color w:val="auto"/>
              </w:rPr>
            </w:pPr>
            <w:r>
              <w:rPr>
                <w:rFonts w:ascii="Arial" w:cs="Arial" w:eastAsia="Arial" w:hAnsi="Arial"/>
                <w:sz w:val="18"/>
                <w:szCs w:val="18"/>
                <w:color w:val="auto"/>
              </w:rPr>
              <w:t>5.1</w:t>
            </w:r>
          </w:p>
        </w:tc>
        <w:tc>
          <w:tcPr>
            <w:tcW w:w="25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84">
              <w:r>
                <w:rPr>
                  <w:rFonts w:ascii="Arial" w:cs="Arial" w:eastAsia="Arial" w:hAnsi="Arial"/>
                  <w:sz w:val="18"/>
                  <w:szCs w:val="18"/>
                  <w:color w:val="0000EE"/>
                  <w:w w:val="93"/>
                </w:rPr>
                <w:t>Opinion of Latham &amp; Watkins LLP.</w:t>
              </w:r>
            </w:hyperlink>
          </w:p>
        </w:tc>
        <w:tc>
          <w:tcPr>
            <w:tcW w:w="4060" w:type="dxa"/>
            <w:vAlign w:val="bottom"/>
            <w:gridSpan w:val="15"/>
          </w:tcPr>
          <w:p>
            <w:pPr>
              <w:spacing w:after="0"/>
              <w:rPr>
                <w:sz w:val="24"/>
                <w:szCs w:val="24"/>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89"/>
              </w:rPr>
              <w:t>10.1(a)#</w:t>
            </w:r>
          </w:p>
        </w:tc>
        <w:tc>
          <w:tcPr>
            <w:tcW w:w="5320" w:type="dxa"/>
            <w:vAlign w:val="bottom"/>
            <w:tcBorders>
              <w:bottom w:val="single" w:sz="8" w:color="0000EE"/>
            </w:tcBorders>
            <w:gridSpan w:val="15"/>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2010 Stock Incentive Plan adopted on September 21, 2010 (“2010 Plan”).</w:t>
              </w:r>
            </w:hyperlink>
          </w:p>
        </w:tc>
        <w:tc>
          <w:tcPr>
            <w:tcW w:w="1320" w:type="dxa"/>
            <w:vAlign w:val="bottom"/>
            <w:gridSpan w:val="5"/>
          </w:tcPr>
          <w:p>
            <w:pPr>
              <w:spacing w:after="0"/>
              <w:rPr>
                <w:sz w:val="24"/>
                <w:szCs w:val="24"/>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89"/>
              </w:rPr>
              <w:t>10.1(b)#</w:t>
            </w:r>
          </w:p>
        </w:tc>
        <w:tc>
          <w:tcPr>
            <w:tcW w:w="3960" w:type="dxa"/>
            <w:vAlign w:val="bottom"/>
            <w:tcBorders>
              <w:bottom w:val="single" w:sz="8" w:color="0000EE"/>
            </w:tcBorders>
            <w:gridSpan w:val="12"/>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Form of Stock Option Agreement under the 2010 Plan.</w:t>
              </w:r>
            </w:hyperlink>
          </w:p>
        </w:tc>
        <w:tc>
          <w:tcPr>
            <w:tcW w:w="2680" w:type="dxa"/>
            <w:vAlign w:val="bottom"/>
            <w:gridSpan w:val="8"/>
          </w:tcPr>
          <w:p>
            <w:pPr>
              <w:spacing w:after="0"/>
              <w:rPr>
                <w:sz w:val="24"/>
                <w:szCs w:val="24"/>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89"/>
              </w:rPr>
              <w:t>10.2(a)#</w:t>
            </w:r>
          </w:p>
        </w:tc>
        <w:tc>
          <w:tcPr>
            <w:tcW w:w="6640" w:type="dxa"/>
            <w:vAlign w:val="bottom"/>
            <w:gridSpan w:val="20"/>
          </w:tcPr>
          <w:p>
            <w:pPr>
              <w:spacing w:after="0"/>
              <w:rPr>
                <w:rFonts w:ascii="Arial" w:cs="Arial" w:eastAsia="Arial" w:hAnsi="Arial"/>
                <w:sz w:val="18"/>
                <w:szCs w:val="18"/>
                <w:color w:val="0000EE"/>
                <w:w w:val="98"/>
              </w:rPr>
            </w:pPr>
            <w:hyperlink r:id="rId165">
              <w:r>
                <w:rPr>
                  <w:rFonts w:ascii="Arial" w:cs="Arial" w:eastAsia="Arial" w:hAnsi="Arial"/>
                  <w:sz w:val="18"/>
                  <w:szCs w:val="18"/>
                  <w:color w:val="0000EE"/>
                  <w:w w:val="98"/>
                </w:rPr>
                <w:t>2011 Stock Incentive Plan, adopted on February 7, 2012, as amended (“2011 Plan”).</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0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89"/>
              </w:rPr>
              <w:t>10.2(b)#</w:t>
            </w:r>
          </w:p>
        </w:tc>
        <w:tc>
          <w:tcPr>
            <w:tcW w:w="6640" w:type="dxa"/>
            <w:vAlign w:val="bottom"/>
            <w:tcBorders>
              <w:bottom w:val="single" w:sz="8" w:color="0000EE"/>
            </w:tcBorders>
            <w:gridSpan w:val="20"/>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Form of Restricted Stock Award Agreement and Option Exercise Agreement under the 2011</w:t>
              </w:r>
            </w:hyperlink>
          </w:p>
        </w:tc>
      </w:tr>
      <w:tr>
        <w:trPr>
          <w:trHeight w:val="196"/>
        </w:trPr>
        <w:tc>
          <w:tcPr>
            <w:tcW w:w="10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66">
              <w:r>
                <w:rPr>
                  <w:rFonts w:ascii="Arial" w:cs="Arial" w:eastAsia="Arial" w:hAnsi="Arial"/>
                  <w:sz w:val="18"/>
                  <w:szCs w:val="18"/>
                  <w:color w:val="0000EE"/>
                  <w:w w:val="82"/>
                </w:rPr>
                <w:t>Plan.</w:t>
              </w:r>
            </w:hyperlink>
          </w:p>
        </w:tc>
        <w:tc>
          <w:tcPr>
            <w:tcW w:w="6280" w:type="dxa"/>
            <w:vAlign w:val="bottom"/>
            <w:gridSpan w:val="19"/>
          </w:tcPr>
          <w:p>
            <w:pPr>
              <w:spacing w:after="0"/>
              <w:rPr>
                <w:sz w:val="17"/>
                <w:szCs w:val="17"/>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89"/>
              </w:rPr>
              <w:t>10.3(a)#</w:t>
            </w:r>
          </w:p>
        </w:tc>
        <w:tc>
          <w:tcPr>
            <w:tcW w:w="3060" w:type="dxa"/>
            <w:vAlign w:val="bottom"/>
            <w:tcBorders>
              <w:bottom w:val="single" w:sz="8" w:color="0000EE"/>
            </w:tcBorders>
            <w:gridSpan w:val="8"/>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2015 Equity Incentive Plan (“2015 Plan”).</w:t>
              </w:r>
            </w:hyperlink>
          </w:p>
        </w:tc>
        <w:tc>
          <w:tcPr>
            <w:tcW w:w="3580" w:type="dxa"/>
            <w:vAlign w:val="bottom"/>
            <w:gridSpan w:val="12"/>
          </w:tcPr>
          <w:p>
            <w:pPr>
              <w:spacing w:after="0"/>
              <w:rPr>
                <w:sz w:val="24"/>
                <w:szCs w:val="24"/>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89"/>
              </w:rPr>
              <w:t>10.3(b)#</w:t>
            </w:r>
          </w:p>
        </w:tc>
        <w:tc>
          <w:tcPr>
            <w:tcW w:w="4280" w:type="dxa"/>
            <w:vAlign w:val="bottom"/>
            <w:tcBorders>
              <w:bottom w:val="single" w:sz="8" w:color="0000EE"/>
            </w:tcBorders>
            <w:gridSpan w:val="13"/>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Form of 2015 Plan Option Agreement under the 2015 Plan.</w:t>
              </w:r>
            </w:hyperlink>
          </w:p>
        </w:tc>
        <w:tc>
          <w:tcPr>
            <w:tcW w:w="2360" w:type="dxa"/>
            <w:vAlign w:val="bottom"/>
            <w:gridSpan w:val="7"/>
          </w:tcPr>
          <w:p>
            <w:pPr>
              <w:spacing w:after="0"/>
              <w:rPr>
                <w:sz w:val="24"/>
                <w:szCs w:val="24"/>
                <w:color w:val="auto"/>
              </w:rPr>
            </w:pPr>
          </w:p>
        </w:tc>
      </w:tr>
      <w:tr>
        <w:trPr>
          <w:trHeight w:val="412"/>
        </w:trPr>
        <w:tc>
          <w:tcPr>
            <w:tcW w:w="1000" w:type="dxa"/>
            <w:vAlign w:val="bottom"/>
          </w:tcPr>
          <w:p>
            <w:pPr>
              <w:jc w:val="right"/>
              <w:ind w:right="290"/>
              <w:spacing w:after="0"/>
              <w:rPr>
                <w:sz w:val="20"/>
                <w:szCs w:val="20"/>
                <w:color w:val="auto"/>
              </w:rPr>
            </w:pPr>
            <w:r>
              <w:rPr>
                <w:rFonts w:ascii="Arial" w:cs="Arial" w:eastAsia="Arial" w:hAnsi="Arial"/>
                <w:sz w:val="18"/>
                <w:szCs w:val="18"/>
                <w:color w:val="auto"/>
                <w:w w:val="90"/>
              </w:rPr>
              <w:t>10.3(c)#</w:t>
            </w:r>
          </w:p>
        </w:tc>
        <w:tc>
          <w:tcPr>
            <w:tcW w:w="3840" w:type="dxa"/>
            <w:vAlign w:val="bottom"/>
            <w:tcBorders>
              <w:bottom w:val="single" w:sz="8" w:color="0000EE"/>
            </w:tcBorders>
            <w:gridSpan w:val="11"/>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Form of 2015 Plan Early Exercise Option Agreement</w:t>
              </w:r>
            </w:hyperlink>
          </w:p>
        </w:tc>
        <w:tc>
          <w:tcPr>
            <w:tcW w:w="2800" w:type="dxa"/>
            <w:vAlign w:val="bottom"/>
            <w:gridSpan w:val="9"/>
          </w:tcPr>
          <w:p>
            <w:pPr>
              <w:spacing w:after="0"/>
              <w:rPr>
                <w:sz w:val="24"/>
                <w:szCs w:val="24"/>
                <w:color w:val="auto"/>
              </w:rPr>
            </w:pPr>
          </w:p>
        </w:tc>
      </w:tr>
      <w:tr>
        <w:trPr>
          <w:trHeight w:val="412"/>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88"/>
              </w:rPr>
              <w:t>10.4#</w:t>
            </w:r>
          </w:p>
        </w:tc>
        <w:tc>
          <w:tcPr>
            <w:tcW w:w="4700" w:type="dxa"/>
            <w:vAlign w:val="bottom"/>
            <w:tcBorders>
              <w:bottom w:val="single" w:sz="8" w:color="0000EE"/>
            </w:tcBorders>
            <w:gridSpan w:val="14"/>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2015 CytomX Therapeutics, Inc. Employee Stock Purchase Plan.</w:t>
              </w:r>
            </w:hyperlink>
          </w:p>
        </w:tc>
        <w:tc>
          <w:tcPr>
            <w:tcW w:w="1940" w:type="dxa"/>
            <w:vAlign w:val="bottom"/>
            <w:gridSpan w:val="6"/>
          </w:tcPr>
          <w:p>
            <w:pPr>
              <w:spacing w:after="0"/>
              <w:rPr>
                <w:sz w:val="24"/>
                <w:szCs w:val="24"/>
                <w:color w:val="auto"/>
              </w:rPr>
            </w:pPr>
          </w:p>
        </w:tc>
      </w:tr>
      <w:tr>
        <w:trPr>
          <w:trHeight w:val="412"/>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88"/>
              </w:rPr>
              <w:t>10.5#</w:t>
            </w:r>
          </w:p>
        </w:tc>
        <w:tc>
          <w:tcPr>
            <w:tcW w:w="6640" w:type="dxa"/>
            <w:vAlign w:val="bottom"/>
            <w:gridSpan w:val="20"/>
          </w:tcPr>
          <w:p>
            <w:pPr>
              <w:spacing w:after="0"/>
              <w:rPr>
                <w:rFonts w:ascii="Arial" w:cs="Arial" w:eastAsia="Arial" w:hAnsi="Arial"/>
                <w:sz w:val="18"/>
                <w:szCs w:val="18"/>
                <w:color w:val="0000EE"/>
                <w:w w:val="96"/>
              </w:rPr>
            </w:pPr>
            <w:hyperlink r:id="rId171">
              <w:r>
                <w:rPr>
                  <w:rFonts w:ascii="Arial" w:cs="Arial" w:eastAsia="Arial" w:hAnsi="Arial"/>
                  <w:sz w:val="18"/>
                  <w:szCs w:val="18"/>
                  <w:color w:val="0000EE"/>
                  <w:w w:val="96"/>
                </w:rPr>
                <w:t>Employment Offer Letter Agreement between CytomX Therapeutics, Inc. and Sean A.</w:t>
              </w:r>
            </w:hyperlink>
          </w:p>
        </w:tc>
      </w:tr>
      <w:tr>
        <w:trPr>
          <w:trHeight w:val="196"/>
        </w:trPr>
        <w:tc>
          <w:tcPr>
            <w:tcW w:w="1000" w:type="dxa"/>
            <w:vAlign w:val="bottom"/>
          </w:tcPr>
          <w:p>
            <w:pPr>
              <w:spacing w:after="0"/>
              <w:rPr>
                <w:sz w:val="17"/>
                <w:szCs w:val="17"/>
                <w:color w:val="auto"/>
              </w:rPr>
            </w:pPr>
          </w:p>
        </w:tc>
        <w:tc>
          <w:tcPr>
            <w:tcW w:w="6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McCarthy, D. Phil, dated as of December 15, 2010.</w:t>
              </w:r>
            </w:hyperlink>
          </w:p>
        </w:tc>
        <w:tc>
          <w:tcPr>
            <w:tcW w:w="400" w:type="dxa"/>
            <w:vAlign w:val="bottom"/>
            <w:gridSpan w:val="3"/>
          </w:tcPr>
          <w:p>
            <w:pPr>
              <w:spacing w:after="0"/>
              <w:rPr>
                <w:sz w:val="17"/>
                <w:szCs w:val="17"/>
                <w:color w:val="auto"/>
              </w:rPr>
            </w:pPr>
          </w:p>
        </w:tc>
      </w:tr>
      <w:tr>
        <w:trPr>
          <w:trHeight w:val="453"/>
        </w:trPr>
        <w:tc>
          <w:tcPr>
            <w:tcW w:w="1000" w:type="dxa"/>
            <w:vAlign w:val="bottom"/>
          </w:tcPr>
          <w:p>
            <w:pPr>
              <w:spacing w:after="0"/>
              <w:rPr>
                <w:sz w:val="24"/>
                <w:szCs w:val="24"/>
                <w:color w:val="auto"/>
              </w:rPr>
            </w:pPr>
          </w:p>
        </w:tc>
        <w:tc>
          <w:tcPr>
            <w:tcW w:w="3680" w:type="dxa"/>
            <w:vAlign w:val="bottom"/>
            <w:tcBorders>
              <w:top w:val="single" w:sz="8" w:color="0000EE"/>
            </w:tcBorders>
            <w:gridSpan w:val="9"/>
          </w:tcPr>
          <w:p>
            <w:pPr>
              <w:spacing w:after="0"/>
              <w:rPr>
                <w:sz w:val="24"/>
                <w:szCs w:val="2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8"/>
                <w:szCs w:val="18"/>
                <w:color w:val="auto"/>
              </w:rPr>
              <w:t>128</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10/19/2015</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5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10/19/2015</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864"/>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9/28/2015</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40"/>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11/7/2017</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40"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32"/>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40"/>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540"/>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10/6/2015</w:t>
            </w: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11/23/2015</w:t>
            </w: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32"/>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11/23/2015</w:t>
            </w: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9/28/2015</w:t>
            </w: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540"/>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2">
            <w:col w:w="7640" w:space="420"/>
            <w:col w:w="3360"/>
          </w:cols>
          <w:pgMar w:left="240" w:top="337" w:right="239" w:bottom="1440" w:gutter="0" w:footer="0" w:header="0"/>
          <w:type w:val="continuous"/>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Incorporated by Reference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1"/>
        </w:trPr>
        <w:tc>
          <w:tcPr>
            <w:tcW w:w="1000" w:type="dxa"/>
            <w:vAlign w:val="bottom"/>
            <w:gridSpan w:val="2"/>
            <w:vMerge w:val="continue"/>
          </w:tcPr>
          <w:p>
            <w:pPr>
              <w:spacing w:after="0"/>
              <w:rPr>
                <w:sz w:val="9"/>
                <w:szCs w:val="9"/>
                <w:color w:val="auto"/>
              </w:rPr>
            </w:pPr>
          </w:p>
        </w:tc>
        <w:tc>
          <w:tcPr>
            <w:tcW w:w="556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Exhibit Description</w:t>
            </w:r>
          </w:p>
        </w:tc>
        <w:tc>
          <w:tcPr>
            <w:tcW w:w="210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Number</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56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 w:lineRule="exact"/>
        <w:rPr>
          <w:sz w:val="20"/>
          <w:szCs w:val="20"/>
          <w:color w:val="auto"/>
        </w:rPr>
      </w:pPr>
    </w:p>
    <w:p>
      <w:pPr>
        <w:ind w:left="100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73">
        <w:r>
          <w:rPr>
            <w:rFonts w:ascii="Arial" w:cs="Arial" w:eastAsia="Arial" w:hAnsi="Arial"/>
            <w:sz w:val="18"/>
            <w:szCs w:val="18"/>
            <w:u w:val="single" w:color="auto"/>
            <w:color w:val="0000EE"/>
          </w:rPr>
          <w:t>Form of Indemnification Agreement by and between CytomX Therapeutics, Inc. and each of its</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directors and each of its executive officers.</w:t>
        </w:r>
      </w:hyperlink>
    </w:p>
    <w:p>
      <w:pPr>
        <w:spacing w:after="0" w:line="170" w:lineRule="exact"/>
        <w:rPr>
          <w:sz w:val="20"/>
          <w:szCs w:val="20"/>
          <w:color w:val="auto"/>
        </w:rPr>
      </w:pPr>
    </w:p>
    <w:p>
      <w:pPr>
        <w:ind w:left="1000" w:right="120" w:hanging="985"/>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74">
        <w:r>
          <w:rPr>
            <w:rFonts w:ascii="Arial" w:cs="Arial" w:eastAsia="Arial" w:hAnsi="Arial"/>
            <w:sz w:val="18"/>
            <w:szCs w:val="18"/>
            <w:u w:val="single" w:color="auto"/>
            <w:color w:val="0000EE"/>
          </w:rPr>
          <w:t>Research Collaboration Agreement dated as of January 8, 2014, by and between ImmunoGen,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Inc. and CytomX Therapeutics, Inc., as amended by the First Amendment to Research</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Collaboration Agreement effective as of April 3, 2015.</w:t>
        </w:r>
      </w:hyperlink>
    </w:p>
    <w:p>
      <w:pPr>
        <w:spacing w:after="0" w:line="181" w:lineRule="exact"/>
        <w:rPr>
          <w:rFonts w:ascii="Arial" w:cs="Arial" w:eastAsia="Arial" w:hAnsi="Arial"/>
          <w:sz w:val="18"/>
          <w:szCs w:val="18"/>
          <w:u w:val="single" w:color="auto"/>
          <w:color w:val="0000EE"/>
        </w:rPr>
      </w:pPr>
    </w:p>
    <w:p>
      <w:pPr>
        <w:ind w:left="1000" w:right="38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75">
        <w:r>
          <w:rPr>
            <w:rFonts w:ascii="Arial" w:cs="Arial" w:eastAsia="Arial" w:hAnsi="Arial"/>
            <w:sz w:val="18"/>
            <w:szCs w:val="18"/>
            <w:u w:val="single" w:color="auto"/>
            <w:color w:val="0000EE"/>
          </w:rPr>
          <w:t>Collaboration and License Agreement dated as of May 23, 2014, by and between CytomX</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Therapeutics, Inc. and Bristol-Myers Squibb Company.</w:t>
        </w:r>
      </w:hyperlink>
    </w:p>
    <w:p>
      <w:pPr>
        <w:spacing w:after="0" w:line="170" w:lineRule="exact"/>
        <w:rPr>
          <w:sz w:val="20"/>
          <w:szCs w:val="20"/>
          <w:color w:val="auto"/>
        </w:rPr>
      </w:pPr>
    </w:p>
    <w:p>
      <w:pPr>
        <w:ind w:left="1000" w:right="22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76">
        <w:r>
          <w:rPr>
            <w:rFonts w:ascii="Arial" w:cs="Arial" w:eastAsia="Arial" w:hAnsi="Arial"/>
            <w:sz w:val="18"/>
            <w:szCs w:val="18"/>
            <w:u w:val="single" w:color="auto"/>
            <w:color w:val="0000EE"/>
          </w:rPr>
          <w:t>Amendment to Extend Collaboration and License Agreement, dated March 17, 2017, by and</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between the Company and Bristol-Myers Squibb.</w:t>
        </w:r>
      </w:hyperlink>
    </w:p>
    <w:p>
      <w:pPr>
        <w:spacing w:after="0" w:line="170" w:lineRule="exact"/>
        <w:rPr>
          <w:sz w:val="20"/>
          <w:szCs w:val="20"/>
          <w:color w:val="auto"/>
        </w:rPr>
      </w:pPr>
    </w:p>
    <w:p>
      <w:pPr>
        <w:ind w:left="1000" w:right="42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77">
        <w:r>
          <w:rPr>
            <w:rFonts w:ascii="Arial" w:cs="Arial" w:eastAsia="Arial" w:hAnsi="Arial"/>
            <w:sz w:val="18"/>
            <w:szCs w:val="18"/>
            <w:u w:val="single" w:color="auto"/>
            <w:color w:val="0000EE"/>
          </w:rPr>
          <w:t>Co-Development and License Agreement, dated April 21, 2016, by and between CytomX</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Therapeutics, Inc. and AbbVie Ireland Unlimited Company.</w:t>
        </w:r>
      </w:hyperlink>
    </w:p>
    <w:p>
      <w:pPr>
        <w:spacing w:after="0" w:line="170" w:lineRule="exact"/>
        <w:rPr>
          <w:sz w:val="20"/>
          <w:szCs w:val="20"/>
          <w:color w:val="auto"/>
        </w:rPr>
      </w:pPr>
    </w:p>
    <w:p>
      <w:pPr>
        <w:ind w:left="1000" w:right="40" w:hanging="985"/>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78">
        <w:r>
          <w:rPr>
            <w:rFonts w:ascii="Arial" w:cs="Arial" w:eastAsia="Arial" w:hAnsi="Arial"/>
            <w:sz w:val="18"/>
            <w:szCs w:val="18"/>
            <w:u w:val="single" w:color="auto"/>
            <w:color w:val="0000EE"/>
          </w:rPr>
          <w:t>Exclusive License Agreement dated as of August 19, 2010, by and between The Regents of the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University of California and CytomX Therapeutics, Inc., as amended by Amendment No. 1 to</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Exclusive Agreement effective as of May 30, 2013 and Amendment No. 2 to Exclusive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Agreement effective as of November 8, 2013.</w:t>
        </w:r>
      </w:hyperlink>
    </w:p>
    <w:p>
      <w:pPr>
        <w:spacing w:after="0" w:line="187" w:lineRule="exact"/>
        <w:rPr>
          <w:rFonts w:ascii="Arial" w:cs="Arial" w:eastAsia="Arial" w:hAnsi="Arial"/>
          <w:sz w:val="18"/>
          <w:szCs w:val="18"/>
          <w:u w:val="single" w:color="auto"/>
          <w:color w:val="0000EE"/>
        </w:rPr>
      </w:pPr>
    </w:p>
    <w:p>
      <w:pPr>
        <w:ind w:left="1000" w:right="560" w:hanging="985"/>
        <w:spacing w:after="0" w:line="342"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79">
        <w:r>
          <w:rPr>
            <w:rFonts w:ascii="Arial" w:cs="Arial" w:eastAsia="Arial" w:hAnsi="Arial"/>
            <w:sz w:val="16"/>
            <w:szCs w:val="16"/>
            <w:u w:val="single" w:color="auto"/>
            <w:color w:val="0000EE"/>
          </w:rPr>
          <w:t>Amendment No.3 to Exclusive License Agreement effective as of April 2, 2019, by and</w:t>
        </w:r>
      </w:hyperlink>
      <w:r>
        <w:rPr>
          <w:rFonts w:ascii="Arial" w:cs="Arial" w:eastAsia="Arial" w:hAnsi="Arial"/>
          <w:sz w:val="16"/>
          <w:szCs w:val="16"/>
          <w:u w:val="single" w:color="auto"/>
          <w:color w:val="0000EE"/>
        </w:rPr>
        <w:t xml:space="preserve"> </w:t>
      </w:r>
      <w:hyperlink r:id="rId179">
        <w:r>
          <w:rPr>
            <w:rFonts w:ascii="Arial" w:cs="Arial" w:eastAsia="Arial" w:hAnsi="Arial"/>
            <w:sz w:val="16"/>
            <w:szCs w:val="16"/>
            <w:u w:val="single" w:color="auto"/>
            <w:color w:val="0000EE"/>
          </w:rPr>
          <w:t>between CytomX Therapeutics, Inc. and The Regents of the University of California.</w:t>
        </w:r>
      </w:hyperlink>
    </w:p>
    <w:p>
      <w:pPr>
        <w:spacing w:after="0" w:line="124" w:lineRule="exact"/>
        <w:rPr>
          <w:sz w:val="20"/>
          <w:szCs w:val="20"/>
          <w:color w:val="auto"/>
        </w:rPr>
      </w:pPr>
    </w:p>
    <w:p>
      <w:pPr>
        <w:ind w:left="1000" w:right="4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80">
        <w:r>
          <w:rPr>
            <w:rFonts w:ascii="Arial" w:cs="Arial" w:eastAsia="Arial" w:hAnsi="Arial"/>
            <w:sz w:val="18"/>
            <w:szCs w:val="18"/>
            <w:u w:val="single" w:color="auto"/>
            <w:color w:val="0000EE"/>
          </w:rPr>
          <w:t>Collaboration and License Agreement by and between CytomX Therapeutics, Inc. and Amgen,</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Inc. dated as of September 29, 2017.</w:t>
        </w:r>
      </w:hyperlink>
    </w:p>
    <w:p>
      <w:pPr>
        <w:spacing w:after="0" w:line="170" w:lineRule="exact"/>
        <w:rPr>
          <w:sz w:val="20"/>
          <w:szCs w:val="20"/>
          <w:color w:val="auto"/>
        </w:rPr>
      </w:pPr>
    </w:p>
    <w:p>
      <w:pPr>
        <w:ind w:left="1000" w:right="26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81">
        <w:r>
          <w:rPr>
            <w:rFonts w:ascii="Arial" w:cs="Arial" w:eastAsia="Arial" w:hAnsi="Arial"/>
            <w:sz w:val="18"/>
            <w:szCs w:val="18"/>
            <w:u w:val="single" w:color="auto"/>
            <w:color w:val="0000EE"/>
          </w:rPr>
          <w:t>Lease dated as of December 10, 2015, by and between CytomX Therapeutics, Inc. and HCP</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Oyster Point III LLC.</w:t>
        </w:r>
      </w:hyperlink>
    </w:p>
    <w:p>
      <w:pPr>
        <w:spacing w:after="0" w:line="170" w:lineRule="exact"/>
        <w:rPr>
          <w:sz w:val="20"/>
          <w:szCs w:val="20"/>
          <w:color w:val="auto"/>
        </w:rPr>
      </w:pPr>
    </w:p>
    <w:p>
      <w:pPr>
        <w:ind w:left="1000" w:right="280" w:hanging="985"/>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82">
        <w:r>
          <w:rPr>
            <w:rFonts w:ascii="Arial" w:cs="Arial" w:eastAsia="Arial" w:hAnsi="Arial"/>
            <w:sz w:val="18"/>
            <w:szCs w:val="18"/>
            <w:u w:val="single" w:color="auto"/>
            <w:color w:val="0000EE"/>
          </w:rPr>
          <w:t>First Amendment to the CD71 Co-Development and License Agreement by and between</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CytomX Therapeutics, Inc. and AbbVie Ireland Unlimited Company, dated as of October 5,</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2016.</w:t>
        </w:r>
      </w:hyperlink>
    </w:p>
    <w:p>
      <w:pPr>
        <w:spacing w:after="0" w:line="181" w:lineRule="exact"/>
        <w:rPr>
          <w:rFonts w:ascii="Arial" w:cs="Arial" w:eastAsia="Arial" w:hAnsi="Arial"/>
          <w:sz w:val="18"/>
          <w:szCs w:val="18"/>
          <w:u w:val="single" w:color="auto"/>
          <w:color w:val="0000EE"/>
        </w:rPr>
      </w:pPr>
    </w:p>
    <w:p>
      <w:pPr>
        <w:ind w:left="1000" w:right="60" w:hanging="985"/>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83">
        <w:r>
          <w:rPr>
            <w:rFonts w:ascii="Arial" w:cs="Arial" w:eastAsia="Arial" w:hAnsi="Arial"/>
            <w:sz w:val="18"/>
            <w:szCs w:val="18"/>
            <w:u w:val="single" w:color="auto"/>
            <w:color w:val="0000EE"/>
          </w:rPr>
          <w:t>Second Amendment to the CD71 Co-Development and License Agreement by and between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CytomX Therapeutics, Inc. and AbbVie Ireland Unlimited Company, effective as of March 31,</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2017.</w:t>
        </w:r>
      </w:hyperlink>
    </w:p>
    <w:p>
      <w:pPr>
        <w:spacing w:after="0" w:line="181" w:lineRule="exact"/>
        <w:rPr>
          <w:rFonts w:ascii="Arial" w:cs="Arial" w:eastAsia="Arial" w:hAnsi="Arial"/>
          <w:sz w:val="18"/>
          <w:szCs w:val="18"/>
          <w:u w:val="single" w:color="auto"/>
          <w:color w:val="0000EE"/>
        </w:rPr>
      </w:pPr>
    </w:p>
    <w:p>
      <w:pPr>
        <w:ind w:left="1000" w:right="60" w:hanging="985"/>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84">
        <w:r>
          <w:rPr>
            <w:rFonts w:ascii="Arial" w:cs="Arial" w:eastAsia="Arial" w:hAnsi="Arial"/>
            <w:sz w:val="18"/>
            <w:szCs w:val="18"/>
            <w:u w:val="single" w:color="auto"/>
            <w:color w:val="0000EE"/>
          </w:rPr>
          <w:t>Third Amendment to the CD71 Co-Development and License Agreement by and between</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CytomX Therapeutics, Inc. and AbbVie Ireland Unlimited Company, effective as of January 3,</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2018.</w:t>
        </w:r>
      </w:hyperlink>
    </w:p>
    <w:p>
      <w:pPr>
        <w:spacing w:after="0" w:line="181" w:lineRule="exact"/>
        <w:rPr>
          <w:rFonts w:ascii="Arial" w:cs="Arial" w:eastAsia="Arial" w:hAnsi="Arial"/>
          <w:sz w:val="18"/>
          <w:szCs w:val="18"/>
          <w:u w:val="single" w:color="auto"/>
          <w:color w:val="0000EE"/>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85">
        <w:r>
          <w:rPr>
            <w:rFonts w:ascii="Arial" w:cs="Arial" w:eastAsia="Arial" w:hAnsi="Arial"/>
            <w:sz w:val="16"/>
            <w:szCs w:val="16"/>
            <w:u w:val="single" w:color="auto"/>
            <w:color w:val="0000EE"/>
          </w:rPr>
          <w:t>Amended and Restated Discovery Collaboration and License Agreement, dated as of June 28,</w:t>
        </w:r>
      </w:hyperlink>
    </w:p>
    <w:p>
      <w:pPr>
        <w:spacing w:after="0" w:line="23" w:lineRule="exact"/>
        <w:rPr>
          <w:rFonts w:ascii="Arial" w:cs="Arial" w:eastAsia="Arial" w:hAnsi="Arial"/>
          <w:sz w:val="18"/>
          <w:szCs w:val="18"/>
          <w:u w:val="single" w:color="auto"/>
          <w:color w:val="0000EE"/>
        </w:rPr>
      </w:pPr>
    </w:p>
    <w:p>
      <w:pPr>
        <w:ind w:left="1000"/>
        <w:spacing w:after="0"/>
        <w:rPr>
          <w:rFonts w:ascii="Arial" w:cs="Arial" w:eastAsia="Arial" w:hAnsi="Arial"/>
          <w:sz w:val="17"/>
          <w:szCs w:val="17"/>
          <w:u w:val="single" w:color="auto"/>
          <w:color w:val="0000EE"/>
        </w:rPr>
      </w:pPr>
      <w:hyperlink r:id="rId185">
        <w:r>
          <w:rPr>
            <w:rFonts w:ascii="Arial" w:cs="Arial" w:eastAsia="Arial" w:hAnsi="Arial"/>
            <w:sz w:val="17"/>
            <w:szCs w:val="17"/>
            <w:u w:val="single" w:color="auto"/>
            <w:color w:val="0000EE"/>
          </w:rPr>
          <w:t>2019, by and between CytomX Therapeutics, Inc., and AbbVie Ireland Unlimited Company.</w:t>
        </w:r>
      </w:hyperlink>
    </w:p>
    <w:p>
      <w:pPr>
        <w:spacing w:after="0" w:line="222" w:lineRule="exact"/>
        <w:rPr>
          <w:rFonts w:ascii="Arial" w:cs="Arial" w:eastAsia="Arial" w:hAnsi="Arial"/>
          <w:sz w:val="18"/>
          <w:szCs w:val="18"/>
          <w:u w:val="single" w:color="auto"/>
          <w:color w:val="0000EE"/>
        </w:rPr>
      </w:pPr>
    </w:p>
    <w:p>
      <w:pPr>
        <w:ind w:left="1000" w:right="4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86">
        <w:r>
          <w:rPr>
            <w:rFonts w:ascii="Arial" w:cs="Arial" w:eastAsia="Arial" w:hAnsi="Arial"/>
            <w:sz w:val="18"/>
            <w:szCs w:val="18"/>
            <w:u w:val="single" w:color="auto"/>
            <w:color w:val="0000EE"/>
          </w:rPr>
          <w:t>License Agreement by and between CytomX Therapeutics, Inc. and ImmunoGen Inc., dated as</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of February 12, 2016.</w:t>
        </w:r>
      </w:hyperlink>
    </w:p>
    <w:p>
      <w:pPr>
        <w:spacing w:after="0" w:line="170" w:lineRule="exact"/>
        <w:rPr>
          <w:sz w:val="20"/>
          <w:szCs w:val="20"/>
          <w:color w:val="auto"/>
        </w:rPr>
      </w:pPr>
    </w:p>
    <w:p>
      <w:pPr>
        <w:ind w:left="1000" w:right="540" w:hanging="985"/>
        <w:spacing w:after="0" w:line="308"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187">
        <w:r>
          <w:rPr>
            <w:rFonts w:ascii="Arial" w:cs="Arial" w:eastAsia="Arial" w:hAnsi="Arial"/>
            <w:sz w:val="17"/>
            <w:szCs w:val="17"/>
            <w:u w:val="single" w:color="auto"/>
            <w:color w:val="0000EE"/>
          </w:rPr>
          <w:t>Second Amendment to the Research Collaboration Agreement by and between CytomX</w:t>
        </w:r>
      </w:hyperlink>
      <w:r>
        <w:rPr>
          <w:rFonts w:ascii="Arial" w:cs="Arial" w:eastAsia="Arial" w:hAnsi="Arial"/>
          <w:sz w:val="17"/>
          <w:szCs w:val="17"/>
          <w:u w:val="single" w:color="auto"/>
          <w:color w:val="0000EE"/>
        </w:rPr>
        <w:t xml:space="preserve"> </w:t>
      </w:r>
      <w:hyperlink r:id="rId187">
        <w:r>
          <w:rPr>
            <w:rFonts w:ascii="Arial" w:cs="Arial" w:eastAsia="Arial" w:hAnsi="Arial"/>
            <w:sz w:val="17"/>
            <w:szCs w:val="17"/>
            <w:u w:val="single" w:color="auto"/>
            <w:color w:val="0000EE"/>
          </w:rPr>
          <w:t>Therapeutics, Inc. and ImmunoGen Inc., dated as of February 12, 2016.</w:t>
        </w:r>
      </w:hyperlink>
    </w:p>
    <w:p>
      <w:pPr>
        <w:spacing w:after="0" w:line="147" w:lineRule="exact"/>
        <w:rPr>
          <w:sz w:val="20"/>
          <w:szCs w:val="20"/>
          <w:color w:val="auto"/>
        </w:rPr>
      </w:pPr>
    </w:p>
    <w:p>
      <w:pPr>
        <w:ind w:left="1000" w:right="68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88">
        <w:r>
          <w:rPr>
            <w:rFonts w:ascii="Arial" w:cs="Arial" w:eastAsia="Arial" w:hAnsi="Arial"/>
            <w:sz w:val="18"/>
            <w:szCs w:val="18"/>
            <w:u w:val="single" w:color="auto"/>
            <w:color w:val="0000EE"/>
          </w:rPr>
          <w:t>Third Amendment to the Research Collaboration Agreement by and between CytomX</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Therapeutics, Inc. and ImmunoGen Inc., dated as of March 3, 2017.</w:t>
        </w:r>
      </w:hyperlink>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88"/>
              </w:rPr>
              <w:t>10.16</w:t>
            </w:r>
          </w:p>
        </w:tc>
      </w:tr>
      <w:tr>
        <w:trPr>
          <w:trHeight w:val="756"/>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10/2/2015</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88"/>
              </w:rPr>
              <w:t>10.17</w:t>
            </w:r>
          </w:p>
        </w:tc>
      </w:tr>
      <w:tr>
        <w:trPr>
          <w:trHeight w:val="756"/>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10/2/2015</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88"/>
              </w:rPr>
              <w:t>10.18</w:t>
            </w:r>
          </w:p>
        </w:tc>
      </w:tr>
      <w:tr>
        <w:trPr>
          <w:trHeight w:val="648"/>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5/5/2017</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648"/>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8/3/2016</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864"/>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9/18/2015</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88"/>
              </w:rPr>
              <w:t>10.21</w:t>
            </w:r>
          </w:p>
        </w:tc>
      </w:tr>
      <w:tr>
        <w:trPr>
          <w:trHeight w:val="864"/>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10.6</w:t>
            </w:r>
          </w:p>
        </w:tc>
      </w:tr>
      <w:tr>
        <w:trPr>
          <w:trHeight w:val="648"/>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648"/>
        </w:trPr>
        <w:tc>
          <w:tcPr>
            <w:tcW w:w="5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12/16/2015</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756"/>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864"/>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10.2</w:t>
            </w:r>
          </w:p>
        </w:tc>
      </w:tr>
      <w:tr>
        <w:trPr>
          <w:trHeight w:val="864"/>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756"/>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8/7/2019</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648"/>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10.4</w:t>
            </w:r>
          </w:p>
        </w:tc>
      </w:tr>
      <w:tr>
        <w:trPr>
          <w:trHeight w:val="648"/>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10.5</w:t>
            </w:r>
          </w:p>
        </w:tc>
      </w:tr>
      <w:tr>
        <w:trPr>
          <w:trHeight w:val="648"/>
        </w:trPr>
        <w:tc>
          <w:tcPr>
            <w:tcW w:w="54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11/6/2018</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91"/>
              </w:rPr>
              <w:t>10.6</w:t>
            </w:r>
          </w:p>
        </w:tc>
      </w:tr>
    </w:tbl>
    <w:p>
      <w:pPr>
        <w:sectPr>
          <w:pgSz w:w="11900" w:h="16838" w:orient="portrait"/>
          <w:cols w:equalWidth="0" w:num="2">
            <w:col w:w="7880" w:space="180"/>
            <w:col w:w="3360"/>
          </w:cols>
          <w:pgMar w:left="240" w:top="333" w:right="239" w:bottom="1440" w:gutter="0" w:footer="0" w:header="0"/>
          <w:type w:val="continuous"/>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w w:val="98"/>
              </w:rPr>
              <w:t>Incorporated by Reference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1"/>
        </w:trPr>
        <w:tc>
          <w:tcPr>
            <w:tcW w:w="1000" w:type="dxa"/>
            <w:vAlign w:val="bottom"/>
            <w:gridSpan w:val="2"/>
            <w:vMerge w:val="continue"/>
          </w:tcPr>
          <w:p>
            <w:pPr>
              <w:spacing w:after="0"/>
              <w:rPr>
                <w:sz w:val="9"/>
                <w:szCs w:val="9"/>
                <w:color w:val="auto"/>
              </w:rPr>
            </w:pPr>
          </w:p>
        </w:tc>
        <w:tc>
          <w:tcPr>
            <w:tcW w:w="554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Exhibit Description</w:t>
            </w:r>
          </w:p>
        </w:tc>
        <w:tc>
          <w:tcPr>
            <w:tcW w:w="210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Form</w:t>
            </w:r>
          </w:p>
        </w:tc>
        <w:tc>
          <w:tcPr>
            <w:tcW w:w="9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54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420"/>
          </w:cols>
          <w:pgMar w:left="240" w:top="333"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6880" w:type="dxa"/>
            <w:vAlign w:val="bottom"/>
            <w:gridSpan w:val="26"/>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Consulting Agreement between CytomX Therapeutics, Inc and Dr. Hoyoung Huh, effective as</w:t>
              </w:r>
            </w:hyperlink>
          </w:p>
        </w:tc>
      </w:tr>
      <w:tr>
        <w:trPr>
          <w:trHeight w:val="196"/>
        </w:trPr>
        <w:tc>
          <w:tcPr>
            <w:tcW w:w="1000" w:type="dxa"/>
            <w:vAlign w:val="bottom"/>
          </w:tcPr>
          <w:p>
            <w:pPr>
              <w:spacing w:after="0"/>
              <w:rPr>
                <w:sz w:val="17"/>
                <w:szCs w:val="17"/>
                <w:color w:val="auto"/>
              </w:rPr>
            </w:pPr>
          </w:p>
        </w:tc>
        <w:tc>
          <w:tcPr>
            <w:tcW w:w="67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of December 31, 2018.</w:t>
              </w:r>
            </w:hyperlink>
          </w:p>
        </w:tc>
        <w:tc>
          <w:tcPr>
            <w:tcW w:w="100" w:type="dxa"/>
            <w:vAlign w:val="bottom"/>
            <w:gridSpan w:val="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6840" w:type="dxa"/>
            <w:vAlign w:val="bottom"/>
            <w:tcBorders>
              <w:bottom w:val="single" w:sz="8" w:color="0000EE"/>
            </w:tcBorders>
            <w:gridSpan w:val="25"/>
          </w:tcPr>
          <w:p>
            <w:pPr>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Amended and Restated Severance and Change of Control Agreement dated February 27, 2019,</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2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by and between CytomX Therapeutics, Inc. and Sean McCarthy. D. Phil.</w:t>
              </w:r>
            </w:hyperlink>
          </w:p>
        </w:tc>
        <w:tc>
          <w:tcPr>
            <w:tcW w:w="1640" w:type="dxa"/>
            <w:vAlign w:val="bottom"/>
            <w:gridSpan w:val="13"/>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6880" w:type="dxa"/>
            <w:vAlign w:val="bottom"/>
            <w:tcBorders>
              <w:bottom w:val="single" w:sz="8" w:color="0000EE"/>
            </w:tcBorders>
            <w:gridSpan w:val="26"/>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Amended and Restated Severance and Change of Control Agreement dated March 25, 2019, by</w:t>
              </w:r>
            </w:hyperlink>
          </w:p>
        </w:tc>
      </w:tr>
      <w:tr>
        <w:trPr>
          <w:trHeight w:val="196"/>
        </w:trPr>
        <w:tc>
          <w:tcPr>
            <w:tcW w:w="1000" w:type="dxa"/>
            <w:vAlign w:val="bottom"/>
          </w:tcPr>
          <w:p>
            <w:pPr>
              <w:spacing w:after="0"/>
              <w:rPr>
                <w:sz w:val="17"/>
                <w:szCs w:val="17"/>
                <w:color w:val="auto"/>
              </w:rPr>
            </w:pPr>
          </w:p>
        </w:tc>
        <w:tc>
          <w:tcPr>
            <w:tcW w:w="6880" w:type="dxa"/>
            <w:vAlign w:val="bottom"/>
            <w:gridSpan w:val="26"/>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and between CytomX Therapeutics, Inc. and Lloyd Rowland.</w:t>
              </w:r>
            </w:hyperlink>
          </w:p>
        </w:tc>
      </w:tr>
      <w:tr>
        <w:trPr>
          <w:trHeight w:val="20"/>
        </w:trPr>
        <w:tc>
          <w:tcPr>
            <w:tcW w:w="10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6880" w:type="dxa"/>
            <w:vAlign w:val="bottom"/>
            <w:tcBorders>
              <w:bottom w:val="single" w:sz="8" w:color="0000EE"/>
            </w:tcBorders>
            <w:gridSpan w:val="26"/>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Amended and Restated Severance and Change of Control Agreement dated March 25, 2019, by</w:t>
              </w:r>
            </w:hyperlink>
          </w:p>
        </w:tc>
      </w:tr>
      <w:tr>
        <w:trPr>
          <w:trHeight w:val="196"/>
        </w:trPr>
        <w:tc>
          <w:tcPr>
            <w:tcW w:w="1000" w:type="dxa"/>
            <w:vAlign w:val="bottom"/>
          </w:tcPr>
          <w:p>
            <w:pPr>
              <w:spacing w:after="0"/>
              <w:rPr>
                <w:sz w:val="17"/>
                <w:szCs w:val="17"/>
                <w:color w:val="auto"/>
              </w:rPr>
            </w:pPr>
          </w:p>
        </w:tc>
        <w:tc>
          <w:tcPr>
            <w:tcW w:w="5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and between CytomX Therapeutics, Inc. and Michael Kavanaugh, M.D.</w:t>
              </w:r>
            </w:hyperlink>
          </w:p>
        </w:tc>
        <w:tc>
          <w:tcPr>
            <w:tcW w:w="1700" w:type="dxa"/>
            <w:vAlign w:val="bottom"/>
            <w:gridSpan w:val="14"/>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6660" w:type="dxa"/>
            <w:vAlign w:val="bottom"/>
            <w:tcBorders>
              <w:bottom w:val="single" w:sz="8" w:color="0000EE"/>
            </w:tcBorders>
            <w:gridSpan w:val="19"/>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Consulting Agreement effective as of May 15, 2019, by and between CytomX Therapeutics,</w:t>
              </w:r>
            </w:hyperlink>
          </w:p>
        </w:tc>
        <w:tc>
          <w:tcPr>
            <w:tcW w:w="22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94">
              <w:r>
                <w:rPr>
                  <w:rFonts w:ascii="Arial" w:cs="Arial" w:eastAsia="Arial" w:hAnsi="Arial"/>
                  <w:sz w:val="18"/>
                  <w:szCs w:val="18"/>
                  <w:color w:val="0000EE"/>
                  <w:w w:val="88"/>
                </w:rPr>
                <w:t>Inc. and Debanjan Ray.</w:t>
              </w:r>
            </w:hyperlink>
          </w:p>
        </w:tc>
        <w:tc>
          <w:tcPr>
            <w:tcW w:w="5200" w:type="dxa"/>
            <w:vAlign w:val="bottom"/>
            <w:gridSpan w:val="23"/>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10.27(a)#</w:t>
            </w:r>
          </w:p>
        </w:tc>
        <w:tc>
          <w:tcPr>
            <w:tcW w:w="6880" w:type="dxa"/>
            <w:vAlign w:val="bottom"/>
            <w:gridSpan w:val="26"/>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2019 Employment Inducement Incentive Plan adopted on September 18, 2019 (“2019 Plan”).</w:t>
              </w:r>
            </w:hyperlink>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10.27(b)#</w:t>
            </w:r>
          </w:p>
        </w:tc>
        <w:tc>
          <w:tcPr>
            <w:tcW w:w="39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Form of Stock Option Agreement under the 2019 Plan.</w:t>
              </w:r>
            </w:hyperlink>
          </w:p>
        </w:tc>
        <w:tc>
          <w:tcPr>
            <w:tcW w:w="2760" w:type="dxa"/>
            <w:vAlign w:val="bottom"/>
            <w:tcBorders>
              <w:top w:val="single" w:sz="8" w:color="0000EE"/>
            </w:tcBorders>
            <w:gridSpan w:val="12"/>
          </w:tcPr>
          <w:p>
            <w:pPr>
              <w:spacing w:after="0"/>
              <w:rPr>
                <w:sz w:val="24"/>
                <w:szCs w:val="24"/>
                <w:color w:val="auto"/>
              </w:rPr>
            </w:pPr>
          </w:p>
        </w:tc>
        <w:tc>
          <w:tcPr>
            <w:tcW w:w="160" w:type="dxa"/>
            <w:vAlign w:val="bottom"/>
            <w:gridSpan w:val="5"/>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6840" w:type="dxa"/>
            <w:vAlign w:val="bottom"/>
            <w:tcBorders>
              <w:bottom w:val="single" w:sz="8" w:color="0000EE"/>
            </w:tcBorders>
            <w:gridSpan w:val="25"/>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Consulting Agreement effective as of August 19, 2019, by and between CytomX Therapeutics,</w:t>
              </w:r>
            </w:hyperlink>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6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Inc. and Rachel W. Humphrey, M.D.</w:t>
              </w:r>
            </w:hyperlink>
          </w:p>
        </w:tc>
        <w:tc>
          <w:tcPr>
            <w:tcW w:w="4240" w:type="dxa"/>
            <w:vAlign w:val="bottom"/>
            <w:gridSpan w:val="22"/>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5960" w:type="dxa"/>
            <w:vAlign w:val="bottom"/>
            <w:tcBorders>
              <w:bottom w:val="single" w:sz="8" w:color="0000EE"/>
            </w:tcBorders>
            <w:gridSpan w:val="14"/>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Separation Agreement effective as of September 5, 2019, by and between CytomX</w:t>
              </w:r>
            </w:hyperlink>
          </w:p>
        </w:tc>
        <w:tc>
          <w:tcPr>
            <w:tcW w:w="92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Therapeutics, Inc. and Rachel W. Humphrey, M.D.</w:t>
              </w:r>
            </w:hyperlink>
          </w:p>
        </w:tc>
        <w:tc>
          <w:tcPr>
            <w:tcW w:w="3220" w:type="dxa"/>
            <w:vAlign w:val="bottom"/>
            <w:gridSpan w:val="19"/>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6880" w:type="dxa"/>
            <w:vAlign w:val="bottom"/>
            <w:gridSpan w:val="26"/>
          </w:tcPr>
          <w:p>
            <w:pPr>
              <w:spacing w:after="0"/>
              <w:rPr>
                <w:rFonts w:ascii="Arial" w:cs="Arial" w:eastAsia="Arial" w:hAnsi="Arial"/>
                <w:sz w:val="18"/>
                <w:szCs w:val="18"/>
                <w:color w:val="0000EE"/>
              </w:rPr>
            </w:pPr>
            <w:hyperlink r:id="rId199">
              <w:r>
                <w:rPr>
                  <w:rFonts w:ascii="Arial" w:cs="Arial" w:eastAsia="Arial" w:hAnsi="Arial"/>
                  <w:sz w:val="18"/>
                  <w:szCs w:val="18"/>
                  <w:color w:val="0000EE"/>
                </w:rPr>
                <w:t>Employment Offer Letter Agreement between CytomX Therapeutics, Inc. and Amy C.</w:t>
              </w:r>
            </w:hyperlink>
          </w:p>
        </w:tc>
      </w:tr>
      <w:tr>
        <w:trPr>
          <w:trHeight w:val="196"/>
        </w:trPr>
        <w:tc>
          <w:tcPr>
            <w:tcW w:w="10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Peterson, M.D. dated as of September 23, 2019.</w:t>
              </w:r>
            </w:hyperlink>
          </w:p>
        </w:tc>
        <w:tc>
          <w:tcPr>
            <w:tcW w:w="2780" w:type="dxa"/>
            <w:vAlign w:val="bottom"/>
            <w:tcBorders>
              <w:top w:val="single" w:sz="8" w:color="0000EE"/>
            </w:tcBorders>
            <w:gridSpan w:val="9"/>
          </w:tcPr>
          <w:p>
            <w:pPr>
              <w:spacing w:after="0"/>
              <w:rPr>
                <w:sz w:val="17"/>
                <w:szCs w:val="17"/>
                <w:color w:val="auto"/>
              </w:rPr>
            </w:pPr>
          </w:p>
        </w:tc>
        <w:tc>
          <w:tcPr>
            <w:tcW w:w="640" w:type="dxa"/>
            <w:vAlign w:val="bottom"/>
            <w:gridSpan w:val="11"/>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6880" w:type="dxa"/>
            <w:vAlign w:val="bottom"/>
            <w:gridSpan w:val="26"/>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Severance and Change of Control Agreement effective as of October 14, 2019, by and between</w:t>
              </w:r>
            </w:hyperlink>
          </w:p>
        </w:tc>
      </w:tr>
      <w:tr>
        <w:trPr>
          <w:trHeight w:val="196"/>
        </w:trPr>
        <w:tc>
          <w:tcPr>
            <w:tcW w:w="1000" w:type="dxa"/>
            <w:vAlign w:val="bottom"/>
          </w:tcPr>
          <w:p>
            <w:pPr>
              <w:spacing w:after="0"/>
              <w:rPr>
                <w:sz w:val="17"/>
                <w:szCs w:val="17"/>
                <w:color w:val="auto"/>
              </w:rPr>
            </w:pPr>
          </w:p>
        </w:tc>
        <w:tc>
          <w:tcPr>
            <w:tcW w:w="68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CytomX Therapeutics, Inc. and Amy C. Peterson, M.D.</w:t>
              </w:r>
            </w:hyperlink>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6880" w:type="dxa"/>
            <w:vAlign w:val="bottom"/>
            <w:gridSpan w:val="26"/>
          </w:tcPr>
          <w:p>
            <w:pPr>
              <w:spacing w:after="0"/>
              <w:rPr>
                <w:rFonts w:ascii="Arial" w:cs="Arial" w:eastAsia="Arial" w:hAnsi="Arial"/>
                <w:sz w:val="18"/>
                <w:szCs w:val="18"/>
                <w:color w:val="0000EE"/>
                <w:w w:val="90"/>
              </w:rPr>
            </w:pPr>
            <w:hyperlink w:anchor="page187">
              <w:r>
                <w:rPr>
                  <w:rFonts w:ascii="Arial" w:cs="Arial" w:eastAsia="Arial" w:hAnsi="Arial"/>
                  <w:sz w:val="18"/>
                  <w:szCs w:val="18"/>
                  <w:color w:val="0000EE"/>
                  <w:w w:val="90"/>
                </w:rPr>
                <w:t>Severance and Change of Control Agreement effective as of February 3, 2020, by and between</w:t>
              </w:r>
            </w:hyperlink>
          </w:p>
        </w:tc>
      </w:tr>
      <w:tr>
        <w:trPr>
          <w:trHeight w:val="196"/>
        </w:trPr>
        <w:tc>
          <w:tcPr>
            <w:tcW w:w="100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87">
              <w:r>
                <w:rPr>
                  <w:rFonts w:ascii="Arial" w:cs="Arial" w:eastAsia="Arial" w:hAnsi="Arial"/>
                  <w:sz w:val="18"/>
                  <w:szCs w:val="18"/>
                  <w:color w:val="0000EE"/>
                  <w:w w:val="92"/>
                </w:rPr>
                <w:t>CytomX Therapeutics, Inc. and Alison Hannah, M.D.</w:t>
              </w:r>
            </w:hyperlink>
          </w:p>
        </w:tc>
        <w:tc>
          <w:tcPr>
            <w:tcW w:w="2960" w:type="dxa"/>
            <w:vAlign w:val="bottom"/>
            <w:tcBorders>
              <w:top w:val="single" w:sz="8" w:color="0000EE"/>
            </w:tcBorders>
            <w:gridSpan w:val="1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Consent of Independent Registered Public Accounting Firm.</w:t>
              </w:r>
            </w:hyperlink>
          </w:p>
        </w:tc>
        <w:tc>
          <w:tcPr>
            <w:tcW w:w="2460" w:type="dxa"/>
            <w:vAlign w:val="bottom"/>
            <w:gridSpan w:val="15"/>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23.2</w:t>
            </w:r>
          </w:p>
        </w:tc>
        <w:tc>
          <w:tcPr>
            <w:tcW w:w="6880" w:type="dxa"/>
            <w:vAlign w:val="bottom"/>
            <w:gridSpan w:val="26"/>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Consent of Latham &amp; Watkins LLP (included in Exhibit 5.1)</w:t>
              </w:r>
            </w:hyperlink>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3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Power of Attorney (included on signature page)</w:t>
              </w:r>
            </w:hyperlink>
          </w:p>
        </w:tc>
        <w:tc>
          <w:tcPr>
            <w:tcW w:w="980" w:type="dxa"/>
            <w:vAlign w:val="bottom"/>
            <w:tcBorders>
              <w:top w:val="single" w:sz="8" w:color="0000EE"/>
            </w:tcBorders>
            <w:gridSpan w:val="6"/>
          </w:tcPr>
          <w:p>
            <w:pPr>
              <w:spacing w:after="0"/>
              <w:rPr>
                <w:sz w:val="24"/>
                <w:szCs w:val="24"/>
                <w:color w:val="auto"/>
              </w:rPr>
            </w:pPr>
          </w:p>
        </w:tc>
        <w:tc>
          <w:tcPr>
            <w:tcW w:w="2460" w:type="dxa"/>
            <w:vAlign w:val="bottom"/>
            <w:gridSpan w:val="15"/>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670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Certification of Principal Executive Officer Pursuant to Rules 13a-14(a) and 15d-14(a) under</w:t>
              </w:r>
            </w:hyperlink>
          </w:p>
        </w:tc>
        <w:tc>
          <w:tcPr>
            <w:tcW w:w="18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880" w:type="dxa"/>
            <w:vAlign w:val="bottom"/>
            <w:gridSpan w:val="26"/>
          </w:tcPr>
          <w:p>
            <w:pPr>
              <w:spacing w:after="0" w:line="196" w:lineRule="exact"/>
              <w:rPr>
                <w:rFonts w:ascii="Arial" w:cs="Arial" w:eastAsia="Arial" w:hAnsi="Arial"/>
                <w:sz w:val="18"/>
                <w:szCs w:val="18"/>
                <w:color w:val="0000EE"/>
                <w:w w:val="94"/>
              </w:rPr>
            </w:pPr>
            <w:hyperlink w:anchor="page194">
              <w:r>
                <w:rPr>
                  <w:rFonts w:ascii="Arial" w:cs="Arial" w:eastAsia="Arial" w:hAnsi="Arial"/>
                  <w:sz w:val="18"/>
                  <w:szCs w:val="18"/>
                  <w:color w:val="0000EE"/>
                  <w:w w:val="94"/>
                </w:rPr>
                <w:t>the Securities Exchange Act of 1934, as Adopted Pursuant to Section 302 of the Sarbanes-</w:t>
              </w:r>
            </w:hyperlink>
          </w:p>
        </w:tc>
      </w:tr>
      <w:tr>
        <w:trPr>
          <w:trHeight w:val="196"/>
        </w:trPr>
        <w:tc>
          <w:tcPr>
            <w:tcW w:w="1000" w:type="dxa"/>
            <w:vAlign w:val="bottom"/>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Oxley Act of 2002.</w:t>
              </w:r>
            </w:hyperlink>
          </w:p>
        </w:tc>
        <w:tc>
          <w:tcPr>
            <w:tcW w:w="38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100" w:type="dxa"/>
            <w:vAlign w:val="bottom"/>
            <w:gridSpan w:val="1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6880" w:type="dxa"/>
            <w:vAlign w:val="bottom"/>
            <w:gridSpan w:val="26"/>
          </w:tcPr>
          <w:p>
            <w:pPr>
              <w:spacing w:after="0"/>
              <w:rPr>
                <w:rFonts w:ascii="Arial" w:cs="Arial" w:eastAsia="Arial" w:hAnsi="Arial"/>
                <w:sz w:val="18"/>
                <w:szCs w:val="18"/>
                <w:color w:val="0000EE"/>
                <w:w w:val="94"/>
              </w:rPr>
            </w:pPr>
            <w:hyperlink w:anchor="page195">
              <w:r>
                <w:rPr>
                  <w:rFonts w:ascii="Arial" w:cs="Arial" w:eastAsia="Arial" w:hAnsi="Arial"/>
                  <w:sz w:val="18"/>
                  <w:szCs w:val="18"/>
                  <w:color w:val="0000EE"/>
                  <w:w w:val="94"/>
                </w:rPr>
                <w:t>Certification of Principal Financial Officer Pursuant to Rules 13a-14(a) and 15d-14(a) under</w:t>
              </w:r>
            </w:hyperlink>
          </w:p>
        </w:tc>
      </w:tr>
      <w:tr>
        <w:trPr>
          <w:trHeight w:val="196"/>
        </w:trPr>
        <w:tc>
          <w:tcPr>
            <w:tcW w:w="1000" w:type="dxa"/>
            <w:vAlign w:val="bottom"/>
          </w:tcPr>
          <w:p>
            <w:pPr>
              <w:spacing w:after="0"/>
              <w:rPr>
                <w:sz w:val="17"/>
                <w:szCs w:val="17"/>
                <w:color w:val="auto"/>
              </w:rPr>
            </w:pPr>
          </w:p>
        </w:tc>
        <w:tc>
          <w:tcPr>
            <w:tcW w:w="664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w:anchor="page195">
              <w:r>
                <w:rPr>
                  <w:rFonts w:ascii="Arial" w:cs="Arial" w:eastAsia="Arial" w:hAnsi="Arial"/>
                  <w:sz w:val="18"/>
                  <w:szCs w:val="18"/>
                  <w:color w:val="0000EE"/>
                  <w:w w:val="91"/>
                </w:rPr>
                <w:t>the Securities Exchange Act of 1934, as Adopted Pursuant to Section 302 of the Sarbanes-</w:t>
              </w:r>
            </w:hyperlink>
          </w:p>
        </w:tc>
        <w:tc>
          <w:tcPr>
            <w:tcW w:w="2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Oxley Act of 2002.</w:t>
              </w:r>
            </w:hyperlink>
          </w:p>
        </w:tc>
        <w:tc>
          <w:tcPr>
            <w:tcW w:w="38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100" w:type="dxa"/>
            <w:vAlign w:val="bottom"/>
            <w:gridSpan w:val="1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6880" w:type="dxa"/>
            <w:vAlign w:val="bottom"/>
            <w:gridSpan w:val="26"/>
          </w:tcPr>
          <w:p>
            <w:pPr>
              <w:spacing w:after="0"/>
              <w:rPr>
                <w:rFonts w:ascii="Arial" w:cs="Arial" w:eastAsia="Arial" w:hAnsi="Arial"/>
                <w:sz w:val="18"/>
                <w:szCs w:val="18"/>
                <w:color w:val="0000EE"/>
                <w:w w:val="98"/>
              </w:rPr>
            </w:pPr>
            <w:hyperlink w:anchor="page196">
              <w:r>
                <w:rPr>
                  <w:rFonts w:ascii="Arial" w:cs="Arial" w:eastAsia="Arial" w:hAnsi="Arial"/>
                  <w:sz w:val="18"/>
                  <w:szCs w:val="18"/>
                  <w:color w:val="0000EE"/>
                  <w:w w:val="98"/>
                </w:rPr>
                <w:t>Certification of Principal Executive Officer and Principal Financial Officer Pursuant to 18</w:t>
              </w:r>
            </w:hyperlink>
          </w:p>
        </w:tc>
      </w:tr>
      <w:tr>
        <w:trPr>
          <w:trHeight w:val="20"/>
        </w:trPr>
        <w:tc>
          <w:tcPr>
            <w:tcW w:w="1000" w:type="dxa"/>
            <w:vAlign w:val="bottom"/>
          </w:tcPr>
          <w:p>
            <w:pPr>
              <w:spacing w:after="0" w:line="20" w:lineRule="exact"/>
              <w:rPr>
                <w:sz w:val="1"/>
                <w:szCs w:val="1"/>
                <w:color w:val="auto"/>
              </w:rPr>
            </w:pPr>
          </w:p>
        </w:tc>
        <w:tc>
          <w:tcPr>
            <w:tcW w:w="6480" w:type="dxa"/>
            <w:vAlign w:val="bottom"/>
            <w:gridSpan w:val="16"/>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80" w:type="dxa"/>
            <w:vAlign w:val="bottom"/>
            <w:gridSpan w:val="26"/>
          </w:tcPr>
          <w:p>
            <w:pPr>
              <w:spacing w:after="0" w:line="196" w:lineRule="exact"/>
              <w:rPr>
                <w:rFonts w:ascii="Arial" w:cs="Arial" w:eastAsia="Arial" w:hAnsi="Arial"/>
                <w:sz w:val="18"/>
                <w:szCs w:val="18"/>
                <w:color w:val="0000EE"/>
                <w:w w:val="91"/>
              </w:rPr>
            </w:pPr>
            <w:hyperlink w:anchor="page196">
              <w:r>
                <w:rPr>
                  <w:rFonts w:ascii="Arial" w:cs="Arial" w:eastAsia="Arial" w:hAnsi="Arial"/>
                  <w:sz w:val="18"/>
                  <w:szCs w:val="18"/>
                  <w:color w:val="0000EE"/>
                  <w:w w:val="91"/>
                </w:rPr>
                <w:t>U.S.C. Section 1350, as Adopted Pursuant to Section 906 of the Sarbanes-Oxley Act of 2002.</w:t>
              </w:r>
            </w:hyperlink>
          </w:p>
        </w:tc>
      </w:tr>
      <w:tr>
        <w:trPr>
          <w:trHeight w:val="453"/>
        </w:trPr>
        <w:tc>
          <w:tcPr>
            <w:tcW w:w="1000" w:type="dxa"/>
            <w:vAlign w:val="bottom"/>
          </w:tcPr>
          <w:p>
            <w:pPr>
              <w:spacing w:after="0"/>
              <w:rPr>
                <w:sz w:val="24"/>
                <w:szCs w:val="24"/>
                <w:color w:val="auto"/>
              </w:rPr>
            </w:pPr>
          </w:p>
        </w:tc>
        <w:tc>
          <w:tcPr>
            <w:tcW w:w="5180" w:type="dxa"/>
            <w:vAlign w:val="bottom"/>
            <w:tcBorders>
              <w:top w:val="single" w:sz="8" w:color="0000EE"/>
            </w:tcBorders>
            <w:gridSpan w:val="12"/>
          </w:tcPr>
          <w:p>
            <w:pPr>
              <w:ind w:left="4580"/>
              <w:spacing w:after="0"/>
              <w:rPr>
                <w:sz w:val="20"/>
                <w:szCs w:val="20"/>
                <w:color w:val="auto"/>
              </w:rPr>
            </w:pPr>
            <w:r>
              <w:rPr>
                <w:rFonts w:ascii="Arial" w:cs="Arial" w:eastAsia="Arial" w:hAnsi="Arial"/>
                <w:sz w:val="18"/>
                <w:szCs w:val="18"/>
                <w:color w:val="auto"/>
              </w:rPr>
              <w:t>130</w:t>
            </w:r>
          </w:p>
        </w:tc>
        <w:tc>
          <w:tcPr>
            <w:tcW w:w="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2/27/2019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93"/>
              </w:rPr>
              <w:t>10.27</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10.1</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10.2</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10.4</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10.7</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10.1</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10.2</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10.3</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10.4</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10.5</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11/7/2019</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5"/>
              </w:rPr>
              <w:t>10.6</w:t>
            </w:r>
          </w:p>
        </w:tc>
      </w:tr>
    </w:tbl>
    <w:p>
      <w:pPr>
        <w:spacing w:after="0" w:line="200" w:lineRule="exact"/>
        <w:rPr>
          <w:sz w:val="20"/>
          <w:szCs w:val="20"/>
          <w:color w:val="auto"/>
        </w:rPr>
      </w:pPr>
    </w:p>
    <w:p>
      <w:pPr>
        <w:spacing w:after="0" w:line="326"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880" w:space="180"/>
            <w:col w:w="3360"/>
          </w:cols>
          <w:pgMar w:left="240" w:top="333" w:right="23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86"/>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Incorporated by Reference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1"/>
        </w:trPr>
        <w:tc>
          <w:tcPr>
            <w:tcW w:w="1000" w:type="dxa"/>
            <w:vAlign w:val="bottom"/>
            <w:gridSpan w:val="2"/>
            <w:vMerge w:val="continue"/>
          </w:tcPr>
          <w:p>
            <w:pPr>
              <w:spacing w:after="0"/>
              <w:rPr>
                <w:sz w:val="9"/>
                <w:szCs w:val="9"/>
                <w:color w:val="auto"/>
              </w:rPr>
            </w:pPr>
          </w:p>
        </w:tc>
        <w:tc>
          <w:tcPr>
            <w:tcW w:w="684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Number</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8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11"/>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840" w:type="dxa"/>
            <w:vAlign w:val="bottom"/>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84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84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84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84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84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 Exhibit 101)</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20" w:hanging="512"/>
        <w:spacing w:after="0" w:line="293"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information contained in this exhibit. Such information has been omitted and filed separately with the Securities and Exchange Commission.</w:t>
      </w:r>
    </w:p>
    <w:p>
      <w:pPr>
        <w:spacing w:after="0" w:line="158"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6"/>
          <w:szCs w:val="16"/>
          <w:color w:val="auto"/>
        </w:rPr>
        <w:t>Certain confidential portions of this exhibit have been omitted from this exhibit.</w:t>
      </w:r>
    </w:p>
    <w:p>
      <w:pPr>
        <w:spacing w:after="0" w:line="2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4"/>
          <w:szCs w:val="14"/>
          <w:color w:val="auto"/>
        </w:rPr>
        <w:t>Indicates management contract or compensatory plan.</w:t>
      </w:r>
    </w:p>
    <w:p>
      <w:pPr>
        <w:spacing w:after="0" w:line="221" w:lineRule="exact"/>
        <w:rPr>
          <w:sz w:val="20"/>
          <w:szCs w:val="20"/>
          <w:color w:val="auto"/>
        </w:rPr>
      </w:pPr>
    </w:p>
    <w:p>
      <w:pPr>
        <w:ind w:left="520" w:right="160" w:hanging="512"/>
        <w:spacing w:after="0" w:line="273"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Registrants may voluntarily include a summary of information required by Form 10-K under Item 16. We have elected not to include such summary.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3180"/>
              <w:spacing w:after="0"/>
              <w:rPr>
                <w:sz w:val="20"/>
                <w:szCs w:val="20"/>
                <w:color w:val="auto"/>
              </w:rPr>
            </w:pPr>
            <w:r>
              <w:rPr>
                <w:rFonts w:ascii="Arial" w:cs="Arial" w:eastAsia="Arial" w:hAnsi="Arial"/>
                <w:sz w:val="18"/>
                <w:szCs w:val="18"/>
                <w:color w:val="auto"/>
              </w:rPr>
              <w:t>CYTOMX THERAPEUTICS,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27, 2020</w:t>
            </w:r>
          </w:p>
        </w:tc>
        <w:tc>
          <w:tcPr>
            <w:tcW w:w="3800" w:type="dxa"/>
            <w:vAlign w:val="bottom"/>
          </w:tcPr>
          <w:p>
            <w:pPr>
              <w:ind w:left="31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r>
      <w:tr>
        <w:trPr>
          <w:trHeight w:val="195"/>
        </w:trPr>
        <w:tc>
          <w:tcPr>
            <w:tcW w:w="3680" w:type="dxa"/>
            <w:vAlign w:val="bottom"/>
          </w:tcPr>
          <w:p>
            <w:pPr>
              <w:spacing w:after="0"/>
              <w:rPr>
                <w:sz w:val="16"/>
                <w:szCs w:val="16"/>
                <w:color w:val="auto"/>
              </w:rPr>
            </w:pPr>
          </w:p>
        </w:tc>
        <w:tc>
          <w:tcPr>
            <w:tcW w:w="3800" w:type="dxa"/>
            <w:vAlign w:val="bottom"/>
          </w:tcPr>
          <w:p>
            <w:pPr>
              <w:ind w:left="3180"/>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0"/>
              <w:spacing w:after="0" w:line="195" w:lineRule="exact"/>
              <w:rPr>
                <w:sz w:val="20"/>
                <w:szCs w:val="20"/>
                <w:color w:val="auto"/>
              </w:rPr>
            </w:pPr>
            <w:r>
              <w:rPr>
                <w:rFonts w:ascii="Arial" w:cs="Arial" w:eastAsia="Arial" w:hAnsi="Arial"/>
                <w:sz w:val="18"/>
                <w:szCs w:val="18"/>
                <w:color w:val="auto"/>
              </w:rPr>
              <w:t>Sean A. McCarthy, D.Phil.</w:t>
            </w:r>
          </w:p>
        </w:tc>
      </w:tr>
      <w:tr>
        <w:trPr>
          <w:trHeight w:val="216"/>
        </w:trPr>
        <w:tc>
          <w:tcPr>
            <w:tcW w:w="3680" w:type="dxa"/>
            <w:vAlign w:val="bottom"/>
          </w:tcPr>
          <w:p>
            <w:pPr>
              <w:spacing w:after="0"/>
              <w:rPr>
                <w:sz w:val="18"/>
                <w:szCs w:val="18"/>
                <w:color w:val="auto"/>
              </w:rPr>
            </w:pPr>
          </w:p>
        </w:tc>
        <w:tc>
          <w:tcPr>
            <w:tcW w:w="3800" w:type="dxa"/>
            <w:vAlign w:val="bottom"/>
          </w:tcPr>
          <w:p>
            <w:pPr>
              <w:ind w:left="318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w w:val="96"/>
              </w:rPr>
              <w:t>(Principal Executive Officer and Principal Financial</w:t>
            </w:r>
          </w:p>
        </w:tc>
      </w:tr>
      <w:tr>
        <w:trPr>
          <w:trHeight w:val="230"/>
        </w:trPr>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r>
        <w:trPr>
          <w:trHeight w:val="432"/>
        </w:trPr>
        <w:tc>
          <w:tcPr>
            <w:tcW w:w="3680" w:type="dxa"/>
            <w:vAlign w:val="bottom"/>
          </w:tcPr>
          <w:p>
            <w:pPr>
              <w:spacing w:after="0"/>
              <w:rPr>
                <w:sz w:val="24"/>
                <w:szCs w:val="24"/>
                <w:color w:val="auto"/>
              </w:rPr>
            </w:pPr>
          </w:p>
        </w:tc>
        <w:tc>
          <w:tcPr>
            <w:tcW w:w="3800" w:type="dxa"/>
            <w:vAlign w:val="bottom"/>
          </w:tcPr>
          <w:p>
            <w:pPr>
              <w:ind w:left="31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Robin Knifsend</w:t>
            </w:r>
          </w:p>
        </w:tc>
      </w:tr>
      <w:tr>
        <w:trPr>
          <w:trHeight w:val="195"/>
        </w:trPr>
        <w:tc>
          <w:tcPr>
            <w:tcW w:w="3680" w:type="dxa"/>
            <w:vAlign w:val="bottom"/>
          </w:tcPr>
          <w:p>
            <w:pPr>
              <w:spacing w:after="0"/>
              <w:rPr>
                <w:sz w:val="16"/>
                <w:szCs w:val="16"/>
                <w:color w:val="auto"/>
              </w:rPr>
            </w:pPr>
          </w:p>
        </w:tc>
        <w:tc>
          <w:tcPr>
            <w:tcW w:w="3800" w:type="dxa"/>
            <w:vAlign w:val="bottom"/>
          </w:tcPr>
          <w:p>
            <w:pPr>
              <w:ind w:left="3180"/>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0"/>
              <w:spacing w:after="0" w:line="195" w:lineRule="exact"/>
              <w:rPr>
                <w:sz w:val="20"/>
                <w:szCs w:val="20"/>
                <w:color w:val="auto"/>
              </w:rPr>
            </w:pPr>
            <w:r>
              <w:rPr>
                <w:rFonts w:ascii="Arial" w:cs="Arial" w:eastAsia="Arial" w:hAnsi="Arial"/>
                <w:sz w:val="18"/>
                <w:szCs w:val="18"/>
                <w:color w:val="auto"/>
              </w:rPr>
              <w:t>Robin Knifsend</w:t>
            </w:r>
          </w:p>
        </w:tc>
      </w:tr>
      <w:tr>
        <w:trPr>
          <w:trHeight w:val="216"/>
        </w:trPr>
        <w:tc>
          <w:tcPr>
            <w:tcW w:w="3680" w:type="dxa"/>
            <w:vAlign w:val="bottom"/>
          </w:tcPr>
          <w:p>
            <w:pPr>
              <w:spacing w:after="0"/>
              <w:rPr>
                <w:sz w:val="18"/>
                <w:szCs w:val="18"/>
                <w:color w:val="auto"/>
              </w:rPr>
            </w:pPr>
          </w:p>
        </w:tc>
        <w:tc>
          <w:tcPr>
            <w:tcW w:w="3800" w:type="dxa"/>
            <w:vAlign w:val="bottom"/>
          </w:tcPr>
          <w:p>
            <w:pPr>
              <w:ind w:left="318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r>
      <w:tr>
        <w:trPr>
          <w:trHeight w:val="230"/>
        </w:trPr>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432"/>
        </w:trPr>
        <w:tc>
          <w:tcPr>
            <w:tcW w:w="3680" w:type="dxa"/>
            <w:vAlign w:val="bottom"/>
          </w:tcPr>
          <w:p>
            <w:pPr>
              <w:spacing w:after="0"/>
              <w:rPr>
                <w:sz w:val="24"/>
                <w:szCs w:val="24"/>
                <w:color w:val="auto"/>
              </w:rPr>
            </w:pPr>
          </w:p>
        </w:tc>
        <w:tc>
          <w:tcPr>
            <w:tcW w:w="3800" w:type="dxa"/>
            <w:vAlign w:val="bottom"/>
          </w:tcPr>
          <w:p>
            <w:pPr>
              <w:ind w:left="1900"/>
              <w:spacing w:after="0"/>
              <w:rPr>
                <w:sz w:val="20"/>
                <w:szCs w:val="20"/>
                <w:color w:val="auto"/>
              </w:rPr>
            </w:pPr>
            <w:r>
              <w:rPr>
                <w:rFonts w:ascii="Arial" w:cs="Arial" w:eastAsia="Arial" w:hAnsi="Arial"/>
                <w:sz w:val="18"/>
                <w:szCs w:val="18"/>
                <w:color w:val="auto"/>
              </w:rPr>
              <w:t>132</w:t>
            </w:r>
          </w:p>
        </w:tc>
        <w:tc>
          <w:tcPr>
            <w:tcW w:w="394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person whose individual signature appears below hereby authorizes and appoints Sean A. McCarthy, D. Phil. and Lloyd Rowland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c>
          <w:tcPr>
            <w:tcW w:w="55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Sean A. McCarthy, D.Phil.</w:t>
            </w:r>
          </w:p>
        </w:tc>
        <w:tc>
          <w:tcPr>
            <w:tcW w:w="55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Executive Officer and Principal Financial Officer)</w:t>
            </w:r>
          </w:p>
        </w:tc>
        <w:tc>
          <w:tcPr>
            <w:tcW w:w="192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Matthew P. Young</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9"/>
              </w:rPr>
              <w:t>Matthew P. Young</w:t>
            </w:r>
          </w:p>
        </w:tc>
        <w:tc>
          <w:tcPr>
            <w:tcW w:w="55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Charles S. Fuchs</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Charles S. Fuchs, M.D., M.P.H.</w:t>
            </w:r>
          </w:p>
        </w:tc>
        <w:tc>
          <w:tcPr>
            <w:tcW w:w="55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Frederick W. Gluck</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Frederick W. Gluck</w:t>
            </w:r>
          </w:p>
        </w:tc>
        <w:tc>
          <w:tcPr>
            <w:tcW w:w="55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A. Scarlett</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John A. Scarlett, M.D.</w:t>
            </w:r>
          </w:p>
        </w:tc>
        <w:tc>
          <w:tcPr>
            <w:tcW w:w="55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Elaine V. Jones</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8"/>
              </w:rPr>
              <w:t>Elaine V. Jones, Ph.D.</w:t>
            </w:r>
          </w:p>
        </w:tc>
        <w:tc>
          <w:tcPr>
            <w:tcW w:w="55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R. Meyers</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600"/>
              <w:spacing w:after="0"/>
              <w:rPr>
                <w:sz w:val="20"/>
                <w:szCs w:val="20"/>
                <w:color w:val="auto"/>
              </w:rPr>
            </w:pPr>
            <w:r>
              <w:rPr>
                <w:rFonts w:ascii="Arial" w:cs="Arial" w:eastAsia="Arial" w:hAnsi="Arial"/>
                <w:sz w:val="18"/>
                <w:szCs w:val="18"/>
                <w:color w:val="auto"/>
                <w:w w:val="88"/>
              </w:rPr>
              <w:t>February 27, 2020</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7"/>
              </w:rPr>
              <w:t>James Meyers</w:t>
            </w:r>
          </w:p>
        </w:tc>
        <w:tc>
          <w:tcPr>
            <w:tcW w:w="556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337"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OPEN MARKET SALE AGREEMENT</w:t>
      </w:r>
      <w:r>
        <w:rPr>
          <w:rFonts w:ascii="Arial" w:cs="Arial" w:eastAsia="Arial" w:hAnsi="Arial"/>
          <w:sz w:val="18"/>
          <w:szCs w:val="18"/>
          <w:b w:val="1"/>
          <w:bCs w:val="1"/>
          <w:color w:val="auto"/>
        </w:rPr>
        <w:t>SM</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27, 2020</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JEFFERIES LLC</w:t>
      </w:r>
    </w:p>
    <w:p>
      <w:pPr>
        <w:ind w:left="1760"/>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CytomX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proposes, subject to the terms and conditions stated herein, to issue and sell from time to time through Jefferies LLC, as sales agent and/or principal (the “</w:t>
      </w:r>
      <w:r>
        <w:rPr>
          <w:rFonts w:ascii="Arial" w:cs="Arial" w:eastAsia="Arial" w:hAnsi="Arial"/>
          <w:sz w:val="22"/>
          <w:szCs w:val="22"/>
          <w:b w:val="1"/>
          <w:bCs w:val="1"/>
          <w:color w:val="auto"/>
        </w:rPr>
        <w:t>Agent</w:t>
      </w:r>
      <w:r>
        <w:rPr>
          <w:rFonts w:ascii="Arial" w:cs="Arial" w:eastAsia="Arial" w:hAnsi="Arial"/>
          <w:sz w:val="22"/>
          <w:szCs w:val="22"/>
          <w:color w:val="auto"/>
        </w:rPr>
        <w:t>”), shares of the Company’s common stock, par value $0.00001 per share (the “</w:t>
      </w:r>
      <w:r>
        <w:rPr>
          <w:rFonts w:ascii="Arial" w:cs="Arial" w:eastAsia="Arial" w:hAnsi="Arial"/>
          <w:sz w:val="22"/>
          <w:szCs w:val="22"/>
          <w:b w:val="1"/>
          <w:bCs w:val="1"/>
          <w:color w:val="auto"/>
        </w:rPr>
        <w:t>Common Shares</w:t>
      </w:r>
      <w:r>
        <w:rPr>
          <w:rFonts w:ascii="Arial" w:cs="Arial" w:eastAsia="Arial" w:hAnsi="Arial"/>
          <w:sz w:val="22"/>
          <w:szCs w:val="22"/>
          <w:color w:val="auto"/>
        </w:rPr>
        <w:t>”), having an aggregate offering price of up to $75,000,000 on the terms set forth in this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capitalized terms used herein and not otherwise defined shall have the following respective meanings:</w:t>
      </w:r>
    </w:p>
    <w:p>
      <w:pPr>
        <w:spacing w:after="0" w:line="167"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Agency Period</w:t>
      </w:r>
      <w:r>
        <w:rPr>
          <w:rFonts w:ascii="Arial" w:cs="Arial" w:eastAsia="Arial" w:hAnsi="Arial"/>
          <w:sz w:val="19"/>
          <w:szCs w:val="19"/>
          <w:color w:val="auto"/>
        </w:rPr>
        <w:t>” means the period commencing on the date of this Agreement and expiring on the earliest to occur of</w:t>
      </w:r>
    </w:p>
    <w:p>
      <w:pPr>
        <w:spacing w:after="0" w:line="49" w:lineRule="exact"/>
        <w:rPr>
          <w:sz w:val="20"/>
          <w:szCs w:val="20"/>
          <w:color w:val="auto"/>
        </w:rPr>
      </w:pPr>
    </w:p>
    <w:p>
      <w:pPr>
        <w:ind w:firstLine="8"/>
        <w:spacing w:after="0" w:line="237" w:lineRule="auto"/>
        <w:tabs>
          <w:tab w:leader="none" w:pos="312"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the date on which the Agent shall have placed the Maximum Program Amount pursuant to this Agreement and (y) the date this Agreement is terminated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of the Commission thereunder.</w:t>
      </w:r>
    </w:p>
    <w:p>
      <w:pPr>
        <w:spacing w:after="0" w:line="163"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w:t>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SM </w:t>
      </w:r>
      <w:r>
        <w:rPr>
          <w:rFonts w:ascii="Arial" w:cs="Arial" w:eastAsia="Arial" w:hAnsi="Arial"/>
          <w:sz w:val="18"/>
          <w:szCs w:val="18"/>
          <w:color w:val="auto"/>
        </w:rPr>
        <w:t>“Open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396875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than $1.00 without the prior written consent of the Agent, which may be withheld in the Agent’s sole discretion.</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Amount</w:t>
      </w:r>
      <w:r>
        <w:rPr>
          <w:rFonts w:ascii="Arial" w:cs="Arial" w:eastAsia="Arial" w:hAnsi="Arial"/>
          <w:sz w:val="19"/>
          <w:szCs w:val="19"/>
          <w:color w:val="auto"/>
        </w:rPr>
        <w:t>” means the aggregate Sales Price of the Shares to be sold by the Agent pursuant to any Issuance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182" w:lineRule="exact"/>
        <w:rPr>
          <w:sz w:val="20"/>
          <w:szCs w:val="20"/>
          <w:color w:val="auto"/>
        </w:rPr>
      </w:pPr>
    </w:p>
    <w:p>
      <w:pPr>
        <w:jc w:val="both"/>
        <w:ind w:firstLine="877"/>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Notice</w:t>
      </w:r>
      <w:r>
        <w:rPr>
          <w:rFonts w:ascii="Arial" w:cs="Arial" w:eastAsia="Arial" w:hAnsi="Arial"/>
          <w:sz w:val="19"/>
          <w:szCs w:val="19"/>
          <w:color w:val="auto"/>
        </w:rPr>
        <w:t xml:space="preserve">” means a written notice delivered to the Agent by the Company in accordance with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is executed by its Chief Executive Officer, President or Chief Financial Officer.</w:t>
      </w:r>
    </w:p>
    <w:p>
      <w:pPr>
        <w:spacing w:after="0" w:line="92"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 Date</w:t>
      </w:r>
      <w:r>
        <w:rPr>
          <w:rFonts w:ascii="Arial" w:cs="Arial" w:eastAsia="Arial" w:hAnsi="Arial"/>
          <w:sz w:val="22"/>
          <w:szCs w:val="22"/>
          <w:color w:val="auto"/>
        </w:rPr>
        <w:t xml:space="preserve">” means any Trading Day during the Agency Period that an Issuance Notice is delivered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Price</w:t>
      </w:r>
      <w:r>
        <w:rPr>
          <w:rFonts w:ascii="Arial" w:cs="Arial" w:eastAsia="Arial" w:hAnsi="Arial"/>
          <w:sz w:val="22"/>
          <w:szCs w:val="22"/>
          <w:color w:val="auto"/>
        </w:rPr>
        <w:t>” means the Sales Price less the Selling Commission.</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Program Amount</w:t>
      </w:r>
      <w:r>
        <w:rPr>
          <w:rFonts w:ascii="Arial" w:cs="Arial" w:eastAsia="Arial" w:hAnsi="Arial"/>
          <w:sz w:val="21"/>
          <w:szCs w:val="21"/>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$75,000,000.</w:t>
      </w:r>
    </w:p>
    <w:p>
      <w:pPr>
        <w:spacing w:after="0" w:line="17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Select Market or such other national securities exchange on which the Common Shares, including any Shares, are then listed.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Sales Price</w:t>
      </w:r>
      <w:r>
        <w:rPr>
          <w:rFonts w:ascii="Arial" w:cs="Arial" w:eastAsia="Arial" w:hAnsi="Arial"/>
          <w:sz w:val="19"/>
          <w:szCs w:val="19"/>
          <w:color w:val="auto"/>
        </w:rPr>
        <w:t>” means the actual sale execution price of each Share placed by the Agent pursuant to this Agreement.</w:t>
      </w:r>
    </w:p>
    <w:p>
      <w:pPr>
        <w:spacing w:after="0" w:line="24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of the Commission thereunder.</w:t>
      </w:r>
    </w:p>
    <w:p>
      <w:pPr>
        <w:spacing w:after="0" w:line="163" w:lineRule="exact"/>
        <w:rPr>
          <w:sz w:val="20"/>
          <w:szCs w:val="20"/>
          <w:color w:val="auto"/>
        </w:rPr>
      </w:pPr>
    </w:p>
    <w:p>
      <w:pPr>
        <w:jc w:val="both"/>
        <w:ind w:firstLine="877"/>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Selling Commission</w:t>
      </w:r>
      <w:r>
        <w:rPr>
          <w:rFonts w:ascii="Arial" w:cs="Arial" w:eastAsia="Arial" w:hAnsi="Arial"/>
          <w:sz w:val="19"/>
          <w:szCs w:val="19"/>
          <w:color w:val="auto"/>
        </w:rPr>
        <w:t>” means three percent (3.0%) of the gross proceeds of Shares sold pursuant to this Agreement, or as otherwise agreed between the Company and the Agent with respect to any Shares sold pursuant to this Agreement.</w:t>
      </w:r>
    </w:p>
    <w:p>
      <w:pPr>
        <w:spacing w:after="0" w:line="92"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Date</w:t>
      </w:r>
      <w:r>
        <w:rPr>
          <w:rFonts w:ascii="Arial" w:cs="Arial" w:eastAsia="Arial" w:hAnsi="Arial"/>
          <w:sz w:val="19"/>
          <w:szCs w:val="19"/>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shall mean the Company’s Common Shares issued or issuable pursuant to this Agreement.</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Principal Market is open for trading.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REPRESENTATIONS AND WARRANTIES OF THE COMPANY</w:t>
      </w:r>
    </w:p>
    <w:p>
      <w:pPr>
        <w:spacing w:after="0" w:line="212"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The Company represents and warrants to, and agrees with, the Agent that as of (1) the date of this Agreement, (2) each Issuance Notice Date, (3) each Settlement Date, (4) each Triggering Event Date with respect to which the Company is obligated to deliver a certificate pursuant to Section 4(o) and (5) as of each Time of Sale (each of the times referenced above is referred to herein as a “</w:t>
      </w:r>
      <w:r>
        <w:rPr>
          <w:rFonts w:ascii="Arial" w:cs="Arial" w:eastAsia="Arial" w:hAnsi="Arial"/>
          <w:sz w:val="19"/>
          <w:szCs w:val="19"/>
          <w:b w:val="1"/>
          <w:bCs w:val="1"/>
          <w:color w:val="auto"/>
        </w:rPr>
        <w:t>Representation Date</w:t>
      </w:r>
      <w:r>
        <w:rPr>
          <w:rFonts w:ascii="Arial" w:cs="Arial" w:eastAsia="Arial" w:hAnsi="Arial"/>
          <w:sz w:val="19"/>
          <w:szCs w:val="19"/>
          <w:color w:val="auto"/>
        </w:rPr>
        <w:t>”), except as may be disclosed in the Prospectus (including any documents incorporated by reference therein and any supplements thereto) on or before a Representation Date:</w:t>
      </w:r>
    </w:p>
    <w:p>
      <w:pPr>
        <w:spacing w:after="0" w:line="14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Company has prepared and filed with the Commission a shelf registration statement on Form S-3 (File No. 333-228203) that contains a base prospectus (the “</w:t>
      </w:r>
      <w:r>
        <w:rPr>
          <w:rFonts w:ascii="Arial" w:cs="Arial" w:eastAsia="Arial" w:hAnsi="Arial"/>
          <w:sz w:val="19"/>
          <w:szCs w:val="19"/>
          <w:b w:val="1"/>
          <w:bCs w:val="1"/>
          <w:color w:val="auto"/>
        </w:rPr>
        <w:t>Base Prospectus</w:t>
      </w:r>
      <w:r>
        <w:rPr>
          <w:rFonts w:ascii="Arial" w:cs="Arial" w:eastAsia="Arial" w:hAnsi="Arial"/>
          <w:sz w:val="19"/>
          <w:szCs w:val="19"/>
          <w:color w:val="auto"/>
        </w:rPr>
        <w:t>”). Such registration statement registers the issuance and sale by the Company of the Shares under the Securities Act. Except where the context otherwise requires,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9"/>
          <w:szCs w:val="19"/>
          <w:b w:val="1"/>
          <w:bCs w:val="1"/>
          <w:color w:val="auto"/>
        </w:rPr>
        <w:t>Prospectus</w:t>
      </w:r>
      <w:r>
        <w:rPr>
          <w:rFonts w:ascii="Arial" w:cs="Arial" w:eastAsia="Arial" w:hAnsi="Arial"/>
          <w:sz w:val="19"/>
          <w:szCs w:val="19"/>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9"/>
          <w:szCs w:val="19"/>
          <w:b w:val="1"/>
          <w:bCs w:val="1"/>
          <w:color w:val="auto"/>
        </w:rPr>
        <w:t>Prospectus</w:t>
      </w:r>
      <w:r>
        <w:rPr>
          <w:rFonts w:ascii="Arial" w:cs="Arial" w:eastAsia="Arial" w:hAnsi="Arial"/>
          <w:sz w:val="19"/>
          <w:szCs w:val="19"/>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9"/>
          <w:szCs w:val="19"/>
          <w:b w:val="1"/>
          <w:bCs w:val="1"/>
          <w:color w:val="auto"/>
        </w:rPr>
        <w:t>Original Registration Statement</w:t>
      </w:r>
      <w:r>
        <w:rPr>
          <w:rFonts w:ascii="Arial" w:cs="Arial" w:eastAsia="Arial" w:hAnsi="Arial"/>
          <w:sz w:val="19"/>
          <w:szCs w:val="19"/>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0"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8" w:name="page139"/>
    <w:bookmarkEnd w:id="138"/>
    <w:p>
      <w:pPr>
        <w:jc w:val="both"/>
        <w:ind w:firstLine="877"/>
        <w:spacing w:after="0" w:line="252" w:lineRule="auto"/>
        <w:rPr>
          <w:sz w:val="20"/>
          <w:szCs w:val="20"/>
          <w:color w:val="auto"/>
        </w:rPr>
      </w:pPr>
      <w:r>
        <w:rPr>
          <w:rFonts w:ascii="Arial" w:cs="Arial" w:eastAsia="Arial" w:hAnsi="Arial"/>
          <w:sz w:val="21"/>
          <w:szCs w:val="21"/>
          <w:color w:val="auto"/>
        </w:rPr>
        <w:t>At the time the Registration Statement was originally declared effective and at the time the Company’s most recent annual report on Form 10-K was filed with the Commission,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75"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Compliance with Registration Requirements</w:t>
      </w:r>
      <w:r>
        <w:rPr>
          <w:rFonts w:ascii="Arial" w:cs="Arial" w:eastAsia="Arial" w:hAnsi="Arial"/>
          <w:sz w:val="21"/>
          <w:szCs w:val="21"/>
          <w:color w:val="auto"/>
        </w:rPr>
        <w:t>. The Original Registration Statement has been declared effective by the Commission under the Securities Act and any Rule 462(b) Registration Statement will be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7" w:lineRule="exact"/>
        <w:rPr>
          <w:sz w:val="20"/>
          <w:szCs w:val="20"/>
          <w:color w:val="auto"/>
        </w:rPr>
      </w:pPr>
    </w:p>
    <w:p>
      <w:pPr>
        <w:jc w:val="both"/>
        <w:ind w:firstLine="877"/>
        <w:spacing w:after="0" w:line="244" w:lineRule="exact"/>
        <w:rPr>
          <w:sz w:val="20"/>
          <w:szCs w:val="20"/>
          <w:color w:val="auto"/>
        </w:rPr>
      </w:pPr>
      <w:r>
        <w:rPr>
          <w:rFonts w:ascii="Arial" w:cs="Arial" w:eastAsia="Arial" w:hAnsi="Arial"/>
          <w:sz w:val="19"/>
          <w:szCs w:val="19"/>
          <w:color w:val="auto"/>
        </w:rPr>
        <w:t>The Prospectus when filed complied in all material respects with the Securities Act and, if filed with the Commission through its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 (except as may be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 Sale Information</w:t>
      </w:r>
      <w:r>
        <w:rPr>
          <w:rFonts w:ascii="Arial" w:cs="Arial" w:eastAsia="Arial" w:hAnsi="Arial"/>
          <w:sz w:val="19"/>
          <w:szCs w:val="19"/>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2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Ineligible Issuer Status</w:t>
      </w:r>
      <w:r>
        <w:rPr>
          <w:rFonts w:ascii="Arial" w:cs="Arial" w:eastAsia="Arial" w:hAnsi="Arial"/>
          <w:sz w:val="22"/>
          <w:szCs w:val="22"/>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p>
      <w:pPr>
        <w:jc w:val="both"/>
        <w:spacing w:after="0" w:line="275" w:lineRule="auto"/>
        <w:rPr>
          <w:sz w:val="20"/>
          <w:szCs w:val="20"/>
          <w:color w:val="auto"/>
        </w:rPr>
      </w:pPr>
      <w:r>
        <w:rPr>
          <w:rFonts w:ascii="Arial" w:cs="Arial" w:eastAsia="Arial" w:hAnsi="Arial"/>
          <w:sz w:val="19"/>
          <w:szCs w:val="19"/>
          <w:color w:val="auto"/>
        </w:rPr>
        <w:t>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Settlement Date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5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Incorporated Documents</w:t>
      </w:r>
      <w:r>
        <w:rPr>
          <w:rFonts w:ascii="Arial" w:cs="Arial" w:eastAsia="Arial" w:hAnsi="Arial"/>
          <w:sz w:val="21"/>
          <w:szCs w:val="21"/>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The representation and warranty set forth in the immediately preceding sentence does not apply to statements in or omissions from the Registration Statement, any Rule 462(b) Registration Statement, or any post-effective amendment thereto, or the Prospectus, or any amendments or supplements thereto, made in reliance upon and in conformity with the Agent Information (as defined below) furnished to the Company in writing by the Agent expressly for use therein.</w:t>
      </w:r>
    </w:p>
    <w:p>
      <w:pPr>
        <w:spacing w:after="0" w:line="185"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Exchange Act Compliance</w:t>
      </w:r>
      <w:r>
        <w:rPr>
          <w:rFonts w:ascii="Arial" w:cs="Arial" w:eastAsia="Arial" w:hAnsi="Arial"/>
          <w:sz w:val="19"/>
          <w:szCs w:val="19"/>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w:t>
      </w:r>
    </w:p>
    <w:p>
      <w:pPr>
        <w:spacing w:after="0" w:line="134"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Since the date of the latest audited financial statements included or incorporated by reference in the Prospectus, the Company has not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otherwise than as set forth or contemplated in the Prospectus; and, since the respective dates as of which information is given in the Registration Statement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Prospectus or (ii) the issuance, if any, of stock upon conversion of Company securities as described in the Prospectus) or long term debt of the Company or (y) any Material Adverse Effect (as defined below); as used in this Agreement, “</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material adverse change or effect in (i) the condition (financial or otherwise), earnings, business prospects or business operations, financial position, stockholders’ equity of the Company or (ii) the ability of the Company to perform its obligations under this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Agreement, including the issuance and sale of the Shares, or to consummate the transactions contemplated hereby.</w:t>
      </w:r>
    </w:p>
    <w:p>
      <w:pPr>
        <w:spacing w:after="0" w:line="207"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(g) </w:t>
      </w:r>
      <w:r>
        <w:rPr>
          <w:rFonts w:ascii="Arial" w:cs="Arial" w:eastAsia="Arial" w:hAnsi="Arial"/>
          <w:sz w:val="21"/>
          <w:szCs w:val="21"/>
          <w:u w:val="single" w:color="auto"/>
          <w:color w:val="auto"/>
        </w:rPr>
        <w:t>Real Property</w:t>
      </w:r>
      <w:r>
        <w:rPr>
          <w:rFonts w:ascii="Arial" w:cs="Arial" w:eastAsia="Arial" w:hAnsi="Arial"/>
          <w:sz w:val="21"/>
          <w:szCs w:val="21"/>
          <w:color w:val="auto"/>
        </w:rPr>
        <w:t>. The Company has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and the Prospectus or (ii) would not, individually or in the aggregate, reasonably be expected to result in a Material Adverse Effect; and all of the leases and subleases material to the business of the Company, considered as one enterprise, and under which the Company holds properties described in the Registration Statement or the Prospectus, are in full force and effect, and the Company has no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85"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(h) </w:t>
      </w:r>
      <w:r>
        <w:rPr>
          <w:rFonts w:ascii="Arial" w:cs="Arial" w:eastAsia="Arial" w:hAnsi="Arial"/>
          <w:sz w:val="21"/>
          <w:szCs w:val="21"/>
          <w:u w:val="single" w:color="auto"/>
          <w:color w:val="auto"/>
        </w:rPr>
        <w:t>Incorporation and Good Standing of the Company</w:t>
      </w:r>
      <w:r>
        <w:rPr>
          <w:rFonts w:ascii="Arial" w:cs="Arial" w:eastAsia="Arial" w:hAnsi="Arial"/>
          <w:sz w:val="21"/>
          <w:szCs w:val="21"/>
          <w:color w:val="auto"/>
        </w:rPr>
        <w:t>. The Company has been duly incorporated and is validly existing as a corporation in good standing under the laws of the State of Delaware and has full corporate power and authority to own or lease, as the case may be, and to operate its properties and conduct its business as described in the Registration Statement and the Prospectus, and is duly qualified to do business as a foreign corporation and is in good standing under the laws of each jurisdiction which requires such qualification, except where the failure so to qualify or to be in good standing would not, individually or in the aggregate, reasonably be expected to have a Material Adverse Effect.</w:t>
      </w:r>
    </w:p>
    <w:p>
      <w:pPr>
        <w:spacing w:after="0" w:line="17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XBRL</w:t>
      </w:r>
      <w:r>
        <w:rPr>
          <w:rFonts w:ascii="Arial" w:cs="Arial" w:eastAsia="Arial" w:hAnsi="Arial"/>
          <w:sz w:val="22"/>
          <w:szCs w:val="22"/>
          <w:color w:val="auto"/>
        </w:rPr>
        <w:t>. The interactive data in the eXtensible Business Reporting Language (“</w:t>
      </w:r>
      <w:r>
        <w:rPr>
          <w:rFonts w:ascii="Arial" w:cs="Arial" w:eastAsia="Arial" w:hAnsi="Arial"/>
          <w:sz w:val="22"/>
          <w:szCs w:val="22"/>
          <w:b w:val="1"/>
          <w:bCs w:val="1"/>
          <w:color w:val="auto"/>
        </w:rPr>
        <w:t>XBRL</w:t>
      </w:r>
      <w:r>
        <w:rPr>
          <w:rFonts w:ascii="Arial" w:cs="Arial" w:eastAsia="Arial" w:hAnsi="Arial"/>
          <w:sz w:val="22"/>
          <w:szCs w:val="22"/>
          <w:color w:val="auto"/>
        </w:rPr>
        <w:t>”) included as an exhibit to the Registration Statement fairly presents the information called for in all material respects and has been prepared in accordance with the SEC’s rules and guidelines applicable thereto.</w:t>
      </w:r>
    </w:p>
    <w:p>
      <w:pPr>
        <w:spacing w:after="0" w:line="183"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(j) </w:t>
      </w:r>
      <w:r>
        <w:rPr>
          <w:rFonts w:ascii="Arial" w:cs="Arial" w:eastAsia="Arial" w:hAnsi="Arial"/>
          <w:sz w:val="21"/>
          <w:szCs w:val="21"/>
          <w:u w:val="single" w:color="auto"/>
          <w:color w:val="auto"/>
        </w:rPr>
        <w:t>Capitalization</w:t>
      </w:r>
      <w:r>
        <w:rPr>
          <w:rFonts w:ascii="Arial" w:cs="Arial" w:eastAsia="Arial" w:hAnsi="Arial"/>
          <w:sz w:val="21"/>
          <w:szCs w:val="21"/>
          <w:color w:val="auto"/>
        </w:rPr>
        <w:t>. The Company’s authorized equity capitalization is as set forth in the Registration Statement and the Prospectus; the capital stock of the Company conforms to the description thereof contained in the Registration Statement and the Prospectus; the outstanding Common Shares have been duly and validly authorized and issued and are fully paid and non-assessable; the Shares have been duly authorized for issuance and sale pursuant to this Agreement and, when issued and delivered by the Company against payment therefor pursuant to this Agreement, will be validly issued, fully paid and nonassessable, the certificates for the Shares are in valid and sufficient form; the holders of outstanding shares of capital stock of the Company are not entitled to preemptive or other rights to subscribe for the Shares; and,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Arial" w:cs="Arial" w:eastAsia="Arial" w:hAnsi="Arial"/>
                <w:sz w:val="22"/>
                <w:szCs w:val="22"/>
                <w:color w:val="auto"/>
              </w:rPr>
              <w:t>(k)</w:t>
            </w:r>
          </w:p>
        </w:tc>
        <w:tc>
          <w:tcPr>
            <w:tcW w:w="8960" w:type="dxa"/>
            <w:vAlign w:val="bottom"/>
            <w:gridSpan w:val="3"/>
          </w:tcPr>
          <w:p>
            <w:pPr>
              <w:spacing w:after="0"/>
              <w:rPr>
                <w:sz w:val="20"/>
                <w:szCs w:val="20"/>
                <w:color w:val="auto"/>
              </w:rPr>
            </w:pPr>
            <w:r>
              <w:rPr>
                <w:rFonts w:ascii="Arial" w:cs="Arial" w:eastAsia="Arial" w:hAnsi="Arial"/>
                <w:sz w:val="22"/>
                <w:szCs w:val="22"/>
                <w:color w:val="auto"/>
              </w:rPr>
              <w:t>No Subsidiaries. The Company has no subsidiaries.</w:t>
            </w:r>
          </w:p>
        </w:tc>
      </w:tr>
      <w:tr>
        <w:trPr>
          <w:trHeight w:val="20"/>
        </w:trPr>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439"/>
        </w:trPr>
        <w:tc>
          <w:tcPr>
            <w:tcW w:w="1560" w:type="dxa"/>
            <w:vAlign w:val="bottom"/>
          </w:tcPr>
          <w:p>
            <w:pPr>
              <w:spacing w:after="0"/>
              <w:rPr>
                <w:sz w:val="20"/>
                <w:szCs w:val="20"/>
                <w:color w:val="auto"/>
              </w:rPr>
            </w:pPr>
            <w:r>
              <w:rPr>
                <w:rFonts w:ascii="Arial" w:cs="Arial" w:eastAsia="Arial" w:hAnsi="Arial"/>
                <w:sz w:val="22"/>
                <w:szCs w:val="22"/>
                <w:color w:val="auto"/>
              </w:rPr>
              <w:t>(l)</w:t>
            </w:r>
          </w:p>
        </w:tc>
        <w:tc>
          <w:tcPr>
            <w:tcW w:w="8960" w:type="dxa"/>
            <w:vAlign w:val="bottom"/>
            <w:gridSpan w:val="3"/>
          </w:tcPr>
          <w:p>
            <w:pPr>
              <w:spacing w:after="0"/>
              <w:rPr>
                <w:sz w:val="20"/>
                <w:szCs w:val="20"/>
                <w:color w:val="auto"/>
              </w:rPr>
            </w:pPr>
            <w:r>
              <w:rPr>
                <w:rFonts w:ascii="Arial" w:cs="Arial" w:eastAsia="Arial" w:hAnsi="Arial"/>
                <w:sz w:val="22"/>
                <w:szCs w:val="22"/>
                <w:color w:val="auto"/>
                <w:w w:val="90"/>
              </w:rPr>
              <w:t>Exhibits.  There is no franchise, contract or other document of a character required to be described in</w:t>
            </w:r>
          </w:p>
        </w:tc>
      </w:tr>
      <w:tr>
        <w:trPr>
          <w:trHeight w:val="20"/>
        </w:trPr>
        <w:tc>
          <w:tcPr>
            <w:tcW w:w="15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6" w:lineRule="exact"/>
        <w:rPr>
          <w:sz w:val="20"/>
          <w:szCs w:val="20"/>
          <w:color w:val="auto"/>
        </w:rPr>
      </w:pPr>
    </w:p>
    <w:p>
      <w:pPr>
        <w:ind w:left="5660" w:right="760" w:hanging="5651"/>
        <w:spacing w:after="0" w:line="456" w:lineRule="auto"/>
        <w:rPr>
          <w:sz w:val="20"/>
          <w:szCs w:val="20"/>
          <w:color w:val="auto"/>
        </w:rPr>
      </w:pPr>
      <w:r>
        <w:rPr>
          <w:rFonts w:ascii="Arial" w:cs="Arial" w:eastAsia="Arial" w:hAnsi="Arial"/>
          <w:sz w:val="22"/>
          <w:szCs w:val="22"/>
          <w:color w:val="auto"/>
        </w:rPr>
        <w:t>the Registration Statement or the Prospectus, or to be filed as an exhibit thereto, which is not described or filed as required.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1" w:name="page142"/>
    <w:bookmarkEnd w:id="141"/>
    <w:tbl>
      <w:tblPr>
        <w:tblLayout w:type="fixed"/>
        <w:tblInd w:w="88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rPr>
              <w:t>(m)</w:t>
            </w:r>
          </w:p>
        </w:tc>
        <w:tc>
          <w:tcPr>
            <w:tcW w:w="8920" w:type="dxa"/>
            <w:vAlign w:val="bottom"/>
            <w:gridSpan w:val="3"/>
          </w:tcPr>
          <w:p>
            <w:pPr>
              <w:spacing w:after="0"/>
              <w:rPr>
                <w:sz w:val="20"/>
                <w:szCs w:val="20"/>
                <w:color w:val="auto"/>
              </w:rPr>
            </w:pPr>
            <w:r>
              <w:rPr>
                <w:rFonts w:ascii="Arial" w:cs="Arial" w:eastAsia="Arial" w:hAnsi="Arial"/>
                <w:sz w:val="22"/>
                <w:szCs w:val="22"/>
                <w:color w:val="auto"/>
                <w:w w:val="90"/>
              </w:rPr>
              <w:t>This Agreement. This Agreement has been duly authorized, executed and delivered by the Company.</w:t>
            </w:r>
          </w:p>
        </w:tc>
      </w:tr>
      <w:tr>
        <w:trPr>
          <w:trHeight w:val="20"/>
        </w:trPr>
        <w:tc>
          <w:tcPr>
            <w:tcW w:w="1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22"/>
                <w:szCs w:val="22"/>
                <w:color w:val="auto"/>
              </w:rPr>
              <w:t>(n)</w:t>
            </w:r>
          </w:p>
        </w:tc>
        <w:tc>
          <w:tcPr>
            <w:tcW w:w="8920" w:type="dxa"/>
            <w:vAlign w:val="bottom"/>
            <w:gridSpan w:val="3"/>
          </w:tcPr>
          <w:p>
            <w:pPr>
              <w:spacing w:after="0"/>
              <w:rPr>
                <w:sz w:val="20"/>
                <w:szCs w:val="20"/>
                <w:color w:val="auto"/>
              </w:rPr>
            </w:pPr>
            <w:r>
              <w:rPr>
                <w:rFonts w:ascii="Arial" w:cs="Arial" w:eastAsia="Arial" w:hAnsi="Arial"/>
                <w:sz w:val="22"/>
                <w:szCs w:val="22"/>
                <w:color w:val="auto"/>
                <w:w w:val="92"/>
              </w:rPr>
              <w:t>Company Not an “Investment Company.” The Company is not and, after giving effect to the offering</w:t>
            </w: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and sale of the Shares and the application of the proceeds thereof as described in the Prospectus, will not be an “investment company” as defined in the Investment Company Act of 1940, as amended.</w:t>
      </w:r>
    </w:p>
    <w:p>
      <w:pPr>
        <w:spacing w:after="0" w:line="173"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(o) </w:t>
      </w:r>
      <w:r>
        <w:rPr>
          <w:rFonts w:ascii="Arial" w:cs="Arial" w:eastAsia="Arial" w:hAnsi="Arial"/>
          <w:sz w:val="21"/>
          <w:szCs w:val="21"/>
          <w:u w:val="single" w:color="auto"/>
          <w:color w:val="auto"/>
        </w:rPr>
        <w:t>No Consents</w:t>
      </w:r>
      <w:r>
        <w:rPr>
          <w:rFonts w:ascii="Arial" w:cs="Arial" w:eastAsia="Arial" w:hAnsi="Arial"/>
          <w:sz w:val="21"/>
          <w:szCs w:val="21"/>
          <w:color w:val="auto"/>
        </w:rPr>
        <w:t>. No consent, approval, authorization, filing with or order of any court or governmental agency or body is required in connection with the transactions contemplated herein, except (i) such as have been obtained under the Securities Act, the rules of the Nasdaq Global Market and the rules of the Financial Industry Regulatory Authority, Inc. (“</w:t>
      </w:r>
      <w:r>
        <w:rPr>
          <w:rFonts w:ascii="Arial" w:cs="Arial" w:eastAsia="Arial" w:hAnsi="Arial"/>
          <w:sz w:val="21"/>
          <w:szCs w:val="21"/>
          <w:b w:val="1"/>
          <w:bCs w:val="1"/>
          <w:color w:val="auto"/>
        </w:rPr>
        <w:t>FINRA</w:t>
      </w:r>
      <w:r>
        <w:rPr>
          <w:rFonts w:ascii="Arial" w:cs="Arial" w:eastAsia="Arial" w:hAnsi="Arial"/>
          <w:sz w:val="21"/>
          <w:szCs w:val="21"/>
          <w:color w:val="auto"/>
        </w:rPr>
        <w:t>”) and (ii) such as may be required under the blue sky laws of any jurisdiction in connection with the purchase and distribution of the Shares in the manner contemplated herein and in the Prospectus.</w:t>
      </w:r>
    </w:p>
    <w:p>
      <w:pPr>
        <w:spacing w:after="0" w:line="17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(p) </w:t>
      </w:r>
      <w:r>
        <w:rPr>
          <w:rFonts w:ascii="Arial" w:cs="Arial" w:eastAsia="Arial" w:hAnsi="Arial"/>
          <w:sz w:val="21"/>
          <w:szCs w:val="21"/>
          <w:u w:val="single" w:color="auto"/>
          <w:color w:val="auto"/>
        </w:rPr>
        <w:t>Non-Contravention.</w:t>
      </w:r>
      <w:r>
        <w:rPr>
          <w:rFonts w:ascii="Arial" w:cs="Arial" w:eastAsia="Arial" w:hAnsi="Arial"/>
          <w:sz w:val="21"/>
          <w:szCs w:val="21"/>
          <w:color w:val="auto"/>
        </w:rPr>
        <w:t xml:space="preserve"> 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pursuant to, (i) the charter or by-laws of the Company, (ii) the terms of any indenture, contract, lease, mortgage, deed of trust, note agreement, loan agreement or other agreement, obligation, condition, covenant or instrument to which the Company is a party or bound or to which its or their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 (ii) and (iii) above, for any conflict, breach or violation of, or imposition that would not, individually or in the aggregate, have a Material Adverse Effect.</w:t>
      </w:r>
    </w:p>
    <w:p>
      <w:pPr>
        <w:spacing w:after="0" w:line="18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(q) </w:t>
      </w:r>
      <w:r>
        <w:rPr>
          <w:rFonts w:ascii="Arial" w:cs="Arial" w:eastAsia="Arial" w:hAnsi="Arial"/>
          <w:sz w:val="22"/>
          <w:szCs w:val="22"/>
          <w:u w:val="single" w:color="auto"/>
          <w:color w:val="auto"/>
        </w:rPr>
        <w:t>No Registration Rights</w:t>
      </w:r>
      <w:r>
        <w:rPr>
          <w:rFonts w:ascii="Arial" w:cs="Arial" w:eastAsia="Arial" w:hAnsi="Arial"/>
          <w:sz w:val="22"/>
          <w:szCs w:val="22"/>
          <w:color w:val="auto"/>
        </w:rPr>
        <w:t>. No holders of securities of the Company have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w:t>
      </w:r>
    </w:p>
    <w:p>
      <w:pPr>
        <w:spacing w:after="0" w:line="185"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(r)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balance sheets and related statements of operations and comprehensive loss, stockholders’ equity and of cash flows included in the Registration Statement and the Prospectus, together with the related schedules and notes, present fairly, in all material respects, the financial position of the Company at the dates indicated and the results of operations and cash flows of the Company and for the periods specified; said financial statements have been prepared in conformity with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throughout the periods involved, except, in the case of unaudited financial statements, subject to normal year-end audit adjustments and the exclusion of certain footnotes as permitted by applicable rules of the Commission. The supporting schedules, if any, present fairly in accordance with GAAP in all material respects the information required to be stated therein. The selected financial data and the summary financial information included in the Registration Statement and the Prospectus present fairly the information shown therein and have been compiled on a basis consistent with that of the audited financial statements included therein.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42" w:name="page143"/>
    <w:bookmarkEnd w:id="142"/>
    <w:p>
      <w:pPr>
        <w:ind w:left="880"/>
        <w:spacing w:after="0"/>
        <w:tabs>
          <w:tab w:leader="none" w:pos="2380" w:val="left"/>
        </w:tabs>
        <w:rPr>
          <w:sz w:val="20"/>
          <w:szCs w:val="20"/>
          <w:color w:val="auto"/>
        </w:rPr>
      </w:pPr>
      <w:r>
        <w:rPr>
          <w:rFonts w:ascii="Arial" w:cs="Arial" w:eastAsia="Arial" w:hAnsi="Arial"/>
          <w:sz w:val="19"/>
          <w:szCs w:val="19"/>
          <w:color w:val="auto"/>
        </w:rPr>
        <w:t>(s)</w:t>
      </w:r>
      <w:r>
        <w:rPr>
          <w:sz w:val="20"/>
          <w:szCs w:val="20"/>
          <w:color w:val="auto"/>
        </w:rPr>
        <w:tab/>
      </w:r>
      <w:r>
        <w:rPr>
          <w:rFonts w:ascii="Arial" w:cs="Arial" w:eastAsia="Arial" w:hAnsi="Arial"/>
          <w:sz w:val="19"/>
          <w:szCs w:val="19"/>
          <w:u w:val="single" w:color="auto"/>
          <w:color w:val="auto"/>
        </w:rPr>
        <w:t>No Litigation</w:t>
      </w:r>
      <w:r>
        <w:rPr>
          <w:rFonts w:ascii="Arial" w:cs="Arial" w:eastAsia="Arial" w:hAnsi="Arial"/>
          <w:sz w:val="19"/>
          <w:szCs w:val="19"/>
          <w:color w:val="auto"/>
        </w:rPr>
        <w:t>. Except as disclosed in the Registration Statement and the Prospectus, there is no action,</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suit or proceeding by or before any court or governmental agency, authority or body or any arbitrator (including, without limitation, any action, suit, proceeding, inquiry or investigation before or brought by the U.S. Food and Drug Administration (the “</w:t>
      </w:r>
      <w:r>
        <w:rPr>
          <w:rFonts w:ascii="Arial" w:cs="Arial" w:eastAsia="Arial" w:hAnsi="Arial"/>
          <w:sz w:val="22"/>
          <w:szCs w:val="22"/>
          <w:b w:val="1"/>
          <w:bCs w:val="1"/>
          <w:color w:val="auto"/>
        </w:rPr>
        <w:t>FDA</w:t>
      </w:r>
      <w:r>
        <w:rPr>
          <w:rFonts w:ascii="Arial" w:cs="Arial" w:eastAsia="Arial" w:hAnsi="Arial"/>
          <w:sz w:val="22"/>
          <w:szCs w:val="22"/>
          <w:color w:val="auto"/>
        </w:rPr>
        <w:t>”)) involving the Company or its property pending or, to the knowledge of the Company, threatened that would, individually or in the aggregate, have a Material Adverse Effect.</w:t>
      </w:r>
    </w:p>
    <w:p>
      <w:pPr>
        <w:spacing w:after="0" w:line="188"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(t)</w:t>
      </w:r>
      <w:r>
        <w:rPr>
          <w:sz w:val="20"/>
          <w:szCs w:val="20"/>
          <w:color w:val="auto"/>
        </w:rPr>
        <w:tab/>
      </w:r>
      <w:r>
        <w:rPr>
          <w:rFonts w:ascii="Arial" w:cs="Arial" w:eastAsia="Arial" w:hAnsi="Arial"/>
          <w:sz w:val="19"/>
          <w:szCs w:val="19"/>
          <w:u w:val="single" w:color="auto"/>
          <w:color w:val="auto"/>
        </w:rPr>
        <w:t>No Defaults</w:t>
      </w:r>
      <w:r>
        <w:rPr>
          <w:rFonts w:ascii="Arial" w:cs="Arial" w:eastAsia="Arial" w:hAnsi="Arial"/>
          <w:sz w:val="19"/>
          <w:szCs w:val="19"/>
          <w:color w:val="auto"/>
        </w:rPr>
        <w:t>. The Company is not in violation or default of (i) any provision of its charter or bylaws,</w:t>
      </w:r>
    </w:p>
    <w:p>
      <w:pPr>
        <w:spacing w:after="0" w:line="43" w:lineRule="exact"/>
        <w:rPr>
          <w:sz w:val="20"/>
          <w:szCs w:val="20"/>
          <w:color w:val="auto"/>
        </w:rPr>
      </w:pPr>
    </w:p>
    <w:p>
      <w:pPr>
        <w:jc w:val="both"/>
        <w:ind w:firstLine="8"/>
        <w:spacing w:after="0" w:line="232" w:lineRule="auto"/>
        <w:tabs>
          <w:tab w:leader="none" w:pos="3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terms of any indenture, contract, lease, mortgage, deed of trust, note agreement, loan agreement or other agreement, obligation, condition, covenant or instrument to which it is a party or bound or to which its property is subject, except for such defaults that would not, individually or in the aggregate, reasonably be expected to result in a Material Adverse Effect, or (iii) any statute, law, rule, regulation, judgment, order or decree of any court, regulatory body, administrative agency, governmental body, arbitrator or other authority having jurisdiction over the Company or any of its properties, as applicable, except in the cases of clauses (ii) or (iii) for such defaults that would not, individually or in the aggregate, reasonably be expected to result in a Material Adverse Effect.</w:t>
      </w:r>
    </w:p>
    <w:p>
      <w:pPr>
        <w:spacing w:after="0" w:line="188"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 xml:space="preserve">(u) </w:t>
      </w:r>
      <w:r>
        <w:rPr>
          <w:rFonts w:ascii="Arial" w:cs="Arial" w:eastAsia="Arial" w:hAnsi="Arial"/>
          <w:sz w:val="19"/>
          <w:szCs w:val="19"/>
          <w:u w:val="single" w:color="auto"/>
          <w:color w:val="auto"/>
        </w:rPr>
        <w:t>Independent Auditor</w:t>
      </w:r>
      <w:r>
        <w:rPr>
          <w:rFonts w:ascii="Arial" w:cs="Arial" w:eastAsia="Arial" w:hAnsi="Arial"/>
          <w:sz w:val="19"/>
          <w:szCs w:val="19"/>
          <w:color w:val="auto"/>
        </w:rPr>
        <w:t>. Ernst &amp; Young LLP, who have certified certain financial statements of the Company and delivered their reports with respect to the audited consolidated financial statements and schedules included in the Prospectus, are an independent registered public accounting firm with respect to the Company within the meaning of the Securities Act and the applicable published rules and regulations thereunder and the Public Company Accounting Oversight Board.</w:t>
      </w:r>
    </w:p>
    <w:p>
      <w:pPr>
        <w:spacing w:after="0" w:line="143"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 xml:space="preserve">(v) </w:t>
      </w:r>
      <w:r>
        <w:rPr>
          <w:rFonts w:ascii="Arial" w:cs="Arial" w:eastAsia="Arial" w:hAnsi="Arial"/>
          <w:sz w:val="19"/>
          <w:szCs w:val="19"/>
          <w:u w:val="single" w:color="auto"/>
          <w:color w:val="auto"/>
        </w:rPr>
        <w:t>Tax Law Compliance</w:t>
      </w:r>
      <w:r>
        <w:rPr>
          <w:rFonts w:ascii="Arial" w:cs="Arial" w:eastAsia="Arial" w:hAnsi="Arial"/>
          <w:sz w:val="19"/>
          <w:szCs w:val="19"/>
          <w:color w:val="auto"/>
        </w:rPr>
        <w:t>. The Company has filed all tax returns that are required to be filed or has requested extensions thereof (except in any case in which the failure so to file would not have a Material Adverse Effect, except as set forth in or contemplated in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Prospectus (exclusive of any amendment or supplement thereto).</w:t>
      </w:r>
    </w:p>
    <w:p>
      <w:pPr>
        <w:spacing w:after="0" w:line="151"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(w) </w:t>
      </w:r>
      <w:r>
        <w:rPr>
          <w:rFonts w:ascii="Arial" w:cs="Arial" w:eastAsia="Arial" w:hAnsi="Arial"/>
          <w:sz w:val="22"/>
          <w:szCs w:val="22"/>
          <w:u w:val="single" w:color="auto"/>
          <w:color w:val="auto"/>
        </w:rPr>
        <w:t>No Labor Disputes</w:t>
      </w:r>
      <w:r>
        <w:rPr>
          <w:rFonts w:ascii="Arial" w:cs="Arial" w:eastAsia="Arial" w:hAnsi="Arial"/>
          <w:sz w:val="22"/>
          <w:szCs w:val="22"/>
          <w:color w:val="auto"/>
        </w:rPr>
        <w:t>. No labor problem or dispute with the employees of the Company exists or, to the knowledge of the Company, is threatened or imminent, and the Company is not aware of any existing or imminent labor disturbance by the employees of any of its principal suppliers, contractors or customers, which, in either case, would reasonably be expected to result in a Material Adverse Effect.</w:t>
      </w:r>
    </w:p>
    <w:p>
      <w:pPr>
        <w:spacing w:after="0" w:line="18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carries or is entitled to the benefits of insurance in such amounts and covering such risks the Company reasonably believes is adequate for the conduct of its business, and all such insurance is in full force and effect. The Company has no reason to believe that it will not be able (i) to renew its existing insurance coverage as an when such policies expire or (ii) to obtain comparable coverage from similar institutions as may be necessary or appropriate to conduct its business as now conducted and at a cost that would not reasonably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3" w:name="page144"/>
    <w:bookmarkEnd w:id="143"/>
    <w:p>
      <w:pPr>
        <w:jc w:val="both"/>
        <w:ind w:right="20"/>
        <w:spacing w:after="0" w:line="251" w:lineRule="auto"/>
        <w:rPr>
          <w:sz w:val="20"/>
          <w:szCs w:val="20"/>
          <w:color w:val="auto"/>
        </w:rPr>
      </w:pPr>
      <w:r>
        <w:rPr>
          <w:rFonts w:ascii="Arial" w:cs="Arial" w:eastAsia="Arial" w:hAnsi="Arial"/>
          <w:sz w:val="22"/>
          <w:szCs w:val="22"/>
          <w:color w:val="auto"/>
        </w:rPr>
        <w:t>expected to result in a Material Adverse Effect. The Company has not been denied any insurance coverage for which it has sought or for which it has applied.</w:t>
      </w:r>
    </w:p>
    <w:p>
      <w:pPr>
        <w:spacing w:after="0" w:line="174"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9"/>
          <w:szCs w:val="19"/>
          <w:color w:val="auto"/>
        </w:rPr>
        <w:t xml:space="preserve">(y) </w:t>
      </w:r>
      <w:r>
        <w:rPr>
          <w:rFonts w:ascii="Arial" w:cs="Arial" w:eastAsia="Arial" w:hAnsi="Arial"/>
          <w:sz w:val="19"/>
          <w:szCs w:val="19"/>
          <w:u w:val="single" w:color="auto"/>
          <w:color w:val="auto"/>
        </w:rPr>
        <w:t>All Necessary Permits, etc</w:t>
      </w:r>
      <w:r>
        <w:rPr>
          <w:rFonts w:ascii="Arial" w:cs="Arial" w:eastAsia="Arial" w:hAnsi="Arial"/>
          <w:sz w:val="19"/>
          <w:szCs w:val="19"/>
          <w:color w:val="auto"/>
        </w:rPr>
        <w:t>. The Company possesses such permits, licenses, approvals, consents and other authorizations (collectively, “</w:t>
      </w:r>
      <w:r>
        <w:rPr>
          <w:rFonts w:ascii="Arial" w:cs="Arial" w:eastAsia="Arial" w:hAnsi="Arial"/>
          <w:sz w:val="19"/>
          <w:szCs w:val="19"/>
          <w:b w:val="1"/>
          <w:bCs w:val="1"/>
          <w:color w:val="auto"/>
        </w:rPr>
        <w:t>Governmental Licenses</w:t>
      </w:r>
      <w:r>
        <w:rPr>
          <w:rFonts w:ascii="Arial" w:cs="Arial" w:eastAsia="Arial" w:hAnsi="Arial"/>
          <w:sz w:val="19"/>
          <w:szCs w:val="19"/>
          <w:color w:val="auto"/>
        </w:rPr>
        <w:t>”) issued by the appropriate governmental bodies necessary to conduct the business now operated by them, except where the failure so to possess would not, individually or in the aggregate, reasonably be expected to result in a Material Adverse Effect. The Company is in compliance with the terms and conditions of all Governmental Licenses, except where the failure so to comply would not, individually or in the aggregate, reasonably be expected to result in a Material Adverse Effect. The Company has not received any notice of proceedings relating to the revocation or modification of any Governmental Licenses which, individually or in the aggregate, if the subject of an unfavorable decision, ruling or finding, would reasonably be expected to result in a Material Adverse Effect. Except as set forth in the Registration Statement and the Prospectus, the Company (i) is, and at all times has been, in material compliance with all statutes, rules and regulations applicable to the ownership, testing, development, manufacture, packaging, processing, use, distribution, storage, import export or disposal of any product manufactured or distributed by the Company (“</w:t>
      </w:r>
      <w:r>
        <w:rPr>
          <w:rFonts w:ascii="Arial" w:cs="Arial" w:eastAsia="Arial" w:hAnsi="Arial"/>
          <w:sz w:val="19"/>
          <w:szCs w:val="19"/>
          <w:b w:val="1"/>
          <w:bCs w:val="1"/>
          <w:color w:val="auto"/>
        </w:rPr>
        <w:t>Applicable Laws</w:t>
      </w:r>
      <w:r>
        <w:rPr>
          <w:rFonts w:ascii="Arial" w:cs="Arial" w:eastAsia="Arial" w:hAnsi="Arial"/>
          <w:sz w:val="19"/>
          <w:szCs w:val="19"/>
          <w:color w:val="auto"/>
        </w:rPr>
        <w:t>”); and (ii) has not received any FDA Form 483, written notice of adverse finding, warning letter, untitled letter or other correspondence or written notice from any court or arbitrator or governmental or regulatory authority alleging or asserting material non-compliance with (x) any Applicable Laws or</w:t>
      </w:r>
    </w:p>
    <w:p>
      <w:pPr>
        <w:spacing w:after="0" w:line="7" w:lineRule="exact"/>
        <w:rPr>
          <w:sz w:val="20"/>
          <w:szCs w:val="20"/>
          <w:color w:val="auto"/>
        </w:rPr>
      </w:pPr>
    </w:p>
    <w:p>
      <w:pPr>
        <w:ind w:firstLine="8"/>
        <w:spacing w:after="0" w:line="237" w:lineRule="auto"/>
        <w:tabs>
          <w:tab w:leader="none" w:pos="33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licenses, exemptions, certificates, approvals, clearances, authorizations, permits and supplements or amendments thereto required by any such Applicable Law.</w:t>
      </w:r>
    </w:p>
    <w:p>
      <w:pPr>
        <w:spacing w:after="0" w:line="185"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9"/>
          <w:szCs w:val="19"/>
          <w:color w:val="auto"/>
        </w:rPr>
        <w:t xml:space="preserve">(z)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(i) Except as set forth in the Registration Statement and the Prospectus, the Company owns, or has obtained valid and enforceable licenses for, or other rights to use on reasonable terms, the inventions, patent applications, patents, trademarks (both registered and unregistered), service marks, trade names, copyrights, know-how (including trade secrets, and other unpatented and/or unpatentable proprietary information or confidential information, systems or procedures), software, domain names and other intellectual property rights, including registrations and applications for registration thereof, and all goodwill associated with any of the foregoing (collectively, the “</w:t>
      </w:r>
      <w:r>
        <w:rPr>
          <w:rFonts w:ascii="Arial" w:cs="Arial" w:eastAsia="Arial" w:hAnsi="Arial"/>
          <w:sz w:val="19"/>
          <w:szCs w:val="19"/>
          <w:b w:val="1"/>
          <w:bCs w:val="1"/>
          <w:color w:val="auto"/>
        </w:rPr>
        <w:t>Intellectual Property</w:t>
      </w:r>
      <w:r>
        <w:rPr>
          <w:rFonts w:ascii="Arial" w:cs="Arial" w:eastAsia="Arial" w:hAnsi="Arial"/>
          <w:sz w:val="19"/>
          <w:szCs w:val="19"/>
          <w:color w:val="auto"/>
        </w:rPr>
        <w:t>”) described in the Registration Statement and the Prospectus as being owned or licensed by the Company; (ii) the Company owns, or possesses sufficient rights to use all Intellectual Property used in, or necessary for or material to the conduct of, its business as currently conducted or as proposed to be conducted and as described in the Registration Statement and the Prospectus; (iii) there is no pending or, to the Company’s knowledge, threatened action, suit, proceeding or claim by others (A) alleging that the Company has infringed, misappropriated or otherwise violated, or would, upon the commercialization of any product or service described in the Registration Statement or the Prospectus, infringe or misappropriate or otherwise violate, any Intellectual Property rights of others,</w:t>
      </w:r>
    </w:p>
    <w:p>
      <w:pPr>
        <w:spacing w:after="0" w:line="7"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challenging the Company’s rights in or to, or alleging the violation of any of the terms of, any of its Intellectual Property, or</w:t>
      </w:r>
    </w:p>
    <w:p>
      <w:pPr>
        <w:spacing w:after="0" w:line="24" w:lineRule="exact"/>
        <w:rPr>
          <w:rFonts w:ascii="Arial" w:cs="Arial" w:eastAsia="Arial" w:hAnsi="Arial"/>
          <w:sz w:val="19"/>
          <w:szCs w:val="19"/>
          <w:color w:val="auto"/>
        </w:rPr>
      </w:pPr>
    </w:p>
    <w:p>
      <w:pPr>
        <w:jc w:val="both"/>
        <w:ind w:firstLine="8"/>
        <w:spacing w:after="0" w:line="233" w:lineRule="auto"/>
        <w:tabs>
          <w:tab w:leader="none" w:pos="337" w:val="left"/>
        </w:tabs>
        <w:numPr>
          <w:ilvl w:val="0"/>
          <w:numId w:val="73"/>
        </w:numPr>
        <w:rPr>
          <w:rFonts w:ascii="Arial" w:cs="Arial" w:eastAsia="Arial" w:hAnsi="Arial"/>
          <w:sz w:val="22"/>
          <w:szCs w:val="22"/>
          <w:color w:val="auto"/>
        </w:rPr>
      </w:pPr>
      <w:r>
        <w:rPr>
          <w:rFonts w:ascii="Arial" w:cs="Arial" w:eastAsia="Arial" w:hAnsi="Arial"/>
          <w:sz w:val="22"/>
          <w:szCs w:val="22"/>
          <w:color w:val="auto"/>
        </w:rPr>
        <w:t>challenging the validity, scope or enforceability of any Intellectual Property owned by or exclusively licensed to the Company, and with respect to the foregoing clauses (A) through (C), the Company is unaware of any facts which, in the Company’s view, could form a reasonable basis for any such claim; (iv) none of the technology employed by the Company has been obtained or is being used by the Company in violation of any contractual obligation binding on the Company or, to the Company’s knowledge, upon any of its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jc w:val="both"/>
        <w:spacing w:after="0" w:line="270" w:lineRule="auto"/>
        <w:rPr>
          <w:sz w:val="20"/>
          <w:szCs w:val="20"/>
          <w:color w:val="auto"/>
        </w:rPr>
      </w:pPr>
      <w:r>
        <w:rPr>
          <w:rFonts w:ascii="Arial" w:cs="Arial" w:eastAsia="Arial" w:hAnsi="Arial"/>
          <w:sz w:val="19"/>
          <w:szCs w:val="19"/>
          <w:color w:val="auto"/>
        </w:rPr>
        <w:t>directors or employees; (v) all Intellectual Property owned by or licensed to the Company (A) is, to the knowledge of the Company, valid and enforceable, (B) is solely owned by or, licensed to the Company, and (C) is owned free and clear of all liens, encumbrances, defects and other restrictions; (vi) to the knowledge of the Company, no third party has infringed, misappropriated or otherwise violated any Intellectual Property owned by or exclusively licensed to the Company; and (vii) the Company has not infringed, misappropriated or otherwise violated any Intellectual Property of any person and the conduct of its business as presently conducted or as proposed to be conducted in the Registration Statement and the Prospectus does not and will not infringe, misappropriate or otherwise violate any Intellectual Property of any person. To the Company’s knowledge, there are no third parties who have or will be able to establish rights to any Intellectual Property described in the Registration Statement and the Prospectus as exclusively owned or exclusively licensed by the Company, except for licenses granted in writing by the Company to any third-parties (“</w:t>
      </w:r>
      <w:r>
        <w:rPr>
          <w:rFonts w:ascii="Arial" w:cs="Arial" w:eastAsia="Arial" w:hAnsi="Arial"/>
          <w:sz w:val="19"/>
          <w:szCs w:val="19"/>
          <w:b w:val="1"/>
          <w:bCs w:val="1"/>
          <w:color w:val="auto"/>
        </w:rPr>
        <w:t>Exclusive Intellectual Property</w:t>
      </w:r>
      <w:r>
        <w:rPr>
          <w:rFonts w:ascii="Arial" w:cs="Arial" w:eastAsia="Arial" w:hAnsi="Arial"/>
          <w:sz w:val="19"/>
          <w:szCs w:val="19"/>
          <w:color w:val="auto"/>
        </w:rPr>
        <w:t>”); there is no pending or, to the Company’s knowledge, threatened action, suit, proceeding or claim by others challenging the Company’s ownership or rights in or to any Exclusive Intellectual Property, and the Company is unaware of any facts which, in the Company’s view, could form a reasonable basis for any such claim. The Company has at all times taken reasonable steps in accordance with normal industry practice to maintain the confidentiality of all Intellectual Property the value of which to the Company is contingent upon maintaining the confidentiality thereof. All founders, current and former employees, contractors, consultants and other parties involved in the development of Intellectual Property for the Company have signed confidentiality and invention assignment agreements with the Company, pursuant to which the Company either (y) has obtained ownership of and is the exclusive owner of such material Intellectual Property, or (z) has obtained a valid right to exploit such material Intellectual Property, sufficient for the conduct of its business as currently conducted and as proposed in the Registration Statement and the Prospectus to be conducted.</w:t>
      </w:r>
    </w:p>
    <w:p>
      <w:pPr>
        <w:spacing w:after="0" w:line="200" w:lineRule="exact"/>
        <w:rPr>
          <w:sz w:val="20"/>
          <w:szCs w:val="20"/>
          <w:color w:val="auto"/>
        </w:rPr>
      </w:pPr>
    </w:p>
    <w:p>
      <w:pPr>
        <w:spacing w:after="0" w:line="211"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 xml:space="preserve">(aa) </w:t>
      </w:r>
      <w:r>
        <w:rPr>
          <w:rFonts w:ascii="Arial" w:cs="Arial" w:eastAsia="Arial" w:hAnsi="Arial"/>
          <w:sz w:val="19"/>
          <w:szCs w:val="19"/>
          <w:u w:val="single" w:color="auto"/>
          <w:color w:val="auto"/>
        </w:rPr>
        <w:t>Patents</w:t>
      </w:r>
      <w:r>
        <w:rPr>
          <w:rFonts w:ascii="Arial" w:cs="Arial" w:eastAsia="Arial" w:hAnsi="Arial"/>
          <w:sz w:val="19"/>
          <w:szCs w:val="19"/>
          <w:color w:val="auto"/>
        </w:rPr>
        <w:t>. 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expected to form the basis of a finding of invalidity or unenforceability with respect to any patents that have issued with respect to such applications.</w:t>
      </w:r>
    </w:p>
    <w:p>
      <w:pPr>
        <w:spacing w:after="0" w:line="151"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(bb) </w:t>
      </w:r>
      <w:r>
        <w:rPr>
          <w:rFonts w:ascii="Arial" w:cs="Arial" w:eastAsia="Arial" w:hAnsi="Arial"/>
          <w:sz w:val="19"/>
          <w:szCs w:val="19"/>
          <w:u w:val="single" w:color="auto"/>
          <w:color w:val="auto"/>
        </w:rPr>
        <w:t>Cybersecurity; Data Privacy</w:t>
      </w:r>
      <w:r>
        <w:rPr>
          <w:rFonts w:ascii="Arial" w:cs="Arial" w:eastAsia="Arial" w:hAnsi="Arial"/>
          <w:sz w:val="19"/>
          <w:szCs w:val="19"/>
          <w:color w:val="auto"/>
        </w:rPr>
        <w:t>. (i) Except as disclosed in the Registration Statement and the Prospectus, to the Company’s knowledge, there has been no security breach, attack or other compromise of or relating to any of the Company’s information technology and computer systems, networks, hardware, software or data maintained by or on behalf of the Company (including the data of its customers, employees, suppliers, vendors and any other third party data maintained by or on behalf of the Company) (collectively, the “</w:t>
      </w:r>
      <w:r>
        <w:rPr>
          <w:rFonts w:ascii="Arial" w:cs="Arial" w:eastAsia="Arial" w:hAnsi="Arial"/>
          <w:sz w:val="19"/>
          <w:szCs w:val="19"/>
          <w:b w:val="1"/>
          <w:bCs w:val="1"/>
          <w:color w:val="auto"/>
        </w:rPr>
        <w:t>IT Systems and Data</w:t>
      </w:r>
      <w:r>
        <w:rPr>
          <w:rFonts w:ascii="Arial" w:cs="Arial" w:eastAsia="Arial" w:hAnsi="Arial"/>
          <w:sz w:val="19"/>
          <w:szCs w:val="19"/>
          <w:color w:val="auto"/>
        </w:rPr>
        <w:t>”) that would not, individually or in the aggregate, reasonably be expected to result in a Material Adverse Effect; (ii) the Company has been in compliance with all applicable laws or statutes and all applicable judgments, orders, rules and regulations of any court or arbitrator or governmental or regulatory authority, internal policies and contractual obligations relating to (x) the privacy and security of the IT Systems and Data, (y) the protection of the IT Systems and Data from unauthorized use, access, misappropriation or modification and (z) the collection, use, transfer, processing, storage,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5" w:name="page146"/>
    <w:bookmarkEnd w:id="145"/>
    <w:p>
      <w:pPr>
        <w:jc w:val="both"/>
        <w:ind w:right="20"/>
        <w:spacing w:after="0" w:line="282" w:lineRule="auto"/>
        <w:rPr>
          <w:sz w:val="20"/>
          <w:szCs w:val="20"/>
          <w:color w:val="auto"/>
        </w:rPr>
      </w:pPr>
      <w:r>
        <w:rPr>
          <w:rFonts w:ascii="Arial" w:cs="Arial" w:eastAsia="Arial" w:hAnsi="Arial"/>
          <w:sz w:val="19"/>
          <w:szCs w:val="19"/>
          <w:color w:val="auto"/>
        </w:rPr>
        <w:t>disposal and disclosure by the Company of personally identifiable information and/or any other information collected from or provided by third parties, except as would not, in the case of this clause (ii), individually or in the aggregate, have a Material Adverse Effect; (iii) the Company has implemented commercially reasonable backup and disaster recovery and security plans, procedures and facilities for its business consistent with industry standards and practices; and (iv) the Company has taken commercially reasonable steps for its business consistent with industry standards and practices to protect the IT Systems and Data.</w:t>
      </w:r>
    </w:p>
    <w:p>
      <w:pPr>
        <w:spacing w:after="0" w:line="14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(cc) </w:t>
      </w:r>
      <w:r>
        <w:rPr>
          <w:rFonts w:ascii="Arial" w:cs="Arial" w:eastAsia="Arial" w:hAnsi="Arial"/>
          <w:sz w:val="19"/>
          <w:szCs w:val="19"/>
          <w:u w:val="single" w:color="auto"/>
          <w:color w:val="auto"/>
        </w:rPr>
        <w:t>Internal Controls</w:t>
      </w:r>
      <w:r>
        <w:rPr>
          <w:rFonts w:ascii="Arial" w:cs="Arial" w:eastAsia="Arial" w:hAnsi="Arial"/>
          <w:sz w:val="19"/>
          <w:szCs w:val="19"/>
          <w:color w:val="auto"/>
        </w:rPr>
        <w:t>. 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w:t>
      </w:r>
    </w:p>
    <w:p>
      <w:pPr>
        <w:spacing w:after="0" w:line="2" w:lineRule="exact"/>
        <w:rPr>
          <w:sz w:val="20"/>
          <w:szCs w:val="20"/>
          <w:color w:val="auto"/>
        </w:rPr>
      </w:pPr>
    </w:p>
    <w:p>
      <w:pPr>
        <w:jc w:val="both"/>
        <w:ind w:firstLine="8"/>
        <w:spacing w:after="0" w:line="231" w:lineRule="auto"/>
        <w:tabs>
          <w:tab w:leader="none" w:pos="376" w:val="left"/>
        </w:tabs>
        <w:numPr>
          <w:ilvl w:val="0"/>
          <w:numId w:val="74"/>
        </w:numPr>
        <w:rPr>
          <w:rFonts w:ascii="Arial" w:cs="Arial" w:eastAsia="Arial" w:hAnsi="Arial"/>
          <w:sz w:val="22"/>
          <w:szCs w:val="22"/>
          <w:color w:val="auto"/>
        </w:rPr>
      </w:pPr>
      <w:r>
        <w:rPr>
          <w:rFonts w:ascii="Arial" w:cs="Arial" w:eastAsia="Arial" w:hAnsi="Arial"/>
          <w:sz w:val="22"/>
          <w:szCs w:val="22"/>
          <w:color w:val="auto"/>
        </w:rPr>
        <w:t>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 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94"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(dd) </w:t>
      </w:r>
      <w:r>
        <w:rPr>
          <w:rFonts w:ascii="Arial" w:cs="Arial" w:eastAsia="Arial" w:hAnsi="Arial"/>
          <w:sz w:val="22"/>
          <w:szCs w:val="22"/>
          <w:u w:val="single" w:color="auto"/>
          <w:color w:val="auto"/>
        </w:rPr>
        <w:t>Disclosure Controls</w:t>
      </w:r>
      <w:r>
        <w:rPr>
          <w:rFonts w:ascii="Arial" w:cs="Arial" w:eastAsia="Arial" w:hAnsi="Arial"/>
          <w:sz w:val="22"/>
          <w:szCs w:val="22"/>
          <w:color w:val="auto"/>
        </w:rPr>
        <w:t>. The Company maintains disclosure controls and procedures (as such term is defined in Rule 13a-15(e) under the Exchange Act) that comply with the requirements of the Exchange Act as applicable to the Company; such disclosure controls and procedures have been designed to ensure that material information relating to the Company is made known to the Company’s principal executive officer and principal financial officer by others within the Company; and such disclosure controls and procedures are effective.</w:t>
      </w:r>
    </w:p>
    <w:p>
      <w:pPr>
        <w:spacing w:after="0" w:line="188"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(ee) </w:t>
      </w:r>
      <w:r>
        <w:rPr>
          <w:rFonts w:ascii="Arial" w:cs="Arial" w:eastAsia="Arial" w:hAnsi="Arial"/>
          <w:sz w:val="19"/>
          <w:szCs w:val="19"/>
          <w:u w:val="single" w:color="auto"/>
          <w:color w:val="auto"/>
        </w:rPr>
        <w:t>No Price Stabilization or Manipulation</w:t>
      </w:r>
      <w:r>
        <w:rPr>
          <w:rFonts w:ascii="Arial" w:cs="Arial" w:eastAsia="Arial" w:hAnsi="Arial"/>
          <w:sz w:val="19"/>
          <w:szCs w:val="19"/>
          <w:color w:val="auto"/>
        </w:rPr>
        <w:t>. 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spacing w:after="0" w:line="134"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(ff) </w:t>
      </w:r>
      <w:r>
        <w:rPr>
          <w:rFonts w:ascii="Arial" w:cs="Arial" w:eastAsia="Arial" w:hAnsi="Arial"/>
          <w:sz w:val="22"/>
          <w:szCs w:val="22"/>
          <w:u w:val="single" w:color="auto"/>
          <w:color w:val="auto"/>
        </w:rPr>
        <w:t>Environmental Laws</w:t>
      </w:r>
      <w:r>
        <w:rPr>
          <w:rFonts w:ascii="Arial" w:cs="Arial" w:eastAsia="Arial" w:hAnsi="Arial"/>
          <w:sz w:val="22"/>
          <w:szCs w:val="22"/>
          <w:color w:val="auto"/>
        </w:rPr>
        <w:t>. Except as set forth in the Registration Statement and the Prospectus or would not, individually or in the aggregate, result in a Material Adverse Effect, (i) the Company is not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both"/>
        <w:spacing w:after="0" w:line="244" w:lineRule="auto"/>
        <w:rPr>
          <w:sz w:val="20"/>
          <w:szCs w:val="20"/>
          <w:color w:val="auto"/>
        </w:rPr>
      </w:pPr>
      <w:r>
        <w:rPr>
          <w:rFonts w:ascii="Arial" w:cs="Arial" w:eastAsia="Arial" w:hAnsi="Arial"/>
          <w:sz w:val="21"/>
          <w:szCs w:val="21"/>
          <w:color w:val="auto"/>
        </w:rPr>
        <w:t>ambient air, surface water, groundwater, land surface or subsurface strata) or wildlife, including, without limitation, laws and regulations relating to the release or threatened release of hazardous chemicals, pollutants, contaminants, hazardous wastes, toxic substances, hazardous substances, petroleum or petroleum products, asbestos-containing materials or toxic mold (collectively, “</w:t>
      </w:r>
      <w:r>
        <w:rPr>
          <w:rFonts w:ascii="Arial" w:cs="Arial" w:eastAsia="Arial" w:hAnsi="Arial"/>
          <w:sz w:val="21"/>
          <w:szCs w:val="21"/>
          <w:b w:val="1"/>
          <w:bCs w:val="1"/>
          <w:color w:val="auto"/>
        </w:rPr>
        <w:t>Hazardous Materials</w:t>
      </w:r>
      <w:r>
        <w:rPr>
          <w:rFonts w:ascii="Arial" w:cs="Arial" w:eastAsia="Arial" w:hAnsi="Arial"/>
          <w:sz w:val="21"/>
          <w:szCs w:val="21"/>
          <w:color w:val="auto"/>
        </w:rPr>
        <w:t>”) or to the manufacture, processing, distribution, use, treatment, storage, disposal, transport or handling of Hazardous Materials (collectively, “</w:t>
      </w:r>
      <w:r>
        <w:rPr>
          <w:rFonts w:ascii="Arial" w:cs="Arial" w:eastAsia="Arial" w:hAnsi="Arial"/>
          <w:sz w:val="21"/>
          <w:szCs w:val="21"/>
          <w:b w:val="1"/>
          <w:bCs w:val="1"/>
          <w:color w:val="auto"/>
        </w:rPr>
        <w:t>Environmental Laws</w:t>
      </w:r>
      <w:r>
        <w:rPr>
          <w:rFonts w:ascii="Arial" w:cs="Arial" w:eastAsia="Arial" w:hAnsi="Arial"/>
          <w:sz w:val="21"/>
          <w:szCs w:val="21"/>
          <w:color w:val="auto"/>
        </w:rPr>
        <w:t>”), (ii) the Company has all permits, authorizations and approvals required under any applicable Environmental Laws for the operation of its business and the occupancy of its real property and is in compliance with their requirements, (iii) there are no pending or, to the Company’s knowledge, threatened administrative, regulatory or judicial actions, suits, demands, demand letters, claims, liens, notices of noncompliance or violation, investigations or proceedings relating to any Environmental Law against the Company and (iv)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w:t>
      </w:r>
    </w:p>
    <w:p>
      <w:pPr>
        <w:spacing w:after="0" w:line="18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(gg) </w:t>
      </w:r>
      <w:r>
        <w:rPr>
          <w:rFonts w:ascii="Arial" w:cs="Arial" w:eastAsia="Arial" w:hAnsi="Arial"/>
          <w:sz w:val="19"/>
          <w:szCs w:val="19"/>
          <w:u w:val="single" w:color="auto"/>
          <w:color w:val="auto"/>
        </w:rPr>
        <w:t>ERISA</w:t>
      </w:r>
      <w:r>
        <w:rPr>
          <w:rFonts w:ascii="Arial" w:cs="Arial" w:eastAsia="Arial" w:hAnsi="Arial"/>
          <w:sz w:val="19"/>
          <w:szCs w:val="19"/>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and the regulations and published interpretations thereunder with respect to a Plan that is required to be funded,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that would reasonably be expected, individually or in the aggregate, to have a Material Adverse Effect; or (iii) any breach of any contractual obligation, or any violation of law or applicable qualification standards, with respect to the employment or compensation of employees by the Company that would reasonably be expected, individually or in the aggregate, to have a Material Adverse Effect. None of the following events has occurred or is reasonably likely to occur: (1) a material increase in the aggregate amount of contributions required to be made to all Plans in the current fiscal year of the Company compared to the amount of such contributions made in the most recently completed fiscal year of the Company; (2) a material increase in the “accumulated post-retirement benefit obligations” (within the meaning of Statement of Financial Accounting Standards 106) of the Company compared to the amount of such obligations in the most recently completed fiscal year of the Company; (3) any event or condition giving rise to a liability under Title IV of ERISA that would be reasonably expected, individually or in the aggregate, to have a Material Adverse Effect; or (4) the filing of a claim by one or more employees or former employees of the Company related to their employment that would or would be reasonably expected, individually or in the aggregate, to have a Material Adverse Effect. For purposes of this paragraph, the term “Plan” means a plan (within the meaning of Section 3(3) of ERISA) subject to Title IV of ERISA with respect to which the Company may have any liability.</w:t>
      </w:r>
    </w:p>
    <w:p>
      <w:pPr>
        <w:spacing w:after="0" w:line="200" w:lineRule="exact"/>
        <w:rPr>
          <w:sz w:val="20"/>
          <w:szCs w:val="20"/>
          <w:color w:val="auto"/>
        </w:rPr>
      </w:pPr>
    </w:p>
    <w:p>
      <w:pPr>
        <w:spacing w:after="0" w:line="21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(hh) </w:t>
      </w:r>
      <w:r>
        <w:rPr>
          <w:rFonts w:ascii="Arial" w:cs="Arial" w:eastAsia="Arial" w:hAnsi="Arial"/>
          <w:sz w:val="22"/>
          <w:szCs w:val="22"/>
          <w:u w:val="single" w:color="auto"/>
          <w:color w:val="auto"/>
        </w:rPr>
        <w:t>Sarbanes-Oxley Act</w:t>
      </w:r>
      <w:r>
        <w:rPr>
          <w:rFonts w:ascii="Arial" w:cs="Arial" w:eastAsia="Arial" w:hAnsi="Arial"/>
          <w:sz w:val="22"/>
          <w:szCs w:val="22"/>
          <w:color w:val="auto"/>
        </w:rPr>
        <w:t>. There is and has been no failure on the part of the Company and any of the Company’s directors or officers, in their capacities as such, to comply with any provision of the Sarbanes-Oxley Act of 2002, as amended, and the rules and regulations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jc w:val="both"/>
        <w:spacing w:after="0" w:line="257" w:lineRule="auto"/>
        <w:rPr>
          <w:sz w:val="20"/>
          <w:szCs w:val="20"/>
          <w:color w:val="auto"/>
        </w:rPr>
      </w:pPr>
      <w:r>
        <w:rPr>
          <w:rFonts w:ascii="Arial" w:cs="Arial" w:eastAsia="Arial" w:hAnsi="Arial"/>
          <w:sz w:val="22"/>
          <w:szCs w:val="22"/>
          <w:color w:val="auto"/>
        </w:rPr>
        <w:t>promulgated in connection thereunder (the “</w:t>
      </w:r>
      <w:r>
        <w:rPr>
          <w:rFonts w:ascii="Arial" w:cs="Arial" w:eastAsia="Arial" w:hAnsi="Arial"/>
          <w:sz w:val="22"/>
          <w:szCs w:val="22"/>
          <w:b w:val="1"/>
          <w:bCs w:val="1"/>
          <w:color w:val="auto"/>
        </w:rPr>
        <w:t>Sarbanes-Oxley Act</w:t>
      </w:r>
      <w:r>
        <w:rPr>
          <w:rFonts w:ascii="Arial" w:cs="Arial" w:eastAsia="Arial" w:hAnsi="Arial"/>
          <w:sz w:val="22"/>
          <w:szCs w:val="22"/>
          <w:color w:val="auto"/>
        </w:rPr>
        <w:t>”), including Section 402 relating to loans and Sections 302 and 906 relating to certifications.</w:t>
      </w:r>
    </w:p>
    <w:p>
      <w:pPr>
        <w:spacing w:after="0" w:line="167"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(ii) </w:t>
      </w:r>
      <w:r>
        <w:rPr>
          <w:rFonts w:ascii="Arial" w:cs="Arial" w:eastAsia="Arial" w:hAnsi="Arial"/>
          <w:sz w:val="21"/>
          <w:szCs w:val="21"/>
          <w:u w:val="single" w:color="auto"/>
          <w:color w:val="auto"/>
        </w:rPr>
        <w:t>Anti-Corruption and Anti-Bribery Laws</w:t>
      </w:r>
      <w:r>
        <w:rPr>
          <w:rFonts w:ascii="Arial" w:cs="Arial" w:eastAsia="Arial" w:hAnsi="Arial"/>
          <w:sz w:val="21"/>
          <w:szCs w:val="21"/>
          <w:color w:val="auto"/>
        </w:rPr>
        <w:t>. Neither the Company nor, to the knowledge of the Company, any director, officer, or employee of the Company or any agent, affiliate or other person acting on behalf of the Company has, in the course of its actions for, or on behalf of, the Company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21"/>
          <w:szCs w:val="21"/>
          <w:b w:val="1"/>
          <w:bCs w:val="1"/>
          <w:color w:val="auto"/>
        </w:rPr>
        <w:t>FCPA</w:t>
      </w:r>
      <w:r>
        <w:rPr>
          <w:rFonts w:ascii="Arial" w:cs="Arial" w:eastAsia="Arial" w:hAnsi="Arial"/>
          <w:sz w:val="21"/>
          <w:szCs w:val="21"/>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has instituted and maintains policies and procedures reasonably designed to ensure compliance with the FCPA. No part of the proceeds of the offering will be used, directly or indirectly, in violation of the FCPA or the U.K. Bribery Act 2010, each as may be amended, or similar law of any other relevant jurisdiction, or the rules or regulations thereunder.</w:t>
      </w:r>
    </w:p>
    <w:p>
      <w:pPr>
        <w:spacing w:after="0" w:line="18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(jj)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within the jurisdictions in which the Company conducts business (collectively, the “</w:t>
      </w:r>
      <w:r>
        <w:rPr>
          <w:rFonts w:ascii="Arial" w:cs="Arial" w:eastAsia="Arial" w:hAnsi="Arial"/>
          <w:sz w:val="19"/>
          <w:szCs w:val="19"/>
          <w:b w:val="1"/>
          <w:bCs w:val="1"/>
          <w:color w:val="auto"/>
        </w:rPr>
        <w:t>Money Laundering</w:t>
      </w:r>
      <w:r>
        <w:rPr>
          <w:rFonts w:ascii="Arial" w:cs="Arial" w:eastAsia="Arial" w:hAnsi="Arial"/>
          <w:sz w:val="19"/>
          <w:szCs w:val="19"/>
          <w:color w:val="auto"/>
        </w:rPr>
        <w:t xml:space="preserve"> </w:t>
      </w:r>
      <w:r>
        <w:rPr>
          <w:rFonts w:ascii="Arial" w:cs="Arial" w:eastAsia="Arial" w:hAnsi="Arial"/>
          <w:sz w:val="19"/>
          <w:szCs w:val="19"/>
          <w:b w:val="1"/>
          <w:bCs w:val="1"/>
          <w:color w:val="auto"/>
        </w:rPr>
        <w:t>Laws</w:t>
      </w:r>
      <w:r>
        <w:rPr>
          <w:rFonts w:ascii="Arial" w:cs="Arial" w:eastAsia="Arial" w:hAnsi="Arial"/>
          <w:sz w:val="19"/>
          <w:szCs w:val="19"/>
          <w:color w:val="auto"/>
        </w:rPr>
        <w:t>”) and no action, suit or proceeding by or before any court or governmental agency, authority or body or any arbitrator</w:t>
      </w:r>
      <w:r>
        <w:rPr>
          <w:rFonts w:ascii="Arial" w:cs="Arial" w:eastAsia="Arial" w:hAnsi="Arial"/>
          <w:sz w:val="19"/>
          <w:szCs w:val="19"/>
          <w:b w:val="1"/>
          <w:bCs w:val="1"/>
          <w:color w:val="auto"/>
        </w:rPr>
        <w:t xml:space="preserve"> </w:t>
      </w:r>
      <w:r>
        <w:rPr>
          <w:rFonts w:ascii="Arial" w:cs="Arial" w:eastAsia="Arial" w:hAnsi="Arial"/>
          <w:sz w:val="19"/>
          <w:szCs w:val="19"/>
          <w:color w:val="auto"/>
        </w:rPr>
        <w:t>involving the Company with respect to the Money Laundering Laws is pending or, to the knowledge of the Company, threatened.</w:t>
      </w:r>
    </w:p>
    <w:p>
      <w:pPr>
        <w:spacing w:after="0" w:line="153"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(kk) </w:t>
      </w:r>
      <w:r>
        <w:rPr>
          <w:rFonts w:ascii="Arial" w:cs="Arial" w:eastAsia="Arial" w:hAnsi="Arial"/>
          <w:sz w:val="21"/>
          <w:szCs w:val="21"/>
          <w:u w:val="single" w:color="auto"/>
          <w:color w:val="auto"/>
        </w:rPr>
        <w:t>Sanctions.</w:t>
      </w:r>
      <w:r>
        <w:rPr>
          <w:rFonts w:ascii="Arial" w:cs="Arial" w:eastAsia="Arial" w:hAnsi="Arial"/>
          <w:sz w:val="21"/>
          <w:szCs w:val="21"/>
          <w:color w:val="auto"/>
        </w:rPr>
        <w:t xml:space="preserve"> None of the Company nor, to the knowledge of the Company, any director, officer, agent, employee or affiliate of the Company is currently the subject or the target of any U.S. sanctions administered by the Office of Foreign Assets Control of the U.S. Department of the Treasury (“</w:t>
      </w:r>
      <w:r>
        <w:rPr>
          <w:rFonts w:ascii="Arial" w:cs="Arial" w:eastAsia="Arial" w:hAnsi="Arial"/>
          <w:sz w:val="21"/>
          <w:szCs w:val="21"/>
          <w:b w:val="1"/>
          <w:bCs w:val="1"/>
          <w:color w:val="auto"/>
        </w:rPr>
        <w:t>OFAC</w:t>
      </w:r>
      <w:r>
        <w:rPr>
          <w:rFonts w:ascii="Arial" w:cs="Arial" w:eastAsia="Arial" w:hAnsi="Arial"/>
          <w:sz w:val="21"/>
          <w:szCs w:val="21"/>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nor is the Company located, organized or resident in a country or territory that is the subject or the target of Sanctions, including, without limitation, Crimea, Cuba, Iran, North Korea, and Syria (each, a “</w:t>
      </w:r>
      <w:r>
        <w:rPr>
          <w:rFonts w:ascii="Arial" w:cs="Arial" w:eastAsia="Arial" w:hAnsi="Arial"/>
          <w:sz w:val="21"/>
          <w:szCs w:val="21"/>
          <w:b w:val="1"/>
          <w:bCs w:val="1"/>
          <w:color w:val="auto"/>
        </w:rPr>
        <w:t>Sanctioned Country</w:t>
      </w:r>
      <w:r>
        <w:rPr>
          <w:rFonts w:ascii="Arial" w:cs="Arial" w:eastAsia="Arial" w:hAnsi="Arial"/>
          <w:sz w:val="21"/>
          <w:szCs w:val="21"/>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has not knowingly engaged in and are not now knowingly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8" w:name="page149"/>
    <w:bookmarkEnd w:id="148"/>
    <w:p>
      <w:pPr>
        <w:jc w:val="both"/>
        <w:spacing w:after="0" w:line="251" w:lineRule="auto"/>
        <w:rPr>
          <w:sz w:val="20"/>
          <w:szCs w:val="20"/>
          <w:color w:val="auto"/>
        </w:rPr>
      </w:pPr>
      <w:r>
        <w:rPr>
          <w:rFonts w:ascii="Arial" w:cs="Arial" w:eastAsia="Arial" w:hAnsi="Arial"/>
          <w:sz w:val="22"/>
          <w:szCs w:val="22"/>
          <w:color w:val="auto"/>
        </w:rPr>
        <w:t>engaged in any dealings or transactions with any person that at the time of the dealing or transaction is or was the subject or the target of Sanctions or with any Sanctioned Country.</w:t>
      </w:r>
    </w:p>
    <w:p>
      <w:pPr>
        <w:spacing w:after="0" w:line="174"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(ll) </w:t>
      </w:r>
      <w:r>
        <w:rPr>
          <w:rFonts w:ascii="Arial" w:cs="Arial" w:eastAsia="Arial" w:hAnsi="Arial"/>
          <w:sz w:val="22"/>
          <w:szCs w:val="22"/>
          <w:u w:val="single" w:color="auto"/>
          <w:color w:val="auto"/>
        </w:rPr>
        <w:t>Statistical and Market Data</w:t>
      </w:r>
      <w:r>
        <w:rPr>
          <w:rFonts w:ascii="Arial" w:cs="Arial" w:eastAsia="Arial" w:hAnsi="Arial"/>
          <w:sz w:val="22"/>
          <w:szCs w:val="22"/>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85"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(mm) </w:t>
      </w:r>
      <w:r>
        <w:rPr>
          <w:rFonts w:ascii="Arial" w:cs="Arial" w:eastAsia="Arial" w:hAnsi="Arial"/>
          <w:sz w:val="19"/>
          <w:szCs w:val="19"/>
          <w:u w:val="single" w:color="auto"/>
          <w:color w:val="auto"/>
        </w:rPr>
        <w:t>Clinical Trials</w:t>
      </w:r>
      <w:r>
        <w:rPr>
          <w:rFonts w:ascii="Arial" w:cs="Arial" w:eastAsia="Arial" w:hAnsi="Arial"/>
          <w:sz w:val="19"/>
          <w:szCs w:val="19"/>
          <w:color w:val="auto"/>
        </w:rPr>
        <w:t>. The clinical trials and preclinical studies conducted by or, to the knowledge of the Company after due inquiry, on behalf of or sponsored by the Company, or in which the Company has participated, that are described in the Registration Statement and the Prospectus, or the results of which are referred to in the Registration Statement and the Prospectus, as applicable, were, and if still pending are, being conducted in all material respects in accordance with standard industry practice and any applicable rules and regulations of the FDA and comparable drug regulatory agencies outside of the United States to which they are subject (collectively, the “</w:t>
      </w:r>
      <w:r>
        <w:rPr>
          <w:rFonts w:ascii="Arial" w:cs="Arial" w:eastAsia="Arial" w:hAnsi="Arial"/>
          <w:sz w:val="19"/>
          <w:szCs w:val="19"/>
          <w:b w:val="1"/>
          <w:bCs w:val="1"/>
          <w:color w:val="auto"/>
        </w:rPr>
        <w:t>Regulatory Authorities</w:t>
      </w:r>
      <w:r>
        <w:rPr>
          <w:rFonts w:ascii="Arial" w:cs="Arial" w:eastAsia="Arial" w:hAnsi="Arial"/>
          <w:sz w:val="19"/>
          <w:szCs w:val="19"/>
          <w:color w:val="auto"/>
        </w:rPr>
        <w:t>”) and current Good Clinical Practices and Good Laboratory Practices; the descriptions of the results of such trials and studies contained in the Registration Statement or the Prospectus are accurate and complete in all material respects and fairly present the data derived from such trials and studies; the Company has no knowledge of any other trials not described in the Registration Statement and the Prospectus, the results of which reasonably call into question the results described or referred to in the Registration Statement and the Prospectus; the Company has operated at all times and is currently in compliance in all material respects with all Applicable Laws of the Regulatory Authorities; and the Company has not received any written notices, correspondence or other communications from the Regulatory Authorities or any other governmental agency with jurisdiction over it requiring or threatening the termination, material modification or suspension of any clinical trials or preclinical studies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trials, and, to the Company’s knowledge, there are no reasonable grounds for the same.</w:t>
      </w:r>
    </w:p>
    <w:p>
      <w:pPr>
        <w:spacing w:after="0" w:line="200" w:lineRule="exact"/>
        <w:rPr>
          <w:sz w:val="20"/>
          <w:szCs w:val="20"/>
          <w:color w:val="auto"/>
        </w:rPr>
      </w:pPr>
    </w:p>
    <w:p>
      <w:pPr>
        <w:spacing w:after="0" w:line="21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(nn) </w:t>
      </w:r>
      <w:r>
        <w:rPr>
          <w:rFonts w:ascii="Arial" w:cs="Arial" w:eastAsia="Arial" w:hAnsi="Arial"/>
          <w:sz w:val="22"/>
          <w:szCs w:val="22"/>
          <w:u w:val="single" w:color="auto"/>
          <w:color w:val="auto"/>
        </w:rPr>
        <w:t>Regulatory Authority Filings</w:t>
      </w:r>
      <w:r>
        <w:rPr>
          <w:rFonts w:ascii="Arial" w:cs="Arial" w:eastAsia="Arial" w:hAnsi="Arial"/>
          <w:sz w:val="22"/>
          <w:szCs w:val="22"/>
          <w:color w:val="auto"/>
        </w:rPr>
        <w:t>. The Company has not failed to file with the Regulatory Authorities any required filing, declaration, listing, registration, report or submission (other than any such immaterial filing, declaration, listing, registration, report or submission) with respect to the Company’s product candidates that are described or referred to in the Registration Statement and the Prospectus; and all such filings, declarations, listings, registrations, reports or submissions were in material compliance with applicable laws when filed; and no material deficiencies regarding compliance with applicable law have been asserted by any applicable regulatory authority with respect to any such filings, declarations, listings, registrations, reports or submissions.</w:t>
      </w:r>
    </w:p>
    <w:p>
      <w:pPr>
        <w:spacing w:after="0" w:line="191"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(oo) </w:t>
      </w:r>
      <w:r>
        <w:rPr>
          <w:rFonts w:ascii="Arial" w:cs="Arial" w:eastAsia="Arial" w:hAnsi="Arial"/>
          <w:sz w:val="22"/>
          <w:szCs w:val="22"/>
          <w:u w:val="single" w:color="auto"/>
          <w:color w:val="auto"/>
        </w:rPr>
        <w:t>No Debt Securities</w:t>
      </w:r>
      <w:r>
        <w:rPr>
          <w:rFonts w:ascii="Arial" w:cs="Arial" w:eastAsia="Arial" w:hAnsi="Arial"/>
          <w:sz w:val="22"/>
          <w:szCs w:val="22"/>
          <w:color w:val="auto"/>
        </w:rPr>
        <w:t>. The Company does not have any debt securities or preferred stock that are rated by any “nationally recognized statistical rating agency” (as defined in Section 3(a)(62) of the Exchange Act).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ind w:left="880"/>
        <w:spacing w:after="0"/>
        <w:tabs>
          <w:tab w:leader="none" w:pos="2520" w:val="left"/>
        </w:tabs>
        <w:rPr>
          <w:sz w:val="20"/>
          <w:szCs w:val="20"/>
          <w:color w:val="auto"/>
        </w:rPr>
      </w:pPr>
      <w:r>
        <w:rPr>
          <w:rFonts w:ascii="Arial" w:cs="Arial" w:eastAsia="Arial" w:hAnsi="Arial"/>
          <w:sz w:val="22"/>
          <w:szCs w:val="22"/>
          <w:color w:val="auto"/>
        </w:rPr>
        <w:t>(pp)</w:t>
      </w:r>
      <w:r>
        <w:rPr>
          <w:sz w:val="20"/>
          <w:szCs w:val="20"/>
          <w:color w:val="auto"/>
        </w:rPr>
        <w:tab/>
      </w:r>
      <w:r>
        <w:rPr>
          <w:rFonts w:ascii="Arial" w:cs="Arial" w:eastAsia="Arial" w:hAnsi="Arial"/>
          <w:sz w:val="22"/>
          <w:szCs w:val="22"/>
          <w:u w:val="single" w:color="auto"/>
          <w:color w:val="auto"/>
        </w:rPr>
        <w:t>Other Underwriting Agreements</w:t>
      </w:r>
      <w:r>
        <w:rPr>
          <w:rFonts w:ascii="Arial" w:cs="Arial" w:eastAsia="Arial" w:hAnsi="Arial"/>
          <w:sz w:val="22"/>
          <w:szCs w:val="22"/>
          <w:color w:val="auto"/>
        </w:rPr>
        <w:t>. Other than as disclosed to the Agent, as of the date of this</w:t>
      </w:r>
    </w:p>
    <w:p>
      <w:pPr>
        <w:spacing w:after="0" w:line="9"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Agreement, the Company is not a party to any agreement with an agent or underwriter for any other “at the market” or continuous equity transaction.</w:t>
      </w:r>
    </w:p>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(qq) </w:t>
      </w:r>
      <w:r>
        <w:rPr>
          <w:rFonts w:ascii="Arial" w:cs="Arial" w:eastAsia="Arial" w:hAnsi="Arial"/>
          <w:sz w:val="22"/>
          <w:szCs w:val="22"/>
          <w:u w:val="single" w:color="auto"/>
          <w:color w:val="auto"/>
        </w:rPr>
        <w:t>Brokers</w:t>
      </w:r>
      <w:r>
        <w:rPr>
          <w:rFonts w:ascii="Arial" w:cs="Arial" w:eastAsia="Arial" w:hAnsi="Arial"/>
          <w:sz w:val="22"/>
          <w:szCs w:val="22"/>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ind w:left="880"/>
              <w:spacing w:after="0"/>
              <w:rPr>
                <w:sz w:val="20"/>
                <w:szCs w:val="20"/>
                <w:color w:val="auto"/>
              </w:rPr>
            </w:pPr>
            <w:r>
              <w:rPr>
                <w:rFonts w:ascii="Arial" w:cs="Arial" w:eastAsia="Arial" w:hAnsi="Arial"/>
                <w:sz w:val="22"/>
                <w:szCs w:val="22"/>
                <w:color w:val="auto"/>
              </w:rPr>
              <w:t>(rr)</w:t>
            </w:r>
          </w:p>
        </w:tc>
        <w:tc>
          <w:tcPr>
            <w:tcW w:w="8920" w:type="dxa"/>
            <w:vAlign w:val="bottom"/>
            <w:gridSpan w:val="3"/>
          </w:tcPr>
          <w:p>
            <w:pPr>
              <w:jc w:val="center"/>
              <w:ind w:right="20"/>
              <w:spacing w:after="0"/>
              <w:rPr>
                <w:sz w:val="20"/>
                <w:szCs w:val="20"/>
                <w:color w:val="auto"/>
              </w:rPr>
            </w:pPr>
            <w:r>
              <w:rPr>
                <w:rFonts w:ascii="Arial" w:cs="Arial" w:eastAsia="Arial" w:hAnsi="Arial"/>
                <w:sz w:val="22"/>
                <w:szCs w:val="22"/>
                <w:color w:val="auto"/>
                <w:w w:val="91"/>
              </w:rPr>
              <w:t>FINRA Matters. The Company meets the requirements for use of Form S-3 under the Securities Act</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specified in FINRA Rule 5110(b)(7)(C)(i).</w:t>
            </w:r>
          </w:p>
        </w:tc>
      </w:tr>
      <w:tr>
        <w:trPr>
          <w:trHeight w:val="409"/>
        </w:trPr>
        <w:tc>
          <w:tcPr>
            <w:tcW w:w="2500" w:type="dxa"/>
            <w:vAlign w:val="bottom"/>
          </w:tcPr>
          <w:p>
            <w:pPr>
              <w:ind w:left="880"/>
              <w:spacing w:after="0"/>
              <w:rPr>
                <w:sz w:val="20"/>
                <w:szCs w:val="20"/>
                <w:color w:val="auto"/>
              </w:rPr>
            </w:pPr>
            <w:r>
              <w:rPr>
                <w:rFonts w:ascii="Arial" w:cs="Arial" w:eastAsia="Arial" w:hAnsi="Arial"/>
                <w:sz w:val="22"/>
                <w:szCs w:val="22"/>
                <w:color w:val="auto"/>
              </w:rPr>
              <w:t>(ss)</w:t>
            </w:r>
          </w:p>
        </w:tc>
        <w:tc>
          <w:tcPr>
            <w:tcW w:w="8920" w:type="dxa"/>
            <w:vAlign w:val="bottom"/>
            <w:gridSpan w:val="3"/>
          </w:tcPr>
          <w:p>
            <w:pPr>
              <w:jc w:val="center"/>
              <w:spacing w:after="0"/>
              <w:rPr>
                <w:sz w:val="20"/>
                <w:szCs w:val="20"/>
                <w:color w:val="auto"/>
              </w:rPr>
            </w:pPr>
            <w:r>
              <w:rPr>
                <w:rFonts w:ascii="Arial" w:cs="Arial" w:eastAsia="Arial" w:hAnsi="Arial"/>
                <w:sz w:val="22"/>
                <w:szCs w:val="22"/>
                <w:color w:val="auto"/>
                <w:w w:val="90"/>
              </w:rPr>
              <w:t>Stock Exchange Listing. The Common Shares are registered pursuant to Section 12(b) or 12(g) of the</w:t>
            </w:r>
          </w:p>
        </w:tc>
      </w:tr>
      <w:tr>
        <w:trPr>
          <w:trHeight w:val="20"/>
        </w:trPr>
        <w:tc>
          <w:tcPr>
            <w:tcW w:w="2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6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 Company acknowledges that the Agent and, for purposes of the opinions to be delivered pursuant to Section 4(p) and Section 5(a)(v) hereof, counsel to the Company and counsel to the Agent, will rely upon the accuracy and truthfulness of the foregoing representations and hereby consents to such reliance.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ISSUANCE AND SALE OF COMMON SHARES</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Sale of Securities</w:t>
      </w:r>
      <w:r>
        <w:rPr>
          <w:rFonts w:ascii="Arial" w:cs="Arial" w:eastAsia="Arial" w:hAnsi="Arial"/>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8"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Mechanics of Issuances</w:t>
      </w:r>
      <w:r>
        <w:rPr>
          <w:rFonts w:ascii="Arial" w:cs="Arial" w:eastAsia="Arial" w:hAnsi="Arial"/>
          <w:sz w:val="22"/>
          <w:szCs w:val="22"/>
          <w:color w:val="auto"/>
        </w:rPr>
        <w:t>.</w:t>
      </w:r>
    </w:p>
    <w:p>
      <w:pPr>
        <w:spacing w:after="0" w:line="206" w:lineRule="exact"/>
        <w:rPr>
          <w:sz w:val="20"/>
          <w:szCs w:val="20"/>
          <w:color w:val="auto"/>
        </w:rPr>
      </w:pPr>
    </w:p>
    <w:p>
      <w:pPr>
        <w:jc w:val="both"/>
        <w:ind w:firstLine="885"/>
        <w:spacing w:after="0" w:line="279" w:lineRule="auto"/>
        <w:tabs>
          <w:tab w:leader="none" w:pos="1243"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Issuance Notice</w:t>
      </w:r>
      <w:r>
        <w:rPr>
          <w:rFonts w:ascii="Arial" w:cs="Arial" w:eastAsia="Arial" w:hAnsi="Arial"/>
          <w:sz w:val="19"/>
          <w:szCs w:val="19"/>
          <w:color w:val="auto"/>
        </w:rPr>
        <w:t xml:space="preserve">. Upon the terms and subject to the conditions set forth herein, on any Trading Day during the Agency Period on which the conditions set forth in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shall have been satisfied, the Company may exercise its right to request an issuance of Shares by delivering to the Agent an Issuance Notice;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p>
      <w:pPr>
        <w:jc w:val="both"/>
        <w:spacing w:after="0" w:line="251" w:lineRule="exact"/>
        <w:rPr>
          <w:sz w:val="20"/>
          <w:szCs w:val="20"/>
          <w:color w:val="auto"/>
        </w:rPr>
      </w:pPr>
      <w:r>
        <w:rPr>
          <w:rFonts w:ascii="Arial" w:cs="Arial" w:eastAsia="Arial" w:hAnsi="Arial"/>
          <w:sz w:val="21"/>
          <w:szCs w:val="21"/>
          <w:color w:val="auto"/>
        </w:rPr>
        <w:t>period set forth for any previous Issuance Notice shall have expired or been terminated. An Issuance Notice shall be considered delivered on the Trading Day that it is received by e</w:t>
      </w:r>
      <w:r>
        <w:rPr>
          <w:rFonts w:ascii="MS PGothic" w:cs="MS PGothic" w:eastAsia="MS PGothic" w:hAnsi="MS PGothic"/>
          <w:sz w:val="21"/>
          <w:szCs w:val="21"/>
          <w:color w:val="auto"/>
        </w:rPr>
        <w:t>‑</w:t>
      </w:r>
      <w:r>
        <w:rPr>
          <w:rFonts w:ascii="Arial" w:cs="Arial" w:eastAsia="Arial" w:hAnsi="Arial"/>
          <w:sz w:val="21"/>
          <w:szCs w:val="21"/>
          <w:color w:val="auto"/>
        </w:rPr>
        <w:t>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7" w:lineRule="exact"/>
        <w:rPr>
          <w:sz w:val="20"/>
          <w:szCs w:val="20"/>
          <w:color w:val="auto"/>
        </w:rPr>
      </w:pPr>
    </w:p>
    <w:p>
      <w:pPr>
        <w:jc w:val="both"/>
        <w:ind w:firstLine="885"/>
        <w:spacing w:after="0" w:line="279" w:lineRule="auto"/>
        <w:tabs>
          <w:tab w:leader="none" w:pos="179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Agent Efforts</w:t>
      </w:r>
      <w:r>
        <w:rPr>
          <w:rFonts w:ascii="Arial" w:cs="Arial" w:eastAsia="Arial" w:hAnsi="Arial"/>
          <w:sz w:val="19"/>
          <w:szCs w:val="19"/>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50" w:lineRule="exact"/>
        <w:rPr>
          <w:rFonts w:ascii="Arial" w:cs="Arial" w:eastAsia="Arial" w:hAnsi="Arial"/>
          <w:sz w:val="19"/>
          <w:szCs w:val="19"/>
          <w:color w:val="auto"/>
        </w:rPr>
      </w:pPr>
    </w:p>
    <w:p>
      <w:pPr>
        <w:jc w:val="both"/>
        <w:ind w:firstLine="885"/>
        <w:spacing w:after="0" w:line="279" w:lineRule="auto"/>
        <w:tabs>
          <w:tab w:leader="none" w:pos="185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Method of Offer and Sale</w:t>
      </w:r>
      <w:r>
        <w:rPr>
          <w:rFonts w:ascii="Arial" w:cs="Arial" w:eastAsia="Arial" w:hAnsi="Arial"/>
          <w:sz w:val="19"/>
          <w:szCs w:val="19"/>
          <w:color w:val="auto"/>
        </w:rPr>
        <w:t>. The Shares may be offered and sold (A) in privately negotiated transactions with the consent of the Company; (B) as block transactions with the consent of the Company;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50" w:lineRule="exact"/>
        <w:rPr>
          <w:rFonts w:ascii="Arial" w:cs="Arial" w:eastAsia="Arial" w:hAnsi="Arial"/>
          <w:sz w:val="19"/>
          <w:szCs w:val="19"/>
          <w:color w:val="auto"/>
        </w:rPr>
      </w:pPr>
    </w:p>
    <w:p>
      <w:pPr>
        <w:jc w:val="both"/>
        <w:ind w:firstLine="885"/>
        <w:spacing w:after="0" w:line="238" w:lineRule="auto"/>
        <w:tabs>
          <w:tab w:leader="none" w:pos="183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Confirmation to the Company</w:t>
      </w:r>
      <w:r>
        <w:rPr>
          <w:rFonts w:ascii="Arial" w:cs="Arial" w:eastAsia="Arial" w:hAnsi="Arial"/>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5" w:lineRule="exact"/>
        <w:rPr>
          <w:rFonts w:ascii="Arial" w:cs="Arial" w:eastAsia="Arial" w:hAnsi="Arial"/>
          <w:sz w:val="22"/>
          <w:szCs w:val="22"/>
          <w:color w:val="auto"/>
        </w:rPr>
      </w:pPr>
    </w:p>
    <w:p>
      <w:pPr>
        <w:jc w:val="both"/>
        <w:ind w:firstLine="885"/>
        <w:spacing w:after="0" w:line="245" w:lineRule="auto"/>
        <w:tabs>
          <w:tab w:leader="none" w:pos="1778"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xml:space="preserve">. Each issuance of Shares will be settled on the applicable Settlement Date for such issuance of Shares and, subject to the provisions of </w:t>
      </w:r>
      <w:r>
        <w:rPr>
          <w:rFonts w:ascii="Arial" w:cs="Arial" w:eastAsia="Arial" w:hAnsi="Arial"/>
          <w:sz w:val="21"/>
          <w:szCs w:val="21"/>
          <w:u w:val="single" w:color="auto"/>
          <w:color w:val="auto"/>
        </w:rPr>
        <w:t>Section 5</w:t>
      </w:r>
      <w:r>
        <w:rPr>
          <w:rFonts w:ascii="Arial" w:cs="Arial" w:eastAsia="Arial" w:hAnsi="Arial"/>
          <w:sz w:val="21"/>
          <w:szCs w:val="21"/>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21"/>
          <w:szCs w:val="21"/>
          <w:b w:val="1"/>
          <w:bCs w:val="1"/>
          <w:color w:val="auto"/>
        </w:rPr>
        <w:t>Time of Sale</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885"/>
        <w:spacing w:after="0" w:line="297" w:lineRule="auto"/>
        <w:tabs>
          <w:tab w:leader="none" w:pos="183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Suspension or Termination of Sales</w:t>
      </w:r>
      <w:r>
        <w:rPr>
          <w:rFonts w:ascii="Arial" w:cs="Arial" w:eastAsia="Arial" w:hAnsi="Arial"/>
          <w:sz w:val="19"/>
          <w:szCs w:val="19"/>
          <w:color w:val="auto"/>
        </w:rPr>
        <w:t>. Consistent with standard market settlement practices, the Company or the Agent may, upon notice to the other party hereto in writing (including by email correspondence to each of the individuals of the other party whose names are set forth on Schedule A) or by telephone (confirmed immediately by verifiable email), suspend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jc w:val="both"/>
        <w:spacing w:after="0" w:line="273" w:lineRule="auto"/>
        <w:rPr>
          <w:sz w:val="20"/>
          <w:szCs w:val="20"/>
          <w:color w:val="auto"/>
        </w:rPr>
      </w:pPr>
      <w:r>
        <w:rPr>
          <w:rFonts w:ascii="Arial" w:cs="Arial" w:eastAsia="Arial" w:hAnsi="Arial"/>
          <w:sz w:val="19"/>
          <w:szCs w:val="19"/>
          <w:color w:val="auto"/>
        </w:rPr>
        <w:t xml:space="preserve">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9"/>
          <w:szCs w:val="19"/>
          <w:u w:val="single" w:color="auto"/>
          <w:color w:val="auto"/>
        </w:rPr>
        <w:t>Section 3(b)(i)</w:t>
      </w:r>
      <w:r>
        <w:rPr>
          <w:rFonts w:ascii="Arial" w:cs="Arial" w:eastAsia="Arial" w:hAnsi="Arial"/>
          <w:sz w:val="19"/>
          <w:szCs w:val="19"/>
          <w:color w:val="auto"/>
        </w:rPr>
        <w:t>.</w:t>
      </w:r>
    </w:p>
    <w:p>
      <w:pPr>
        <w:spacing w:after="0" w:line="157" w:lineRule="exact"/>
        <w:rPr>
          <w:sz w:val="20"/>
          <w:szCs w:val="20"/>
          <w:color w:val="auto"/>
        </w:rPr>
      </w:pPr>
    </w:p>
    <w:p>
      <w:pPr>
        <w:jc w:val="both"/>
        <w:ind w:firstLine="885"/>
        <w:spacing w:after="0" w:line="252" w:lineRule="auto"/>
        <w:tabs>
          <w:tab w:leader="none" w:pos="1898"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No Guarantee of Placement, Etc.</w:t>
      </w:r>
      <w:r>
        <w:rPr>
          <w:rFonts w:ascii="Arial" w:cs="Arial" w:eastAsia="Arial" w:hAnsi="Arial"/>
          <w:sz w:val="21"/>
          <w:szCs w:val="21"/>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4" w:lineRule="exact"/>
        <w:rPr>
          <w:rFonts w:ascii="Arial" w:cs="Arial" w:eastAsia="Arial" w:hAnsi="Arial"/>
          <w:sz w:val="21"/>
          <w:szCs w:val="21"/>
          <w:color w:val="auto"/>
        </w:rPr>
      </w:pPr>
    </w:p>
    <w:p>
      <w:pPr>
        <w:jc w:val="both"/>
        <w:ind w:firstLine="885"/>
        <w:spacing w:after="0" w:line="258" w:lineRule="auto"/>
        <w:tabs>
          <w:tab w:leader="none" w:pos="1958"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Material Non-Public Information.</w:t>
      </w:r>
      <w:r>
        <w:rPr>
          <w:rFonts w:ascii="Arial" w:cs="Arial" w:eastAsia="Arial" w:hAnsi="Arial"/>
          <w:sz w:val="21"/>
          <w:szCs w:val="21"/>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ind w:left="880"/>
              <w:spacing w:after="0"/>
              <w:rPr>
                <w:sz w:val="20"/>
                <w:szCs w:val="20"/>
                <w:color w:val="auto"/>
              </w:rPr>
            </w:pPr>
            <w:r>
              <w:rPr>
                <w:rFonts w:ascii="Arial" w:cs="Arial" w:eastAsia="Arial" w:hAnsi="Arial"/>
                <w:sz w:val="22"/>
                <w:szCs w:val="22"/>
                <w:color w:val="auto"/>
              </w:rPr>
              <w:t>(c)</w:t>
            </w:r>
          </w:p>
        </w:tc>
        <w:tc>
          <w:tcPr>
            <w:tcW w:w="860" w:type="dxa"/>
            <w:vAlign w:val="bottom"/>
          </w:tcPr>
          <w:p>
            <w:pPr>
              <w:spacing w:after="0"/>
              <w:rPr>
                <w:sz w:val="21"/>
                <w:szCs w:val="21"/>
                <w:color w:val="auto"/>
              </w:rPr>
            </w:pPr>
          </w:p>
        </w:tc>
        <w:tc>
          <w:tcPr>
            <w:tcW w:w="7740" w:type="dxa"/>
            <w:vAlign w:val="bottom"/>
            <w:gridSpan w:val="2"/>
          </w:tcPr>
          <w:p>
            <w:pPr>
              <w:jc w:val="right"/>
              <w:ind w:right="40"/>
              <w:spacing w:after="0"/>
              <w:rPr>
                <w:sz w:val="20"/>
                <w:szCs w:val="20"/>
                <w:color w:val="auto"/>
              </w:rPr>
            </w:pPr>
            <w:r>
              <w:rPr>
                <w:rFonts w:ascii="Arial" w:cs="Arial" w:eastAsia="Arial" w:hAnsi="Arial"/>
                <w:sz w:val="22"/>
                <w:szCs w:val="22"/>
                <w:color w:val="auto"/>
                <w:w w:val="91"/>
              </w:rPr>
              <w:t>Fees. As compensation for services rendered, the Company shall pay to the Agent, on</w:t>
            </w:r>
          </w:p>
        </w:tc>
        <w:tc>
          <w:tcPr>
            <w:tcW w:w="1260" w:type="dxa"/>
            <w:vAlign w:val="bottom"/>
          </w:tcPr>
          <w:p>
            <w:pPr>
              <w:jc w:val="right"/>
              <w:spacing w:after="0"/>
              <w:rPr>
                <w:sz w:val="20"/>
                <w:szCs w:val="20"/>
                <w:color w:val="auto"/>
              </w:rPr>
            </w:pPr>
            <w:r>
              <w:rPr>
                <w:rFonts w:ascii="Arial" w:cs="Arial" w:eastAsia="Arial" w:hAnsi="Arial"/>
                <w:sz w:val="22"/>
                <w:szCs w:val="22"/>
                <w:color w:val="auto"/>
                <w:w w:val="91"/>
              </w:rPr>
              <w:t>the applicable</w:t>
            </w: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22"/>
                <w:szCs w:val="22"/>
                <w:color w:val="auto"/>
                <w:w w:val="93"/>
              </w:rPr>
              <w:t>Settlement Date,</w:t>
            </w:r>
          </w:p>
        </w:tc>
        <w:tc>
          <w:tcPr>
            <w:tcW w:w="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w w:val="92"/>
              </w:rPr>
              <w:t>suspended or</w:t>
            </w:r>
          </w:p>
        </w:tc>
        <w:tc>
          <w:tcPr>
            <w:tcW w:w="0" w:type="dxa"/>
            <w:vAlign w:val="bottom"/>
          </w:tcPr>
          <w:p>
            <w:pPr>
              <w:spacing w:after="0" w:line="20" w:lineRule="exact"/>
              <w:rPr>
                <w:sz w:val="1"/>
                <w:szCs w:val="1"/>
                <w:color w:val="auto"/>
              </w:rPr>
            </w:pPr>
          </w:p>
        </w:tc>
      </w:tr>
      <w:tr>
        <w:trPr>
          <w:trHeight w:val="260"/>
        </w:trPr>
        <w:tc>
          <w:tcPr>
            <w:tcW w:w="1560" w:type="dxa"/>
            <w:vAlign w:val="bottom"/>
            <w:vMerge w:val="continue"/>
          </w:tcPr>
          <w:p>
            <w:pPr>
              <w:spacing w:after="0"/>
              <w:rPr>
                <w:sz w:val="22"/>
                <w:szCs w:val="22"/>
                <w:color w:val="auto"/>
              </w:rPr>
            </w:pPr>
          </w:p>
        </w:tc>
        <w:tc>
          <w:tcPr>
            <w:tcW w:w="8600" w:type="dxa"/>
            <w:vAlign w:val="bottom"/>
            <w:gridSpan w:val="3"/>
          </w:tcPr>
          <w:p>
            <w:pPr>
              <w:jc w:val="right"/>
              <w:ind w:right="40"/>
              <w:spacing w:after="0"/>
              <w:rPr>
                <w:sz w:val="20"/>
                <w:szCs w:val="20"/>
                <w:color w:val="auto"/>
              </w:rPr>
            </w:pPr>
            <w:r>
              <w:rPr>
                <w:rFonts w:ascii="Arial" w:cs="Arial" w:eastAsia="Arial" w:hAnsi="Arial"/>
                <w:sz w:val="22"/>
                <w:szCs w:val="22"/>
                <w:color w:val="auto"/>
                <w:w w:val="98"/>
              </w:rPr>
              <w:t>the Selling Commission for the applicable Issuance Amount (including with respect to any</w:t>
            </w: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9"/>
          <w:szCs w:val="19"/>
          <w:color w:val="auto"/>
        </w:rPr>
        <w:t xml:space="preserve">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223"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all costs, fees and expenses incurred in connection with the performance of its obligations hereunder and in connection with the transactions contemplated hereby, including without limitation</w:t>
      </w:r>
    </w:p>
    <w:p>
      <w:pPr>
        <w:spacing w:after="0" w:line="2" w:lineRule="exact"/>
        <w:rPr>
          <w:sz w:val="20"/>
          <w:szCs w:val="20"/>
          <w:color w:val="auto"/>
        </w:rPr>
      </w:pPr>
    </w:p>
    <w:p>
      <w:pPr>
        <w:jc w:val="both"/>
        <w:ind w:firstLine="8"/>
        <w:spacing w:after="0" w:line="243" w:lineRule="auto"/>
        <w:tabs>
          <w:tab w:leader="none" w:pos="282" w:val="left"/>
        </w:tabs>
        <w:numPr>
          <w:ilvl w:val="0"/>
          <w:numId w:val="78"/>
        </w:numPr>
        <w:rPr>
          <w:rFonts w:ascii="Arial" w:cs="Arial" w:eastAsia="Arial" w:hAnsi="Arial"/>
          <w:sz w:val="21"/>
          <w:szCs w:val="21"/>
          <w:color w:val="auto"/>
        </w:rPr>
      </w:pPr>
      <w:r>
        <w:rPr>
          <w:rFonts w:ascii="Arial" w:cs="Arial" w:eastAsia="Arial" w:hAnsi="Arial"/>
          <w:sz w:val="21"/>
          <w:szCs w:val="21"/>
          <w:color w:val="auto"/>
        </w:rPr>
        <w:t>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(vii)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2" w:name="page153"/>
    <w:bookmarkEnd w:id="152"/>
    <w:p>
      <w:pPr>
        <w:jc w:val="both"/>
        <w:spacing w:after="0" w:line="277" w:lineRule="auto"/>
        <w:rPr>
          <w:sz w:val="20"/>
          <w:szCs w:val="20"/>
          <w:color w:val="auto"/>
        </w:rPr>
      </w:pPr>
      <w:r>
        <w:rPr>
          <w:rFonts w:ascii="Arial" w:cs="Arial" w:eastAsia="Arial" w:hAnsi="Arial"/>
          <w:sz w:val="19"/>
          <w:szCs w:val="19"/>
          <w:color w:val="auto"/>
        </w:rPr>
        <w:t xml:space="preserve">reasonable and documented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fees and expenses associated with listing the Shares on the Principal Market; and (x) all expenses incurred by the Company in connection with any “road show” presentation to potential investors. The fees and disbursements of Agent’s counsel pursuant to subsections (vi) and (vii) above shall not exceed (A) $50,000 in connection with the execution of this Agreement and (B) $15,000 in connection with each Triggering Event Date (as defined below) on which the Company is required to provide a certificate pursuant to </w:t>
      </w:r>
      <w:r>
        <w:rPr>
          <w:rFonts w:ascii="Arial" w:cs="Arial" w:eastAsia="Arial" w:hAnsi="Arial"/>
          <w:sz w:val="19"/>
          <w:szCs w:val="19"/>
          <w:u w:val="single" w:color="auto"/>
          <w:color w:val="auto"/>
        </w:rPr>
        <w:t>Section 4(o</w:t>
      </w:r>
      <w:r>
        <w:rPr>
          <w:rFonts w:ascii="Arial" w:cs="Arial" w:eastAsia="Arial" w:hAnsi="Arial"/>
          <w:sz w:val="19"/>
          <w:szCs w:val="19"/>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ADDITIONAL COVENANTS</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The Company covenants and agrees with the Agent as follows, in addition to any other covenants and agreements made elsewhere in this Agreement:</w:t>
      </w:r>
    </w:p>
    <w:p>
      <w:pPr>
        <w:spacing w:after="0" w:line="17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Exchange Act Compliance</w:t>
      </w:r>
      <w:r>
        <w:rPr>
          <w:rFonts w:ascii="Arial" w:cs="Arial" w:eastAsia="Arial" w:hAnsi="Arial"/>
          <w:sz w:val="19"/>
          <w:szCs w:val="19"/>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sold, if any,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Arial" w:cs="Arial" w:eastAsia="Arial" w:hAnsi="Arial"/>
          <w:sz w:val="19"/>
          <w:szCs w:val="19"/>
          <w:b w:val="1"/>
          <w:bCs w:val="1"/>
          <w:color w:val="auto"/>
        </w:rPr>
        <w:t>Interim Prospectus Supplement”)</w:t>
      </w:r>
      <w:r>
        <w:rPr>
          <w:rFonts w:ascii="Arial" w:cs="Arial" w:eastAsia="Arial" w:hAnsi="Arial"/>
          <w:sz w:val="19"/>
          <w:szCs w:val="19"/>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59"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Securities Act Compliance</w:t>
      </w:r>
      <w:r>
        <w:rPr>
          <w:rFonts w:ascii="Arial" w:cs="Arial" w:eastAsia="Arial" w:hAnsi="Arial"/>
          <w:sz w:val="19"/>
          <w:szCs w:val="19"/>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3" w:name="page154"/>
    <w:bookmarkEnd w:id="153"/>
    <w:p>
      <w:pPr>
        <w:jc w:val="both"/>
        <w:spacing w:after="0" w:line="251" w:lineRule="auto"/>
        <w:rPr>
          <w:sz w:val="20"/>
          <w:szCs w:val="20"/>
          <w:color w:val="auto"/>
        </w:rPr>
      </w:pPr>
      <w:r>
        <w:rPr>
          <w:rFonts w:ascii="Arial" w:cs="Arial" w:eastAsia="Arial" w:hAnsi="Arial"/>
          <w:sz w:val="22"/>
          <w:szCs w:val="22"/>
          <w:color w:val="auto"/>
        </w:rPr>
        <w:t>confirm that any filings made by the Company under such Rule 424(b) or Rule 433 were received in a timely manner by the Commission.</w:t>
      </w:r>
    </w:p>
    <w:p>
      <w:pPr>
        <w:spacing w:after="0" w:line="174"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 4(d) and Section 4(f);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only remedy the Agent shall have with respect to the failure by the Company to make such filing (other than the Agent’s rights under Section 3(d) or Section 6 hereof) shall be to cease making sales under this Agreement until such amendment or supplement is filed;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spacing w:after="0" w:line="168"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u w:val="single" w:color="auto"/>
          <w:color w:val="auto"/>
        </w:rPr>
        <w:t>Agent’s Review of Certain Proposed Amendments and Supplements</w:t>
      </w:r>
      <w:r>
        <w:rPr>
          <w:rFonts w:ascii="Arial" w:cs="Arial" w:eastAsia="Arial" w:hAnsi="Arial"/>
          <w:sz w:val="19"/>
          <w:szCs w:val="19"/>
          <w:color w:val="auto"/>
        </w:rPr>
        <w:t>.  During any period in which an</w:t>
      </w:r>
    </w:p>
    <w:p>
      <w:pPr>
        <w:spacing w:after="0" w:line="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Issuance Notice is pending,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or the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18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Use of Free Writing Prospectus</w:t>
      </w:r>
      <w:r>
        <w:rPr>
          <w:rFonts w:ascii="Arial" w:cs="Arial" w:eastAsia="Arial" w:hAnsi="Arial"/>
          <w:sz w:val="22"/>
          <w:szCs w:val="22"/>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22"/>
          <w:szCs w:val="22"/>
          <w:b w:val="1"/>
          <w:bCs w:val="1"/>
          <w:color w:val="auto"/>
        </w:rPr>
        <w:t>Free Writing</w:t>
      </w:r>
      <w:r>
        <w:rPr>
          <w:rFonts w:ascii="Arial" w:cs="Arial" w:eastAsia="Arial" w:hAnsi="Arial"/>
          <w:sz w:val="22"/>
          <w:szCs w:val="22"/>
          <w:color w:val="auto"/>
        </w:rPr>
        <w:t xml:space="preserve"> </w:t>
      </w:r>
      <w:r>
        <w:rPr>
          <w:rFonts w:ascii="Arial" w:cs="Arial" w:eastAsia="Arial" w:hAnsi="Arial"/>
          <w:sz w:val="22"/>
          <w:szCs w:val="22"/>
          <w:b w:val="1"/>
          <w:bCs w:val="1"/>
          <w:color w:val="auto"/>
        </w:rPr>
        <w:t>Prospectus</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ind w:left="880"/>
        <w:spacing w:after="0"/>
        <w:tabs>
          <w:tab w:leader="none" w:pos="238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u w:val="single" w:color="auto"/>
          <w:color w:val="auto"/>
        </w:rPr>
        <w:t>Free Writing Prospectuses</w:t>
      </w:r>
      <w:r>
        <w:rPr>
          <w:rFonts w:ascii="Arial" w:cs="Arial" w:eastAsia="Arial" w:hAnsi="Arial"/>
          <w:sz w:val="19"/>
          <w:szCs w:val="19"/>
          <w:color w:val="auto"/>
        </w:rPr>
        <w:t>.  During any period in which an Issuance Notice is pending, the Company</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amendment or supplement relates to the Shares and the transactions contemplated hereby,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insofar as such proposed amendment or supplement relates to the Shares or the transactions contemplated hereby,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amending or supplementing any such free writing prospectus, the Company shall furnish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200" w:lineRule="exact"/>
        <w:rPr>
          <w:sz w:val="20"/>
          <w:szCs w:val="20"/>
          <w:color w:val="auto"/>
        </w:rPr>
      </w:pPr>
    </w:p>
    <w:p>
      <w:pPr>
        <w:spacing w:after="0" w:line="207"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34"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(h) </w:t>
      </w:r>
      <w:r>
        <w:rPr>
          <w:rFonts w:ascii="Arial" w:cs="Arial" w:eastAsia="Arial" w:hAnsi="Arial"/>
          <w:sz w:val="19"/>
          <w:szCs w:val="19"/>
          <w:u w:val="single" w:color="auto"/>
          <w:color w:val="auto"/>
        </w:rPr>
        <w:t>Copies of Registration Statement and Prospectus</w:t>
      </w:r>
      <w:r>
        <w:rPr>
          <w:rFonts w:ascii="Arial" w:cs="Arial" w:eastAsia="Arial" w:hAnsi="Arial"/>
          <w:sz w:val="19"/>
          <w:szCs w:val="19"/>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5" w:name="page156"/>
    <w:bookmarkEnd w:id="155"/>
    <w:p>
      <w:pPr>
        <w:jc w:val="both"/>
        <w:spacing w:after="0" w:line="273" w:lineRule="auto"/>
        <w:rPr>
          <w:sz w:val="20"/>
          <w:szCs w:val="20"/>
          <w:color w:val="auto"/>
        </w:rPr>
      </w:pPr>
      <w:r>
        <w:rPr>
          <w:rFonts w:ascii="Arial" w:cs="Arial" w:eastAsia="Arial" w:hAnsi="Arial"/>
          <w:sz w:val="19"/>
          <w:szCs w:val="19"/>
          <w:color w:val="auto"/>
        </w:rPr>
        <w:t>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62"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Blue Sky Compliance</w:t>
      </w:r>
      <w:r>
        <w:rPr>
          <w:rFonts w:ascii="Arial" w:cs="Arial" w:eastAsia="Arial" w:hAnsi="Arial"/>
          <w:sz w:val="19"/>
          <w:szCs w:val="19"/>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w:t>
      </w:r>
    </w:p>
    <w:p>
      <w:pPr>
        <w:spacing w:after="0" w:line="16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(j) </w:t>
      </w:r>
      <w:r>
        <w:rPr>
          <w:rFonts w:ascii="Arial" w:cs="Arial" w:eastAsia="Arial" w:hAnsi="Arial"/>
          <w:sz w:val="22"/>
          <w:szCs w:val="22"/>
          <w:u w:val="single" w:color="auto"/>
          <w:color w:val="auto"/>
        </w:rPr>
        <w:t>Earnings Statement</w:t>
      </w:r>
      <w:r>
        <w:rPr>
          <w:rFonts w:ascii="Arial" w:cs="Arial" w:eastAsia="Arial" w:hAnsi="Arial"/>
          <w:sz w:val="22"/>
          <w:szCs w:val="22"/>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u w:val="single" w:color="auto"/>
          <w:color w:val="auto"/>
        </w:rPr>
        <w:t>Listing; Reservation of Shares</w:t>
      </w:r>
      <w:r>
        <w:rPr>
          <w:rFonts w:ascii="Arial" w:cs="Arial" w:eastAsia="Arial" w:hAnsi="Arial"/>
          <w:sz w:val="22"/>
          <w:szCs w:val="22"/>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ind w:left="880"/>
              <w:spacing w:after="0"/>
              <w:rPr>
                <w:sz w:val="20"/>
                <w:szCs w:val="20"/>
                <w:color w:val="auto"/>
              </w:rPr>
            </w:pPr>
            <w:r>
              <w:rPr>
                <w:rFonts w:ascii="Arial" w:cs="Arial" w:eastAsia="Arial" w:hAnsi="Arial"/>
                <w:sz w:val="22"/>
                <w:szCs w:val="22"/>
                <w:color w:val="auto"/>
              </w:rPr>
              <w:t>(l)</w:t>
            </w:r>
          </w:p>
        </w:tc>
        <w:tc>
          <w:tcPr>
            <w:tcW w:w="9600" w:type="dxa"/>
            <w:vAlign w:val="bottom"/>
            <w:gridSpan w:val="4"/>
          </w:tcPr>
          <w:p>
            <w:pPr>
              <w:jc w:val="right"/>
              <w:spacing w:after="0"/>
              <w:rPr>
                <w:sz w:val="20"/>
                <w:szCs w:val="20"/>
                <w:color w:val="auto"/>
              </w:rPr>
            </w:pPr>
            <w:r>
              <w:rPr>
                <w:rFonts w:ascii="Arial" w:cs="Arial" w:eastAsia="Arial" w:hAnsi="Arial"/>
                <w:sz w:val="22"/>
                <w:szCs w:val="22"/>
                <w:color w:val="auto"/>
                <w:w w:val="95"/>
              </w:rPr>
              <w:t>Transfer Agent. The Company shall engage and maintain, at its expense, a registrar and transfer agent</w:t>
            </w: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for the Shares.</w:t>
            </w:r>
          </w:p>
        </w:tc>
        <w:tc>
          <w:tcPr>
            <w:tcW w:w="5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7680" w:type="dxa"/>
            <w:vAlign w:val="bottom"/>
          </w:tcPr>
          <w:p>
            <w:pPr>
              <w:spacing w:after="0"/>
              <w:rPr>
                <w:sz w:val="23"/>
                <w:szCs w:val="23"/>
                <w:color w:val="auto"/>
              </w:rPr>
            </w:pPr>
          </w:p>
        </w:tc>
      </w:tr>
      <w:tr>
        <w:trPr>
          <w:trHeight w:val="409"/>
        </w:trPr>
        <w:tc>
          <w:tcPr>
            <w:tcW w:w="1820" w:type="dxa"/>
            <w:vAlign w:val="bottom"/>
          </w:tcPr>
          <w:p>
            <w:pPr>
              <w:ind w:left="880"/>
              <w:spacing w:after="0"/>
              <w:rPr>
                <w:sz w:val="20"/>
                <w:szCs w:val="20"/>
                <w:color w:val="auto"/>
              </w:rPr>
            </w:pPr>
            <w:r>
              <w:rPr>
                <w:rFonts w:ascii="Arial" w:cs="Arial" w:eastAsia="Arial" w:hAnsi="Arial"/>
                <w:sz w:val="22"/>
                <w:szCs w:val="22"/>
                <w:color w:val="auto"/>
              </w:rPr>
              <w:t>(m)</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20" w:type="dxa"/>
            <w:vAlign w:val="bottom"/>
            <w:gridSpan w:val="2"/>
          </w:tcPr>
          <w:p>
            <w:pPr>
              <w:jc w:val="right"/>
              <w:spacing w:after="0"/>
              <w:rPr>
                <w:sz w:val="20"/>
                <w:szCs w:val="20"/>
                <w:color w:val="auto"/>
              </w:rPr>
            </w:pPr>
            <w:r>
              <w:rPr>
                <w:rFonts w:ascii="Arial" w:cs="Arial" w:eastAsia="Arial" w:hAnsi="Arial"/>
                <w:sz w:val="22"/>
                <w:szCs w:val="22"/>
                <w:color w:val="auto"/>
                <w:w w:val="92"/>
              </w:rPr>
              <w:t>Due Diligence. During the term of this Agreement, the Company will reasonably cooperate with any</w:t>
            </w:r>
          </w:p>
        </w:tc>
      </w:tr>
      <w:tr>
        <w:trPr>
          <w:trHeight w:val="20"/>
        </w:trPr>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6" w:name="page157"/>
    <w:bookmarkEnd w:id="156"/>
    <w:p>
      <w:pPr>
        <w:ind w:left="880"/>
        <w:spacing w:after="0"/>
        <w:tabs>
          <w:tab w:leader="none" w:pos="2420" w:val="left"/>
        </w:tabs>
        <w:rPr>
          <w:sz w:val="20"/>
          <w:szCs w:val="20"/>
          <w:color w:val="auto"/>
        </w:rPr>
      </w:pPr>
      <w:r>
        <w:rPr>
          <w:rFonts w:ascii="Arial" w:cs="Arial" w:eastAsia="Arial" w:hAnsi="Arial"/>
          <w:sz w:val="19"/>
          <w:szCs w:val="19"/>
          <w:color w:val="auto"/>
        </w:rPr>
        <w:t>(n)</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acknowledges that each delivery of an Issuance Notice</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7"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color w:val="auto"/>
        </w:rPr>
        <w:t>(o)</w:t>
      </w:r>
      <w:r>
        <w:rPr>
          <w:sz w:val="20"/>
          <w:szCs w:val="20"/>
          <w:color w:val="auto"/>
        </w:rPr>
        <w:tab/>
      </w:r>
      <w:r>
        <w:rPr>
          <w:rFonts w:ascii="Arial" w:cs="Arial" w:eastAsia="Arial" w:hAnsi="Arial"/>
          <w:sz w:val="19"/>
          <w:szCs w:val="19"/>
          <w:u w:val="single" w:color="auto"/>
          <w:color w:val="auto"/>
        </w:rPr>
        <w:t>Deliverables at Triggering Event Dates; Certificates.</w:t>
      </w:r>
      <w:r>
        <w:rPr>
          <w:rFonts w:ascii="Arial" w:cs="Arial" w:eastAsia="Arial" w:hAnsi="Arial"/>
          <w:sz w:val="19"/>
          <w:szCs w:val="19"/>
          <w:color w:val="auto"/>
        </w:rPr>
        <w:t xml:space="preserve"> The Company agrees that on or prior to the date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first Issuance Notice and, during the term of this Agreement after the date of the first Issuance Notice, upon:</w:t>
      </w:r>
    </w:p>
    <w:p>
      <w:pPr>
        <w:spacing w:after="0" w:line="188" w:lineRule="exact"/>
        <w:rPr>
          <w:sz w:val="20"/>
          <w:szCs w:val="20"/>
          <w:color w:val="auto"/>
        </w:rPr>
      </w:pPr>
    </w:p>
    <w:p>
      <w:pPr>
        <w:jc w:val="both"/>
        <w:ind w:right="160" w:firstLine="1534"/>
        <w:spacing w:after="0" w:line="238" w:lineRule="auto"/>
        <w:tabs>
          <w:tab w:leader="none" w:pos="18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filing with the Commission of an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85" w:lineRule="exact"/>
        <w:rPr>
          <w:rFonts w:ascii="Arial" w:cs="Arial" w:eastAsia="Arial" w:hAnsi="Arial"/>
          <w:sz w:val="22"/>
          <w:szCs w:val="22"/>
          <w:color w:val="auto"/>
        </w:rPr>
      </w:pPr>
    </w:p>
    <w:p>
      <w:pPr>
        <w:ind w:right="20" w:firstLine="1534"/>
        <w:spacing w:after="0" w:line="251" w:lineRule="auto"/>
        <w:tabs>
          <w:tab w:leader="none" w:pos="2462"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filing with the Commission of an annual report on Form 10-K or a quarterly report on Form 10-Q, in each case, of the Company;</w:t>
      </w:r>
    </w:p>
    <w:p>
      <w:pPr>
        <w:spacing w:after="0" w:line="173" w:lineRule="exact"/>
        <w:rPr>
          <w:rFonts w:ascii="Arial" w:cs="Arial" w:eastAsia="Arial" w:hAnsi="Arial"/>
          <w:sz w:val="22"/>
          <w:szCs w:val="22"/>
          <w:color w:val="auto"/>
        </w:rPr>
      </w:pPr>
    </w:p>
    <w:p>
      <w:pPr>
        <w:jc w:val="both"/>
        <w:ind w:firstLine="1534"/>
        <w:spacing w:after="0"/>
        <w:tabs>
          <w:tab w:leader="none" w:pos="253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filing with the Commission of any Form 10-K/A or Form 10-Q/A containing amended financial information or a material amendment to the previously filed annual report on Form 10-K or quarterly report on Form 10-Q, in each case, of the Company; or</w:t>
      </w:r>
    </w:p>
    <w:p>
      <w:pPr>
        <w:spacing w:after="0" w:line="186" w:lineRule="exact"/>
        <w:rPr>
          <w:rFonts w:ascii="Arial" w:cs="Arial" w:eastAsia="Arial" w:hAnsi="Arial"/>
          <w:sz w:val="22"/>
          <w:szCs w:val="22"/>
          <w:color w:val="auto"/>
        </w:rPr>
      </w:pPr>
    </w:p>
    <w:p>
      <w:pPr>
        <w:jc w:val="both"/>
        <w:ind w:firstLine="1534"/>
        <w:spacing w:after="0" w:line="236" w:lineRule="auto"/>
        <w:tabs>
          <w:tab w:leader="none" w:pos="252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the Agent reasonably determines is material to the offering of securities of the Company;</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(any such event described in clauses (A) through (D) above, a “</w:t>
      </w:r>
      <w:r>
        <w:rPr>
          <w:rFonts w:ascii="Arial" w:cs="Arial" w:eastAsia="Arial" w:hAnsi="Arial"/>
          <w:sz w:val="21"/>
          <w:szCs w:val="21"/>
          <w:b w:val="1"/>
          <w:bCs w:val="1"/>
          <w:color w:val="auto"/>
        </w:rPr>
        <w:t>Triggering Event Date</w:t>
      </w:r>
      <w:r>
        <w:rPr>
          <w:rFonts w:ascii="Arial" w:cs="Arial" w:eastAsia="Arial" w:hAnsi="Arial"/>
          <w:sz w:val="21"/>
          <w:szCs w:val="21"/>
          <w:color w:val="auto"/>
        </w:rPr>
        <w:t xml:space="preserve">”), the Company shall furnish the Agent (but in the case of clauses (C) or (D) above, only if the Agent reasonably determines that the information contained in such amendment to Form 10-K or Form 10-Q or such current report on Form 8-K of the Company is material to a holder of Common Shares and the Agent requests such certification after the filing of such amendment or Form 8-K with the Commission) with a certificate as of the Triggering Event Date, substantially in the form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executed by the Chief Executive Officer, President or Chief Financial Officer of the Company. The requirement to provide a certificate under this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jc w:val="both"/>
        <w:spacing w:after="0" w:line="282" w:lineRule="auto"/>
        <w:rPr>
          <w:sz w:val="20"/>
          <w:szCs w:val="20"/>
          <w:color w:val="auto"/>
        </w:rPr>
      </w:pPr>
      <w:r>
        <w:rPr>
          <w:rFonts w:ascii="Arial" w:cs="Arial" w:eastAsia="Arial" w:hAnsi="Arial"/>
          <w:sz w:val="19"/>
          <w:szCs w:val="19"/>
          <w:color w:val="auto"/>
        </w:rPr>
        <w:t>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48"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(p) </w:t>
      </w: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Latham &amp; Watkins LLP, counsel to the Company (“</w:t>
      </w:r>
      <w:r>
        <w:rPr>
          <w:rFonts w:ascii="Arial" w:cs="Arial" w:eastAsia="Arial" w:hAnsi="Arial"/>
          <w:sz w:val="19"/>
          <w:szCs w:val="19"/>
          <w:b w:val="1"/>
          <w:bCs w:val="1"/>
          <w:color w:val="auto"/>
        </w:rPr>
        <w:t>Company Counsel</w:t>
      </w:r>
      <w:r>
        <w:rPr>
          <w:rFonts w:ascii="Arial" w:cs="Arial" w:eastAsia="Arial" w:hAnsi="Arial"/>
          <w:sz w:val="19"/>
          <w:szCs w:val="19"/>
          <w:color w:val="auto"/>
        </w:rPr>
        <w:t>”), to furnish the Agent a negative assurances letter and the written legal opinion,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 for subsequent periodic filings, in the discretion of the Agent, the Company may furnish a reliance letter from counsel to the Company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The Company shall be required to furnish no more than one opinion letter and negative assurance letter per counsel hereunder per filing of an annual report on Form 10-K or quarterly report on Form 10-Q.</w:t>
      </w:r>
    </w:p>
    <w:p>
      <w:pPr>
        <w:spacing w:after="0" w:line="16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(q) </w:t>
      </w:r>
      <w:r>
        <w:rPr>
          <w:rFonts w:ascii="Arial" w:cs="Arial" w:eastAsia="Arial" w:hAnsi="Arial"/>
          <w:sz w:val="21"/>
          <w:szCs w:val="21"/>
          <w:u w:val="single" w:color="auto"/>
          <w:color w:val="auto"/>
        </w:rPr>
        <w:t>Comfort Letter</w:t>
      </w:r>
      <w:r>
        <w:rPr>
          <w:rFonts w:ascii="Arial" w:cs="Arial" w:eastAsia="Arial" w:hAnsi="Arial"/>
          <w:sz w:val="21"/>
          <w:szCs w:val="21"/>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The Company shall be required to furnish no more than one comfort letter hereunder per filing of an annual report on Form 10-K or quarterly report on Form 10-Q.</w:t>
      </w:r>
    </w:p>
    <w:p>
      <w:pPr>
        <w:spacing w:after="0" w:line="182" w:lineRule="exact"/>
        <w:rPr>
          <w:sz w:val="20"/>
          <w:szCs w:val="20"/>
          <w:color w:val="auto"/>
        </w:rPr>
      </w:pPr>
    </w:p>
    <w:p>
      <w:pPr>
        <w:jc w:val="both"/>
        <w:ind w:firstLine="885"/>
        <w:spacing w:after="0" w:line="235" w:lineRule="auto"/>
        <w:tabs>
          <w:tab w:leader="none" w:pos="133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of the Company, signing in such capacity, dated the date of delivery substantially in the form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along with such certificates of good standing or other certificates of public officials as may be reasonably requested by Company Counsel or Agent Counsel (as defined below)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connection with the rendering of their opinions and negative assurance letters as contemplated by Section 4(p) and Section 5(a)(v).</w:t>
      </w:r>
    </w:p>
    <w:p>
      <w:pPr>
        <w:spacing w:after="0" w:line="24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Agent’s Own Account; Clients’ Account</w:t>
      </w:r>
      <w:r>
        <w:rPr>
          <w:rFonts w:ascii="Arial" w:cs="Arial" w:eastAsia="Arial" w:hAnsi="Arial"/>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(t) </w:t>
      </w:r>
      <w:r>
        <w:rPr>
          <w:rFonts w:ascii="Arial" w:cs="Arial" w:eastAsia="Arial" w:hAnsi="Arial"/>
          <w:sz w:val="22"/>
          <w:szCs w:val="22"/>
          <w:u w:val="single" w:color="auto"/>
          <w:color w:val="auto"/>
        </w:rPr>
        <w:t>Investment Limitation</w:t>
      </w:r>
      <w:r>
        <w:rPr>
          <w:rFonts w:ascii="Arial" w:cs="Arial" w:eastAsia="Arial" w:hAnsi="Arial"/>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8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(u) </w:t>
      </w:r>
      <w:r>
        <w:rPr>
          <w:rFonts w:ascii="Arial" w:cs="Arial" w:eastAsia="Arial" w:hAnsi="Arial"/>
          <w:sz w:val="19"/>
          <w:szCs w:val="19"/>
          <w:u w:val="single" w:color="auto"/>
          <w:color w:val="auto"/>
        </w:rPr>
        <w:t>Market Activities</w:t>
      </w:r>
      <w:r>
        <w:rPr>
          <w:rFonts w:ascii="Arial" w:cs="Arial" w:eastAsia="Arial" w:hAnsi="Arial"/>
          <w:sz w:val="19"/>
          <w:szCs w:val="19"/>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9"/>
          <w:szCs w:val="19"/>
          <w:b w:val="1"/>
          <w:bCs w:val="1"/>
          <w:color w:val="auto"/>
        </w:rPr>
        <w:t>Rule 102</w:t>
      </w:r>
      <w:r>
        <w:rPr>
          <w:rFonts w:ascii="Arial" w:cs="Arial" w:eastAsia="Arial" w:hAnsi="Arial"/>
          <w:sz w:val="19"/>
          <w:szCs w:val="19"/>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59"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(v) </w:t>
      </w:r>
      <w:r>
        <w:rPr>
          <w:rFonts w:ascii="Arial" w:cs="Arial" w:eastAsia="Arial" w:hAnsi="Arial"/>
          <w:sz w:val="19"/>
          <w:szCs w:val="19"/>
          <w:u w:val="single" w:color="auto"/>
          <w:color w:val="auto"/>
        </w:rPr>
        <w:t>Notice of Other Sale</w:t>
      </w:r>
      <w:r>
        <w:rPr>
          <w:rFonts w:ascii="Arial" w:cs="Arial" w:eastAsia="Arial" w:hAnsi="Arial"/>
          <w:sz w:val="19"/>
          <w:szCs w:val="19"/>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and will not directly or indirectly enter into any other “at the market” or continuous equity transaction pursuant to which the Company (including through another person as agent or principal) offers to sell, sells, contracts to sell, grants any option to sell or otherwise disposes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(ii) issuance or sale of Common Shares issuable upon exchange, conversion or redemption of securities or the exercise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9" w:name="page160"/>
    <w:bookmarkEnd w:id="159"/>
    <w:p>
      <w:pPr>
        <w:jc w:val="both"/>
        <w:spacing w:after="0" w:line="249" w:lineRule="auto"/>
        <w:rPr>
          <w:sz w:val="20"/>
          <w:szCs w:val="20"/>
          <w:color w:val="auto"/>
        </w:rPr>
      </w:pPr>
      <w:r>
        <w:rPr>
          <w:rFonts w:ascii="Arial" w:cs="Arial" w:eastAsia="Arial" w:hAnsi="Arial"/>
          <w:sz w:val="21"/>
          <w:szCs w:val="21"/>
          <w:color w:val="auto"/>
        </w:rPr>
        <w:t>or vesting of warrants, options or other equity awards disclosed in filings by the Company available on EDGAR or otherwise in writing to the Agent, (iii) modification of any outstanding options, warrants of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CONDITIONS TO DELIVERY OF ISSUANCE NOTICES AND TO SETTLEMENT</w:t>
      </w:r>
    </w:p>
    <w:p>
      <w:pPr>
        <w:spacing w:after="0" w:line="212"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Conditions Precedent to the Right of the Company to Deliver an Issuance Notice and the Obligation of</w:t>
      </w:r>
    </w:p>
    <w:p>
      <w:pPr>
        <w:spacing w:after="0" w:line="4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u w:val="single" w:color="auto"/>
          <w:color w:val="auto"/>
        </w:rPr>
        <w:t>the Agent to Sell Shares</w:t>
      </w:r>
      <w:r>
        <w:rPr>
          <w:rFonts w:ascii="Arial" w:cs="Arial" w:eastAsia="Arial" w:hAnsi="Arial"/>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80" w:lineRule="exact"/>
        <w:rPr>
          <w:sz w:val="20"/>
          <w:szCs w:val="20"/>
          <w:color w:val="auto"/>
        </w:rPr>
      </w:pPr>
    </w:p>
    <w:p>
      <w:pPr>
        <w:jc w:val="both"/>
        <w:ind w:left="1740" w:hanging="868"/>
        <w:spacing w:after="0" w:line="248" w:lineRule="auto"/>
        <w:tabs>
          <w:tab w:leader="none" w:pos="174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Accuracy of the Company’s Representations and Warranties; Performance by the Company</w:t>
      </w:r>
      <w:r>
        <w:rPr>
          <w:rFonts w:ascii="Arial" w:cs="Arial" w:eastAsia="Arial" w:hAnsi="Arial"/>
          <w:sz w:val="21"/>
          <w:szCs w:val="21"/>
          <w:color w:val="auto"/>
        </w:rPr>
        <w:t xml:space="preserve">. The Company shall have delivered the certificate required to be delivered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Section 4(p), </w:t>
      </w:r>
      <w:r>
        <w:rPr>
          <w:rFonts w:ascii="Arial" w:cs="Arial" w:eastAsia="Arial" w:hAnsi="Arial"/>
          <w:sz w:val="21"/>
          <w:szCs w:val="21"/>
          <w:u w:val="single" w:color="auto"/>
          <w:color w:val="auto"/>
        </w:rPr>
        <w:t>Section 4(q)</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4(r)</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left="1740" w:hanging="868"/>
        <w:spacing w:after="0" w:line="248" w:lineRule="auto"/>
        <w:tabs>
          <w:tab w:leader="none" w:pos="174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 Injunction</w:t>
      </w:r>
      <w:r>
        <w:rPr>
          <w:rFonts w:ascii="Arial" w:cs="Arial" w:eastAsia="Arial" w:hAnsi="Arial"/>
          <w:sz w:val="21"/>
          <w:szCs w:val="21"/>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77" w:lineRule="exact"/>
        <w:rPr>
          <w:rFonts w:ascii="Arial" w:cs="Arial" w:eastAsia="Arial" w:hAnsi="Arial"/>
          <w:sz w:val="21"/>
          <w:szCs w:val="21"/>
          <w:color w:val="auto"/>
        </w:rPr>
      </w:pPr>
    </w:p>
    <w:p>
      <w:pPr>
        <w:jc w:val="both"/>
        <w:ind w:left="1740" w:hanging="868"/>
        <w:spacing w:after="0"/>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Except as disclosed in the Prospectus and the Time of Sale Information, since the respective dates as of which information is given in the Registration Statement and the Prospectus, there has not been, in the judgment of the Agent, any Material Adverse Effect.</w:t>
      </w:r>
    </w:p>
    <w:p>
      <w:pPr>
        <w:spacing w:after="0" w:line="186" w:lineRule="exact"/>
        <w:rPr>
          <w:rFonts w:ascii="Arial" w:cs="Arial" w:eastAsia="Arial" w:hAnsi="Arial"/>
          <w:sz w:val="22"/>
          <w:szCs w:val="22"/>
          <w:color w:val="auto"/>
        </w:rPr>
      </w:pPr>
    </w:p>
    <w:p>
      <w:pPr>
        <w:jc w:val="both"/>
        <w:ind w:left="1740" w:hanging="868"/>
        <w:spacing w:after="0" w:line="252" w:lineRule="auto"/>
        <w:tabs>
          <w:tab w:leader="none" w:pos="174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 Suspension of Trading in or Delisting of Common Shares; Other Events</w:t>
      </w:r>
      <w:r>
        <w:rPr>
          <w:rFonts w:ascii="Arial" w:cs="Arial" w:eastAsia="Arial" w:hAnsi="Arial"/>
          <w:sz w:val="21"/>
          <w:szCs w:val="21"/>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p>
      <w:pPr>
        <w:jc w:val="both"/>
        <w:ind w:left="1740"/>
        <w:spacing w:after="0" w:line="272" w:lineRule="auto"/>
        <w:rPr>
          <w:sz w:val="20"/>
          <w:szCs w:val="20"/>
          <w:color w:val="auto"/>
        </w:rPr>
      </w:pPr>
      <w:r>
        <w:rPr>
          <w:rFonts w:ascii="Arial" w:cs="Arial" w:eastAsia="Arial" w:hAnsi="Arial"/>
          <w:sz w:val="19"/>
          <w:szCs w:val="19"/>
          <w:color w:val="auto"/>
        </w:rPr>
        <w:t>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62" w:lineRule="exact"/>
        <w:rPr>
          <w:sz w:val="20"/>
          <w:szCs w:val="20"/>
          <w:color w:val="auto"/>
        </w:rPr>
      </w:pPr>
    </w:p>
    <w:p>
      <w:pPr>
        <w:jc w:val="both"/>
        <w:ind w:left="1740" w:hanging="868"/>
        <w:spacing w:after="0" w:line="273" w:lineRule="auto"/>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Agent Counsel Opinion and Negative Assurances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counsel to the Agent (“</w:t>
      </w:r>
      <w:r>
        <w:rPr>
          <w:rFonts w:ascii="Arial" w:cs="Arial" w:eastAsia="Arial" w:hAnsi="Arial"/>
          <w:sz w:val="19"/>
          <w:szCs w:val="19"/>
          <w:b w:val="1"/>
          <w:bCs w:val="1"/>
          <w:color w:val="auto"/>
        </w:rPr>
        <w:t>Agent Counsel</w:t>
      </w:r>
      <w:r>
        <w:rPr>
          <w:rFonts w:ascii="Arial" w:cs="Arial" w:eastAsia="Arial" w:hAnsi="Arial"/>
          <w:sz w:val="19"/>
          <w:szCs w:val="19"/>
          <w:color w:val="auto"/>
        </w:rPr>
        <w:t>”),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Documents Required to be Delivered on each Issuance Notice Date</w:t>
      </w:r>
      <w:r>
        <w:rPr>
          <w:rFonts w:ascii="Arial" w:cs="Arial" w:eastAsia="Arial" w:hAnsi="Arial"/>
          <w:sz w:val="19"/>
          <w:szCs w:val="19"/>
          <w:color w:val="auto"/>
        </w:rPr>
        <w:t>. The Agent’s obligation to use its</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as required to be delivered pursuant to Section 4(o) (which certificate shall not be required if the foregoing representations shall be set forth in the Issuance Notice).</w:t>
      </w:r>
    </w:p>
    <w:p>
      <w:pPr>
        <w:spacing w:after="0" w:line="153"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b w:val="1"/>
          <w:bCs w:val="1"/>
          <w:color w:val="auto"/>
        </w:rPr>
        <w:t>Section 6. INDEMNIFICATION AND CONTRIBUTION</w:t>
      </w:r>
    </w:p>
    <w:p>
      <w:pPr>
        <w:spacing w:after="0" w:line="213"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Indemnification of the Agent</w:t>
      </w:r>
      <w:r>
        <w:rPr>
          <w:rFonts w:ascii="Arial" w:cs="Arial" w:eastAsia="Arial" w:hAnsi="Arial"/>
          <w:sz w:val="19"/>
          <w:szCs w:val="19"/>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reasonable and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tenth paragraph under the caption “Plan of Distribution” in the Prospectus beginning with the words: “A prospectus supplement and the accompanying prospectus in electronic format. . . ” (the “</w:t>
      </w:r>
      <w:r>
        <w:rPr>
          <w:rFonts w:ascii="Arial" w:cs="Arial" w:eastAsia="Arial" w:hAnsi="Arial"/>
          <w:sz w:val="19"/>
          <w:szCs w:val="19"/>
          <w:b w:val="1"/>
          <w:bCs w:val="1"/>
          <w:color w:val="auto"/>
        </w:rPr>
        <w:t>Agent Information</w:t>
      </w:r>
      <w:r>
        <w:rPr>
          <w:rFonts w:ascii="Arial" w:cs="Arial" w:eastAsia="Arial" w:hAnsi="Arial"/>
          <w:sz w:val="19"/>
          <w:szCs w:val="19"/>
          <w:color w:val="auto"/>
        </w:rPr>
        <w:t xml:space="preserve">”). The indemnity agreement set forth in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be in addition to any liabilities that the Company may otherwise have.</w:t>
      </w: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Indemnification of the Company, its Directors and Officers</w:t>
      </w:r>
      <w:r>
        <w:rPr>
          <w:rFonts w:ascii="Arial" w:cs="Arial" w:eastAsia="Arial" w:hAnsi="Arial"/>
          <w:sz w:val="19"/>
          <w:szCs w:val="19"/>
          <w:color w:val="auto"/>
        </w:rPr>
        <w:t>. The Agent agrees to indemnify and hold</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2" w:name="page163"/>
    <w:bookmarkEnd w:id="162"/>
    <w:p>
      <w:pPr>
        <w:jc w:val="both"/>
        <w:spacing w:after="0" w:line="269" w:lineRule="auto"/>
        <w:rPr>
          <w:sz w:val="20"/>
          <w:szCs w:val="20"/>
          <w:color w:val="auto"/>
        </w:rPr>
      </w:pPr>
      <w:r>
        <w:rPr>
          <w:rFonts w:ascii="Arial" w:cs="Arial" w:eastAsia="Arial" w:hAnsi="Arial"/>
          <w:sz w:val="19"/>
          <w:szCs w:val="19"/>
          <w:color w:val="auto"/>
        </w:rPr>
        <w:t>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spacing w:after="0" w:line="6" w:lineRule="exact"/>
        <w:rPr>
          <w:sz w:val="20"/>
          <w:szCs w:val="20"/>
          <w:color w:val="auto"/>
        </w:rPr>
      </w:pPr>
    </w:p>
    <w:p>
      <w:pPr>
        <w:jc w:val="both"/>
        <w:ind w:firstLine="8"/>
        <w:spacing w:after="0" w:line="270" w:lineRule="auto"/>
        <w:tabs>
          <w:tab w:leader="none" w:pos="325"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or the Company may otherwise have.</w:t>
      </w:r>
    </w:p>
    <w:p>
      <w:pPr>
        <w:spacing w:after="0" w:line="200" w:lineRule="exact"/>
        <w:rPr>
          <w:sz w:val="20"/>
          <w:szCs w:val="20"/>
          <w:color w:val="auto"/>
        </w:rPr>
      </w:pPr>
    </w:p>
    <w:p>
      <w:pPr>
        <w:spacing w:after="0" w:line="209"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Notifications and Other Indemnification Procedures</w:t>
      </w:r>
      <w:r>
        <w:rPr>
          <w:rFonts w:ascii="Arial" w:cs="Arial" w:eastAsia="Arial" w:hAnsi="Arial"/>
          <w:sz w:val="19"/>
          <w:szCs w:val="19"/>
          <w:color w:val="auto"/>
        </w:rPr>
        <w:t>.  Promptly after receipt by an indemnified party</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notice of the commencement of any action, such indemnified party will, if a claim in respect thereof is to be made against an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3" w:name="page164"/>
    <w:bookmarkEnd w:id="163"/>
    <w:p>
      <w:pPr>
        <w:jc w:val="both"/>
        <w:spacing w:after="0" w:line="272" w:lineRule="auto"/>
        <w:rPr>
          <w:sz w:val="20"/>
          <w:szCs w:val="20"/>
          <w:color w:val="auto"/>
        </w:rPr>
      </w:pPr>
      <w:r>
        <w:rPr>
          <w:rFonts w:ascii="Arial" w:cs="Arial" w:eastAsia="Arial" w:hAnsi="Arial"/>
          <w:sz w:val="19"/>
          <w:szCs w:val="19"/>
          <w:color w:val="auto"/>
        </w:rPr>
        <w:t xml:space="preserve">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any reasonable and documented legal or other expenses subsequently incurred by such indemnified party in connection with the defense thereof unless</w:t>
      </w:r>
    </w:p>
    <w:p>
      <w:pPr>
        <w:jc w:val="both"/>
        <w:ind w:firstLine="8"/>
        <w:spacing w:after="0" w:line="267" w:lineRule="auto"/>
        <w:tabs>
          <w:tab w:leader="none" w:pos="27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above) or the Company (in the case of counsel for the indemnified parties referred to in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w:t>
      </w:r>
    </w:p>
    <w:p>
      <w:pPr>
        <w:jc w:val="both"/>
        <w:ind w:firstLine="8"/>
        <w:spacing w:after="0" w:line="280" w:lineRule="auto"/>
        <w:tabs>
          <w:tab w:leader="none" w:pos="32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51"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Settlements</w:t>
      </w:r>
      <w:r>
        <w:rPr>
          <w:rFonts w:ascii="Arial" w:cs="Arial" w:eastAsia="Arial" w:hAnsi="Arial"/>
          <w:sz w:val="19"/>
          <w:szCs w:val="19"/>
          <w:color w:val="auto"/>
        </w:rPr>
        <w:t xml:space="preserve">. The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2400" w:val="left"/>
          <w:tab w:leader="none" w:pos="37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u w:val="single" w:color="auto"/>
          <w:color w:val="auto"/>
        </w:rPr>
        <w:t>Contribution</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the indemnification provided for in this Section 6 is for any reason held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-17780</wp:posOffset>
            </wp:positionV>
            <wp:extent cx="5403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9"/>
          <w:szCs w:val="19"/>
          <w:color w:val="auto"/>
        </w:rPr>
        <w:t>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4" w:name="page165"/>
    <w:bookmarkEnd w:id="164"/>
    <w:p>
      <w:pPr>
        <w:jc w:val="both"/>
        <w:ind w:right="20"/>
        <w:spacing w:after="0" w:line="274" w:lineRule="auto"/>
        <w:rPr>
          <w:sz w:val="20"/>
          <w:szCs w:val="20"/>
          <w:color w:val="auto"/>
        </w:rPr>
      </w:pPr>
      <w:r>
        <w:rPr>
          <w:rFonts w:ascii="Arial" w:cs="Arial" w:eastAsia="Arial" w:hAnsi="Arial"/>
          <w:sz w:val="19"/>
          <w:szCs w:val="19"/>
          <w:color w:val="auto"/>
        </w:rPr>
        <w:t>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net proceeds from the offering of the Shares (net of commissions to the Agent but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9" w:lineRule="exact"/>
        <w:rPr>
          <w:sz w:val="20"/>
          <w:szCs w:val="20"/>
          <w:color w:val="auto"/>
        </w:rPr>
      </w:pPr>
    </w:p>
    <w:p>
      <w:pPr>
        <w:jc w:val="both"/>
        <w:ind w:right="20" w:firstLine="877"/>
        <w:spacing w:after="0" w:line="279" w:lineRule="auto"/>
        <w:rPr>
          <w:sz w:val="20"/>
          <w:szCs w:val="20"/>
          <w:color w:val="auto"/>
        </w:rPr>
      </w:pPr>
      <w:r>
        <w:rPr>
          <w:rFonts w:ascii="Arial" w:cs="Arial" w:eastAsia="Arial" w:hAnsi="Arial"/>
          <w:sz w:val="19"/>
          <w:szCs w:val="19"/>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with respect to notice of commencement of any action shall apply if a claim for contribution is to be made under this </w:t>
      </w:r>
      <w:r>
        <w:rPr>
          <w:rFonts w:ascii="Arial" w:cs="Arial" w:eastAsia="Arial" w:hAnsi="Arial"/>
          <w:sz w:val="19"/>
          <w:szCs w:val="19"/>
          <w:u w:val="single" w:color="auto"/>
          <w:color w:val="auto"/>
        </w:rPr>
        <w:t>Section 6(e)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additional notice shall be required with respect to any action for which notice has been given under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for purposes of indemnification.</w:t>
      </w:r>
    </w:p>
    <w:p>
      <w:pPr>
        <w:spacing w:after="0" w:line="151" w:lineRule="exact"/>
        <w:rPr>
          <w:sz w:val="20"/>
          <w:szCs w:val="20"/>
          <w:color w:val="auto"/>
        </w:rPr>
      </w:pPr>
    </w:p>
    <w:p>
      <w:pPr>
        <w:ind w:right="440" w:firstLine="877"/>
        <w:spacing w:after="0"/>
        <w:rPr>
          <w:sz w:val="20"/>
          <w:szCs w:val="20"/>
          <w:color w:val="auto"/>
        </w:rPr>
      </w:pPr>
      <w:r>
        <w:rPr>
          <w:rFonts w:ascii="Arial" w:cs="Arial" w:eastAsia="Arial" w:hAnsi="Arial"/>
          <w:sz w:val="22"/>
          <w:szCs w:val="22"/>
          <w:color w:val="auto"/>
        </w:rPr>
        <w:t xml:space="preserve">The Company and the Agent agree that it would not be just and equitable if contribution pursuant to this </w:t>
      </w:r>
      <w:r>
        <w:rPr>
          <w:rFonts w:ascii="Arial" w:cs="Arial" w:eastAsia="Arial" w:hAnsi="Arial"/>
          <w:sz w:val="22"/>
          <w:szCs w:val="22"/>
          <w:u w:val="single" w:color="auto"/>
          <w:color w:val="auto"/>
        </w:rPr>
        <w:t>Section 6(e)</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in this </w:t>
      </w:r>
      <w:r>
        <w:rPr>
          <w:rFonts w:ascii="Arial" w:cs="Arial" w:eastAsia="Arial" w:hAnsi="Arial"/>
          <w:sz w:val="22"/>
          <w:szCs w:val="22"/>
          <w:u w:val="single" w:color="auto"/>
          <w:color w:val="auto"/>
        </w:rPr>
        <w:t>Section 6(e)</w:t>
      </w:r>
      <w:r>
        <w:rPr>
          <w:rFonts w:ascii="Arial" w:cs="Arial" w:eastAsia="Arial" w:hAnsi="Arial"/>
          <w:sz w:val="22"/>
          <w:szCs w:val="22"/>
          <w:color w:val="auto"/>
        </w:rPr>
        <w:t>.</w:t>
      </w:r>
    </w:p>
    <w:p>
      <w:pPr>
        <w:spacing w:after="0" w:line="186"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21"/>
          <w:szCs w:val="21"/>
          <w:color w:val="auto"/>
        </w:rPr>
        <w:t xml:space="preserve">Notwithstanding the provisions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TERMINATION &amp; SURVIVAL</w:t>
      </w:r>
    </w:p>
    <w:p>
      <w:pPr>
        <w:spacing w:after="0" w:line="212"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ind w:left="880"/>
              <w:spacing w:after="0"/>
              <w:rPr>
                <w:sz w:val="20"/>
                <w:szCs w:val="20"/>
                <w:color w:val="auto"/>
              </w:rPr>
            </w:pPr>
            <w:r>
              <w:rPr>
                <w:rFonts w:ascii="Arial" w:cs="Arial" w:eastAsia="Arial" w:hAnsi="Arial"/>
                <w:sz w:val="22"/>
                <w:szCs w:val="22"/>
                <w:color w:val="auto"/>
              </w:rPr>
              <w:t>(b)</w:t>
            </w:r>
          </w:p>
        </w:tc>
        <w:tc>
          <w:tcPr>
            <w:tcW w:w="9000" w:type="dxa"/>
            <w:vAlign w:val="bottom"/>
            <w:gridSpan w:val="2"/>
          </w:tcPr>
          <w:p>
            <w:pPr>
              <w:spacing w:after="0"/>
              <w:rPr>
                <w:sz w:val="20"/>
                <w:szCs w:val="20"/>
                <w:color w:val="auto"/>
              </w:rPr>
            </w:pPr>
            <w:r>
              <w:rPr>
                <w:rFonts w:ascii="Arial" w:cs="Arial" w:eastAsia="Arial" w:hAnsi="Arial"/>
                <w:sz w:val="22"/>
                <w:szCs w:val="22"/>
                <w:color w:val="auto"/>
              </w:rPr>
              <w:t>Termination; Survival Following Termination.</w:t>
            </w:r>
          </w:p>
        </w:tc>
      </w:tr>
      <w:tr>
        <w:trPr>
          <w:trHeight w:val="490"/>
        </w:trPr>
        <w:tc>
          <w:tcPr>
            <w:tcW w:w="2440" w:type="dxa"/>
            <w:vAlign w:val="bottom"/>
          </w:tcPr>
          <w:p>
            <w:pPr>
              <w:spacing w:after="0"/>
              <w:rPr>
                <w:sz w:val="24"/>
                <w:szCs w:val="24"/>
                <w:color w:val="auto"/>
              </w:rPr>
            </w:pPr>
          </w:p>
        </w:tc>
        <w:tc>
          <w:tcPr>
            <w:tcW w:w="3940" w:type="dxa"/>
            <w:vAlign w:val="bottom"/>
            <w:tcBorders>
              <w:top w:val="single" w:sz="8" w:color="auto"/>
            </w:tcBorders>
          </w:tcPr>
          <w:p>
            <w:pPr>
              <w:jc w:val="right"/>
              <w:ind w:right="452"/>
              <w:spacing w:after="0"/>
              <w:rPr>
                <w:sz w:val="20"/>
                <w:szCs w:val="20"/>
                <w:color w:val="auto"/>
              </w:rPr>
            </w:pPr>
            <w:r>
              <w:rPr>
                <w:rFonts w:ascii="Arial" w:cs="Arial" w:eastAsia="Arial" w:hAnsi="Arial"/>
                <w:sz w:val="22"/>
                <w:szCs w:val="22"/>
                <w:color w:val="auto"/>
              </w:rPr>
              <w:t>30</w:t>
            </w:r>
          </w:p>
        </w:tc>
        <w:tc>
          <w:tcPr>
            <w:tcW w:w="5060" w:type="dxa"/>
            <w:vAlign w:val="bottom"/>
          </w:tcPr>
          <w:p>
            <w:pPr>
              <w:spacing w:after="0"/>
              <w:rPr>
                <w:sz w:val="24"/>
                <w:szCs w:val="24"/>
                <w:color w:val="auto"/>
              </w:rPr>
            </w:pPr>
          </w:p>
        </w:tc>
      </w:tr>
      <w:tr>
        <w:trPr>
          <w:trHeight w:val="186"/>
        </w:trPr>
        <w:tc>
          <w:tcPr>
            <w:tcW w:w="2440" w:type="dxa"/>
            <w:vAlign w:val="bottom"/>
            <w:tcBorders>
              <w:bottom w:val="single" w:sz="8" w:color="9A9A9A"/>
            </w:tcBorders>
          </w:tcPr>
          <w:p>
            <w:pPr>
              <w:spacing w:after="0"/>
              <w:rPr>
                <w:sz w:val="16"/>
                <w:szCs w:val="16"/>
                <w:color w:val="auto"/>
              </w:rPr>
            </w:pPr>
          </w:p>
        </w:tc>
        <w:tc>
          <w:tcPr>
            <w:tcW w:w="3940" w:type="dxa"/>
            <w:vAlign w:val="bottom"/>
            <w:tcBorders>
              <w:bottom w:val="single" w:sz="8" w:color="9A9A9A"/>
            </w:tcBorders>
          </w:tcPr>
          <w:p>
            <w:pPr>
              <w:spacing w:after="0"/>
              <w:rPr>
                <w:sz w:val="16"/>
                <w:szCs w:val="16"/>
                <w:color w:val="auto"/>
              </w:rPr>
            </w:pPr>
          </w:p>
        </w:tc>
        <w:tc>
          <w:tcPr>
            <w:tcW w:w="506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65" w:name="page166"/>
    <w:bookmarkEnd w:id="165"/>
    <w:p>
      <w:pPr>
        <w:jc w:val="both"/>
        <w:ind w:left="1760" w:hanging="442"/>
        <w:spacing w:after="0" w:line="234" w:lineRule="auto"/>
        <w:tabs>
          <w:tab w:leader="none" w:pos="17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Either party may terminate this Agreement prior to the end of the Agency Period, by giving written notice as required by this Agreement, upon ten (10) days’ notice to the other party; provided that, (A) if the Company terminates this Agreement after the Agent confirms to the Company any sale of Shares, the Company shall remain obligated to comply with </w:t>
      </w:r>
      <w:r>
        <w:rPr>
          <w:rFonts w:ascii="Arial" w:cs="Arial" w:eastAsia="Arial" w:hAnsi="Arial"/>
          <w:sz w:val="22"/>
          <w:szCs w:val="22"/>
          <w:u w:val="single" w:color="auto"/>
          <w:color w:val="auto"/>
        </w:rPr>
        <w:t>Section 3(b)(v)</w:t>
      </w:r>
      <w:r>
        <w:rPr>
          <w:rFonts w:ascii="Arial" w:cs="Arial" w:eastAsia="Arial" w:hAnsi="Arial"/>
          <w:sz w:val="22"/>
          <w:szCs w:val="22"/>
          <w:color w:val="auto"/>
        </w:rPr>
        <w:t xml:space="preserve"> with respect to such Shares and (B)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91" w:lineRule="exact"/>
        <w:rPr>
          <w:rFonts w:ascii="Arial" w:cs="Arial" w:eastAsia="Arial" w:hAnsi="Arial"/>
          <w:sz w:val="22"/>
          <w:szCs w:val="22"/>
          <w:color w:val="auto"/>
        </w:rPr>
      </w:pPr>
    </w:p>
    <w:p>
      <w:pPr>
        <w:jc w:val="both"/>
        <w:ind w:left="1760" w:hanging="369"/>
        <w:spacing w:after="0" w:line="279" w:lineRule="auto"/>
        <w:tabs>
          <w:tab w:leader="none" w:pos="1715"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In addition to the survival provision of </w:t>
      </w:r>
      <w:r>
        <w:rPr>
          <w:rFonts w:ascii="Arial" w:cs="Arial" w:eastAsia="Arial" w:hAnsi="Arial"/>
          <w:sz w:val="19"/>
          <w:szCs w:val="19"/>
          <w:u w:val="single" w:color="auto"/>
          <w:color w:val="auto"/>
        </w:rPr>
        <w:t>Section 7(b)(i)</w:t>
      </w:r>
      <w:r>
        <w:rPr>
          <w:rFonts w:ascii="Arial" w:cs="Arial" w:eastAsia="Arial" w:hAnsi="Arial"/>
          <w:sz w:val="19"/>
          <w:szCs w:val="19"/>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MISCELLANEOUS</w:t>
      </w:r>
    </w:p>
    <w:p>
      <w:pPr>
        <w:spacing w:after="0" w:line="212" w:lineRule="exact"/>
        <w:rPr>
          <w:sz w:val="20"/>
          <w:szCs w:val="20"/>
          <w:color w:val="auto"/>
        </w:rPr>
      </w:pPr>
    </w:p>
    <w:p>
      <w:pPr>
        <w:jc w:val="both"/>
        <w:ind w:firstLine="877"/>
        <w:spacing w:after="0" w:line="245" w:lineRule="exact"/>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Press Releases and Disclosure</w:t>
      </w:r>
      <w:r>
        <w:rPr>
          <w:rFonts w:ascii="Arial" w:cs="Arial" w:eastAsia="Arial" w:hAnsi="Arial"/>
          <w:sz w:val="19"/>
          <w:szCs w:val="19"/>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19"/>
          <w:szCs w:val="19"/>
          <w:color w:val="auto"/>
        </w:rPr>
        <w:t>‑</w:t>
      </w:r>
      <w:r>
        <w:rPr>
          <w:rFonts w:ascii="Arial" w:cs="Arial" w:eastAsia="Arial" w:hAnsi="Arial"/>
          <w:sz w:val="19"/>
          <w:szCs w:val="19"/>
          <w:color w:val="auto"/>
        </w:rPr>
        <w:t>K or annual report on Form 10-K,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including any disclosure regarding sales of Common Shares pursuant hereto on current reports on Form 8-K, quarterly reports on Form 10-Q or annual reports on Form 10-K. If any such press release or like public statement is so required (other than disclosure regarding sales of Common Shares pursuant hereto on current reports on Form 8-K, quarterly reports on Form 10-Q or annual reports on Form 10-K),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9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No Advisory or Fiduciary Relationship</w:t>
      </w:r>
      <w:r>
        <w:rPr>
          <w:rFonts w:ascii="Arial" w:cs="Arial" w:eastAsia="Arial" w:hAnsi="Arial"/>
          <w:sz w:val="21"/>
          <w:szCs w:val="21"/>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6" w:name="page167"/>
    <w:bookmarkEnd w:id="166"/>
    <w:p>
      <w:pPr>
        <w:jc w:val="both"/>
        <w:spacing w:after="0" w:line="234" w:lineRule="auto"/>
        <w:rPr>
          <w:sz w:val="20"/>
          <w:szCs w:val="20"/>
          <w:color w:val="auto"/>
        </w:rPr>
      </w:pPr>
      <w:r>
        <w:rPr>
          <w:rFonts w:ascii="Arial" w:cs="Arial" w:eastAsia="Arial" w:hAnsi="Arial"/>
          <w:sz w:val="22"/>
          <w:szCs w:val="22"/>
          <w:color w:val="auto"/>
        </w:rPr>
        <w:t>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9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1"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shall be in writing and shall be mailed, hand delivered or telecopied and confirmed to the parties hereto as follows: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to the Agent:</w:t>
      </w: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Jefferies LLC</w:t>
      </w:r>
    </w:p>
    <w:p>
      <w:pPr>
        <w:ind w:left="1320"/>
        <w:spacing w:after="0" w:line="238" w:lineRule="auto"/>
        <w:rPr>
          <w:sz w:val="20"/>
          <w:szCs w:val="20"/>
          <w:color w:val="auto"/>
        </w:rPr>
      </w:pPr>
      <w:r>
        <w:rPr>
          <w:rFonts w:ascii="Arial" w:cs="Arial" w:eastAsia="Arial" w:hAnsi="Arial"/>
          <w:sz w:val="22"/>
          <w:szCs w:val="22"/>
          <w:color w:val="auto"/>
        </w:rPr>
        <w:t>520 Madison Avenue</w:t>
      </w:r>
    </w:p>
    <w:p>
      <w:pPr>
        <w:ind w:left="132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1600 El Camino Real</w:t>
      </w:r>
    </w:p>
    <w:p>
      <w:pPr>
        <w:ind w:left="1300"/>
        <w:spacing w:after="0" w:line="230" w:lineRule="auto"/>
        <w:rPr>
          <w:sz w:val="20"/>
          <w:szCs w:val="20"/>
          <w:color w:val="auto"/>
        </w:rPr>
      </w:pPr>
      <w:r>
        <w:rPr>
          <w:rFonts w:ascii="Arial" w:cs="Arial" w:eastAsia="Arial" w:hAnsi="Arial"/>
          <w:sz w:val="22"/>
          <w:szCs w:val="22"/>
          <w:color w:val="auto"/>
        </w:rPr>
        <w:t>Menlo Park, CA 94025</w:t>
      </w:r>
    </w:p>
    <w:p>
      <w:pPr>
        <w:ind w:left="1300"/>
        <w:spacing w:after="0" w:line="231" w:lineRule="auto"/>
        <w:rPr>
          <w:sz w:val="20"/>
          <w:szCs w:val="20"/>
          <w:color w:val="auto"/>
        </w:rPr>
      </w:pPr>
      <w:r>
        <w:rPr>
          <w:rFonts w:ascii="Arial" w:cs="Arial" w:eastAsia="Arial" w:hAnsi="Arial"/>
          <w:sz w:val="22"/>
          <w:szCs w:val="22"/>
          <w:color w:val="auto"/>
        </w:rPr>
        <w:t>Attention: Alan F. Denenberg</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alan.denenberg@davispolk.com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to the Company:</w:t>
      </w:r>
    </w:p>
    <w:p>
      <w:pPr>
        <w:ind w:left="1300"/>
        <w:spacing w:after="0" w:line="238" w:lineRule="auto"/>
        <w:rPr>
          <w:sz w:val="20"/>
          <w:szCs w:val="20"/>
          <w:color w:val="auto"/>
        </w:rPr>
      </w:pPr>
      <w:r>
        <w:rPr>
          <w:rFonts w:ascii="Arial" w:cs="Arial" w:eastAsia="Arial" w:hAnsi="Arial"/>
          <w:sz w:val="22"/>
          <w:szCs w:val="22"/>
          <w:color w:val="auto"/>
        </w:rPr>
        <w:t>CytomX Therapeutics, Inc.</w:t>
      </w:r>
    </w:p>
    <w:p>
      <w:pPr>
        <w:ind w:left="1300"/>
        <w:spacing w:after="0" w:line="230" w:lineRule="auto"/>
        <w:rPr>
          <w:sz w:val="20"/>
          <w:szCs w:val="20"/>
          <w:color w:val="auto"/>
        </w:rPr>
      </w:pPr>
      <w:r>
        <w:rPr>
          <w:rFonts w:ascii="Arial" w:cs="Arial" w:eastAsia="Arial" w:hAnsi="Arial"/>
          <w:sz w:val="22"/>
          <w:szCs w:val="22"/>
          <w:color w:val="auto"/>
        </w:rPr>
        <w:t>343 Oyster Point Blvd #100</w:t>
      </w:r>
    </w:p>
    <w:p>
      <w:pPr>
        <w:ind w:left="1300"/>
        <w:spacing w:after="0" w:line="231" w:lineRule="auto"/>
        <w:rPr>
          <w:sz w:val="20"/>
          <w:szCs w:val="20"/>
          <w:color w:val="auto"/>
        </w:rPr>
      </w:pPr>
      <w:r>
        <w:rPr>
          <w:rFonts w:ascii="Arial" w:cs="Arial" w:eastAsia="Arial" w:hAnsi="Arial"/>
          <w:sz w:val="22"/>
          <w:szCs w:val="22"/>
          <w:color w:val="auto"/>
        </w:rPr>
        <w:t>South San Francisco, CA 94080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ind w:left="1320"/>
        <w:spacing w:after="0"/>
        <w:rPr>
          <w:sz w:val="20"/>
          <w:szCs w:val="20"/>
          <w:color w:val="auto"/>
        </w:rPr>
      </w:pPr>
      <w:r>
        <w:rPr>
          <w:rFonts w:ascii="Arial" w:cs="Arial" w:eastAsia="Arial" w:hAnsi="Arial"/>
          <w:sz w:val="22"/>
          <w:szCs w:val="22"/>
          <w:color w:val="auto"/>
        </w:rPr>
        <w:t>Latham &amp; Watkins LLP</w:t>
      </w:r>
    </w:p>
    <w:p>
      <w:pPr>
        <w:ind w:left="1320"/>
        <w:spacing w:after="0" w:line="238" w:lineRule="auto"/>
        <w:rPr>
          <w:sz w:val="20"/>
          <w:szCs w:val="20"/>
          <w:color w:val="auto"/>
        </w:rPr>
      </w:pPr>
      <w:r>
        <w:rPr>
          <w:rFonts w:ascii="Arial" w:cs="Arial" w:eastAsia="Arial" w:hAnsi="Arial"/>
          <w:sz w:val="22"/>
          <w:szCs w:val="22"/>
          <w:color w:val="auto"/>
        </w:rPr>
        <w:t>140 Scott Drive</w:t>
      </w:r>
    </w:p>
    <w:p>
      <w:pPr>
        <w:ind w:left="1300"/>
        <w:spacing w:after="0" w:line="230" w:lineRule="auto"/>
        <w:rPr>
          <w:sz w:val="20"/>
          <w:szCs w:val="20"/>
          <w:color w:val="auto"/>
        </w:rPr>
      </w:pPr>
      <w:r>
        <w:rPr>
          <w:rFonts w:ascii="Arial" w:cs="Arial" w:eastAsia="Arial" w:hAnsi="Arial"/>
          <w:sz w:val="22"/>
          <w:szCs w:val="22"/>
          <w:color w:val="auto"/>
        </w:rPr>
        <w:t>Menlo Park, CA 94025</w:t>
      </w:r>
    </w:p>
    <w:p>
      <w:pPr>
        <w:ind w:left="1300"/>
        <w:spacing w:after="0" w:line="231" w:lineRule="auto"/>
        <w:rPr>
          <w:sz w:val="20"/>
          <w:szCs w:val="20"/>
          <w:color w:val="auto"/>
        </w:rPr>
      </w:pPr>
      <w:r>
        <w:rPr>
          <w:rFonts w:ascii="Arial" w:cs="Arial" w:eastAsia="Arial" w:hAnsi="Arial"/>
          <w:sz w:val="22"/>
          <w:szCs w:val="22"/>
          <w:color w:val="auto"/>
        </w:rPr>
        <w:t>Attention: Mark Roeder; Miles Jennings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mark.roeder@lw.com; miles.jennings@lw.com</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Any party hereto may change the address for receipt of communications by giving written notice to the others in accordance with this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to the benefit of the employees, officers and directors and controlling persons referred to in Section 6, and in each case their respective successors, and no other person will have any right or obligation hereunder. The term “successors” shall not include any purchaser of the Shares as such from the Agent merely by reason of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5310505</wp:posOffset>
            </wp:positionH>
            <wp:positionV relativeFrom="paragraph">
              <wp:posOffset>-339725</wp:posOffset>
            </wp:positionV>
            <wp:extent cx="5403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Partial Unenforceability</w:t>
      </w:r>
      <w:r>
        <w:rPr>
          <w:rFonts w:ascii="Arial" w:cs="Arial" w:eastAsia="Arial" w:hAnsi="Arial"/>
          <w:sz w:val="22"/>
          <w:szCs w:val="22"/>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8"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Governing Law Provisions</w:t>
      </w:r>
      <w:r>
        <w:rPr>
          <w:rFonts w:ascii="Arial" w:cs="Arial" w:eastAsia="Arial" w:hAnsi="Arial"/>
          <w:sz w:val="19"/>
          <w:szCs w:val="19"/>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00" w:lineRule="exact"/>
        <w:rPr>
          <w:sz w:val="20"/>
          <w:szCs w:val="20"/>
          <w:color w:val="auto"/>
        </w:rPr>
      </w:pPr>
    </w:p>
    <w:p>
      <w:pPr>
        <w:spacing w:after="0" w:line="209"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u w:val="single" w:color="auto"/>
          <w:color w:val="auto"/>
        </w:rPr>
        <w:t>General Provisions</w:t>
      </w:r>
      <w:r>
        <w:rPr>
          <w:rFonts w:ascii="Arial" w:cs="Arial" w:eastAsia="Arial" w:hAnsi="Arial"/>
          <w:sz w:val="22"/>
          <w:szCs w:val="22"/>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68" w:name="page169"/>
    <w:bookmarkEnd w:id="168"/>
    <w:p>
      <w:pPr>
        <w:spacing w:after="0" w:line="251" w:lineRule="auto"/>
        <w:rPr>
          <w:sz w:val="20"/>
          <w:szCs w:val="20"/>
          <w:color w:val="auto"/>
        </w:rPr>
      </w:pPr>
      <w:r>
        <w:rPr>
          <w:rFonts w:ascii="Arial" w:cs="Arial" w:eastAsia="Arial" w:hAnsi="Arial"/>
          <w:sz w:val="22"/>
          <w:szCs w:val="22"/>
          <w:color w:val="auto"/>
        </w:rPr>
        <w:t>each party whom the condition is meant to benefit. The Article and Section headings herein are for the convenience of the parties only and shall not affect the construction or interpretation of this Agreement.</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Arial" w:cs="Arial" w:eastAsia="Arial" w:hAnsi="Arial"/>
                <w:sz w:val="22"/>
                <w:szCs w:val="22"/>
                <w:color w:val="auto"/>
              </w:rPr>
              <w:t>(i)</w:t>
            </w:r>
          </w:p>
        </w:tc>
        <w:tc>
          <w:tcPr>
            <w:tcW w:w="220" w:type="dxa"/>
            <w:vAlign w:val="bottom"/>
          </w:tcPr>
          <w:p>
            <w:pPr>
              <w:spacing w:after="0"/>
              <w:rPr>
                <w:sz w:val="21"/>
                <w:szCs w:val="21"/>
                <w:color w:val="auto"/>
              </w:rPr>
            </w:pPr>
          </w:p>
        </w:tc>
        <w:tc>
          <w:tcPr>
            <w:tcW w:w="9040" w:type="dxa"/>
            <w:vAlign w:val="bottom"/>
            <w:gridSpan w:val="2"/>
          </w:tcPr>
          <w:p>
            <w:pPr>
              <w:spacing w:after="0"/>
              <w:rPr>
                <w:sz w:val="20"/>
                <w:szCs w:val="20"/>
                <w:color w:val="auto"/>
              </w:rPr>
            </w:pPr>
            <w:r>
              <w:rPr>
                <w:rFonts w:ascii="Arial" w:cs="Arial" w:eastAsia="Arial" w:hAnsi="Arial"/>
                <w:sz w:val="22"/>
                <w:szCs w:val="22"/>
                <w:color w:val="auto"/>
              </w:rPr>
              <w:t>Recognition of the U.S. Special Resolution Regimes.</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76"/>
        </w:trPr>
        <w:tc>
          <w:tcPr>
            <w:tcW w:w="1280" w:type="dxa"/>
            <w:vAlign w:val="bottom"/>
          </w:tcPr>
          <w:p>
            <w:pPr>
              <w:ind w:left="820"/>
              <w:spacing w:after="0"/>
              <w:rPr>
                <w:sz w:val="20"/>
                <w:szCs w:val="20"/>
                <w:color w:val="auto"/>
              </w:rPr>
            </w:pPr>
            <w:r>
              <w:rPr>
                <w:rFonts w:ascii="Arial" w:cs="Arial" w:eastAsia="Arial" w:hAnsi="Arial"/>
                <w:sz w:val="22"/>
                <w:szCs w:val="22"/>
                <w:color w:val="auto"/>
              </w:rPr>
              <w:t>(a)</w:t>
            </w:r>
          </w:p>
        </w:tc>
        <w:tc>
          <w:tcPr>
            <w:tcW w:w="220" w:type="dxa"/>
            <w:vAlign w:val="bottom"/>
          </w:tcPr>
          <w:p>
            <w:pPr>
              <w:spacing w:after="0"/>
              <w:rPr>
                <w:sz w:val="24"/>
                <w:szCs w:val="24"/>
                <w:color w:val="auto"/>
              </w:rPr>
            </w:pPr>
          </w:p>
        </w:tc>
        <w:tc>
          <w:tcPr>
            <w:tcW w:w="9040" w:type="dxa"/>
            <w:vAlign w:val="bottom"/>
            <w:gridSpan w:val="2"/>
          </w:tcPr>
          <w:p>
            <w:pPr>
              <w:ind w:left="1500"/>
              <w:spacing w:after="0"/>
              <w:rPr>
                <w:sz w:val="20"/>
                <w:szCs w:val="20"/>
                <w:color w:val="auto"/>
              </w:rPr>
            </w:pPr>
            <w:r>
              <w:rPr>
                <w:rFonts w:ascii="Arial" w:cs="Arial" w:eastAsia="Arial" w:hAnsi="Arial"/>
                <w:sz w:val="22"/>
                <w:szCs w:val="22"/>
                <w:color w:val="auto"/>
                <w:w w:val="91"/>
              </w:rPr>
              <w:t>In the event that the Agent is a Covered Entity and becomes subject to a proceeding</w:t>
            </w:r>
          </w:p>
        </w:tc>
      </w:tr>
    </w:tbl>
    <w:p>
      <w:pPr>
        <w:jc w:val="both"/>
        <w:ind w:left="880"/>
        <w:spacing w:after="0" w:line="233" w:lineRule="auto"/>
        <w:rPr>
          <w:sz w:val="20"/>
          <w:szCs w:val="20"/>
          <w:color w:val="auto"/>
        </w:rPr>
      </w:pPr>
      <w:r>
        <w:rPr>
          <w:rFonts w:ascii="Arial" w:cs="Arial" w:eastAsia="Arial" w:hAnsi="Arial"/>
          <w:sz w:val="22"/>
          <w:szCs w:val="22"/>
          <w:color w:val="auto"/>
        </w:rPr>
        <w:t>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8"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22"/>
          <w:szCs w:val="22"/>
          <w:color w:val="auto"/>
        </w:rPr>
        <w:t>(b) 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8" w:lineRule="exact"/>
        <w:rPr>
          <w:sz w:val="20"/>
          <w:szCs w:val="20"/>
          <w:color w:val="auto"/>
        </w:rPr>
      </w:pPr>
    </w:p>
    <w:p>
      <w:pPr>
        <w:ind w:left="1700"/>
        <w:spacing w:after="0"/>
        <w:tabs>
          <w:tab w:leader="none" w:pos="3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As used in this Section 8(i):</w:t>
      </w:r>
    </w:p>
    <w:p>
      <w:pPr>
        <w:spacing w:after="0" w:line="206" w:lineRule="exact"/>
        <w:rPr>
          <w:sz w:val="20"/>
          <w:szCs w:val="20"/>
          <w:color w:val="auto"/>
        </w:rPr>
      </w:pPr>
    </w:p>
    <w:p>
      <w:pPr>
        <w:ind w:left="2640"/>
        <w:spacing w:after="0" w:line="251" w:lineRule="auto"/>
        <w:rPr>
          <w:sz w:val="20"/>
          <w:szCs w:val="20"/>
          <w:color w:val="auto"/>
        </w:rPr>
      </w:pPr>
      <w:r>
        <w:rPr>
          <w:rFonts w:ascii="Arial" w:cs="Arial" w:eastAsia="Arial" w:hAnsi="Arial"/>
          <w:sz w:val="22"/>
          <w:szCs w:val="22"/>
          <w:color w:val="auto"/>
        </w:rPr>
        <w:t>“BHC Act Affiliate” has the meaning assigned to the term “affiliate” in, and shall be interpreted in accordance with, 12 U.S.C. § 1841(k).</w:t>
      </w:r>
    </w:p>
    <w:p>
      <w:pPr>
        <w:spacing w:after="0" w:line="17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“Covered Entity” means any of the following:</w:t>
      </w:r>
    </w:p>
    <w:p>
      <w:pPr>
        <w:spacing w:after="0" w:line="206" w:lineRule="exact"/>
        <w:rPr>
          <w:sz w:val="20"/>
          <w:szCs w:val="20"/>
          <w:color w:val="auto"/>
        </w:rPr>
      </w:pPr>
    </w:p>
    <w:p>
      <w:pPr>
        <w:ind w:left="2640" w:firstLine="2"/>
        <w:spacing w:after="0" w:line="251" w:lineRule="auto"/>
        <w:tabs>
          <w:tab w:leader="none" w:pos="2931"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173" w:lineRule="exact"/>
        <w:rPr>
          <w:rFonts w:ascii="Arial" w:cs="Arial" w:eastAsia="Arial" w:hAnsi="Arial"/>
          <w:sz w:val="22"/>
          <w:szCs w:val="22"/>
          <w:color w:val="auto"/>
        </w:rPr>
      </w:pPr>
    </w:p>
    <w:p>
      <w:pPr>
        <w:ind w:left="2640" w:firstLine="2"/>
        <w:spacing w:after="0" w:line="251" w:lineRule="auto"/>
        <w:tabs>
          <w:tab w:leader="none" w:pos="29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173" w:lineRule="exact"/>
        <w:rPr>
          <w:rFonts w:ascii="Arial" w:cs="Arial" w:eastAsia="Arial" w:hAnsi="Arial"/>
          <w:sz w:val="22"/>
          <w:szCs w:val="22"/>
          <w:color w:val="auto"/>
        </w:rPr>
      </w:pPr>
    </w:p>
    <w:p>
      <w:pPr>
        <w:ind w:left="3060" w:hanging="418"/>
        <w:spacing w:after="0"/>
        <w:tabs>
          <w:tab w:leader="none" w:pos="30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w:t>
      </w:r>
    </w:p>
    <w:p>
      <w:pPr>
        <w:spacing w:after="0" w:line="19" w:lineRule="exact"/>
        <w:rPr>
          <w:rFonts w:ascii="Arial" w:cs="Arial" w:eastAsia="Arial" w:hAnsi="Arial"/>
          <w:sz w:val="21"/>
          <w:szCs w:val="21"/>
          <w:color w:val="auto"/>
        </w:rPr>
      </w:pPr>
    </w:p>
    <w:p>
      <w:pPr>
        <w:ind w:left="2640"/>
        <w:spacing w:after="0"/>
        <w:rPr>
          <w:rFonts w:ascii="Arial" w:cs="Arial" w:eastAsia="Arial" w:hAnsi="Arial"/>
          <w:sz w:val="21"/>
          <w:szCs w:val="21"/>
          <w:color w:val="auto"/>
        </w:rPr>
      </w:pPr>
      <w:r>
        <w:rPr>
          <w:rFonts w:ascii="Arial" w:cs="Arial" w:eastAsia="Arial" w:hAnsi="Arial"/>
          <w:sz w:val="22"/>
          <w:szCs w:val="22"/>
          <w:color w:val="auto"/>
        </w:rPr>
        <w:t>382.2(b).</w:t>
      </w:r>
    </w:p>
    <w:p>
      <w:pPr>
        <w:spacing w:after="0" w:line="188" w:lineRule="exact"/>
        <w:rPr>
          <w:sz w:val="20"/>
          <w:szCs w:val="20"/>
          <w:color w:val="auto"/>
        </w:rPr>
      </w:pPr>
    </w:p>
    <w:p>
      <w:pPr>
        <w:jc w:val="both"/>
        <w:ind w:left="2640"/>
        <w:spacing w:after="0" w:line="251" w:lineRule="auto"/>
        <w:rPr>
          <w:sz w:val="20"/>
          <w:szCs w:val="20"/>
          <w:color w:val="auto"/>
        </w:rPr>
      </w:pPr>
      <w:r>
        <w:rPr>
          <w:rFonts w:ascii="Arial" w:cs="Arial" w:eastAsia="Arial" w:hAnsi="Arial"/>
          <w:sz w:val="22"/>
          <w:szCs w:val="22"/>
          <w:color w:val="auto"/>
        </w:rPr>
        <w:t>“Default Right” has the meaning assigned to that term in, and shall be interpreted in accordance with, 12 C.F.R. §§ 252.81, 47.2 or 382.1, as applicable.</w:t>
      </w:r>
    </w:p>
    <w:p>
      <w:pPr>
        <w:spacing w:after="0" w:line="173" w:lineRule="exact"/>
        <w:rPr>
          <w:sz w:val="20"/>
          <w:szCs w:val="20"/>
          <w:color w:val="auto"/>
        </w:rPr>
      </w:pPr>
    </w:p>
    <w:p>
      <w:pPr>
        <w:jc w:val="both"/>
        <w:ind w:left="2640"/>
        <w:spacing w:after="0"/>
        <w:rPr>
          <w:sz w:val="20"/>
          <w:szCs w:val="20"/>
          <w:color w:val="auto"/>
        </w:rPr>
      </w:pPr>
      <w:r>
        <w:rPr>
          <w:rFonts w:ascii="Arial" w:cs="Arial" w:eastAsia="Arial" w:hAnsi="Arial"/>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jc w:val="both"/>
        <w:ind w:firstLine="877"/>
        <w:spacing w:after="0" w:line="241"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400"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CYTOMX THERAPEUTICS, INC.</w:t>
      </w:r>
    </w:p>
    <w:p>
      <w:pPr>
        <w:spacing w:after="0" w:line="212"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Sean A.</w:t>
      </w:r>
    </w:p>
    <w:p>
      <w:pPr>
        <w:ind w:left="5820"/>
        <w:spacing w:after="0" w:line="238" w:lineRule="auto"/>
        <w:rPr>
          <w:sz w:val="20"/>
          <w:szCs w:val="20"/>
          <w:color w:val="auto"/>
        </w:rPr>
      </w:pPr>
      <w:r>
        <w:rPr>
          <w:rFonts w:ascii="Arial" w:cs="Arial" w:eastAsia="Arial" w:hAnsi="Arial"/>
          <w:sz w:val="22"/>
          <w:szCs w:val="22"/>
          <w:u w:val="single" w:color="auto"/>
          <w:color w:val="auto"/>
        </w:rPr>
        <w:t>McCarthy</w:t>
      </w:r>
    </w:p>
    <w:p>
      <w:pPr>
        <w:ind w:left="6200"/>
        <w:spacing w:after="0" w:line="230" w:lineRule="auto"/>
        <w:rPr>
          <w:sz w:val="20"/>
          <w:szCs w:val="20"/>
          <w:color w:val="auto"/>
        </w:rPr>
      </w:pPr>
      <w:r>
        <w:rPr>
          <w:rFonts w:ascii="Arial" w:cs="Arial" w:eastAsia="Arial" w:hAnsi="Arial"/>
          <w:sz w:val="22"/>
          <w:szCs w:val="22"/>
          <w:color w:val="auto"/>
        </w:rPr>
        <w:t>Name: Sean A. McCarthy, D. Phil.</w:t>
      </w:r>
    </w:p>
    <w:p>
      <w:pPr>
        <w:ind w:left="6200"/>
        <w:spacing w:after="0" w:line="231" w:lineRule="auto"/>
        <w:rPr>
          <w:sz w:val="20"/>
          <w:szCs w:val="20"/>
          <w:color w:val="auto"/>
        </w:rPr>
      </w:pPr>
      <w:r>
        <w:rPr>
          <w:rFonts w:ascii="Arial" w:cs="Arial" w:eastAsia="Arial" w:hAnsi="Arial"/>
          <w:sz w:val="22"/>
          <w:szCs w:val="22"/>
          <w:color w:val="auto"/>
        </w:rPr>
        <w:t>Title: President and Chief Executive</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Sale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0" w:name="page171"/>
    <w:bookmarkEnd w:id="170"/>
    <w:p>
      <w:pPr>
        <w:ind w:firstLine="877"/>
        <w:spacing w:after="0" w:line="251" w:lineRule="auto"/>
        <w:rPr>
          <w:sz w:val="20"/>
          <w:szCs w:val="20"/>
          <w:color w:val="auto"/>
        </w:rPr>
      </w:pPr>
      <w:r>
        <w:rPr>
          <w:rFonts w:ascii="Arial" w:cs="Arial" w:eastAsia="Arial" w:hAnsi="Arial"/>
          <w:sz w:val="22"/>
          <w:szCs w:val="22"/>
          <w:color w:val="auto"/>
        </w:rPr>
        <w:t>The foregoing Agreement is hereby confirmed and accepted by the Agent in New York, New York as of the date first above written.</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Magarro</w:t>
      </w:r>
    </w:p>
    <w:p>
      <w:pPr>
        <w:ind w:left="660"/>
        <w:spacing w:after="0" w:line="238" w:lineRule="auto"/>
        <w:rPr>
          <w:sz w:val="20"/>
          <w:szCs w:val="20"/>
          <w:color w:val="auto"/>
        </w:rPr>
      </w:pPr>
      <w:r>
        <w:rPr>
          <w:rFonts w:ascii="Arial" w:cs="Arial" w:eastAsia="Arial" w:hAnsi="Arial"/>
          <w:sz w:val="22"/>
          <w:szCs w:val="22"/>
          <w:color w:val="auto"/>
        </w:rPr>
        <w:t>Name: Michael Magarro</w:t>
      </w:r>
    </w:p>
    <w:p>
      <w:pPr>
        <w:ind w:left="6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Sale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550" w:right="6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 20__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Attn: __________</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Reference is made to the Open Market Sale Agreement between CytomX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(the “</w:t>
      </w:r>
      <w:r>
        <w:rPr>
          <w:rFonts w:ascii="Arial" w:cs="Arial" w:eastAsia="Arial" w:hAnsi="Arial"/>
          <w:sz w:val="22"/>
          <w:szCs w:val="22"/>
          <w:b w:val="1"/>
          <w:bCs w:val="1"/>
          <w:color w:val="auto"/>
        </w:rPr>
        <w:t>Agent</w:t>
      </w:r>
      <w:r>
        <w:rPr>
          <w:rFonts w:ascii="Arial" w:cs="Arial" w:eastAsia="Arial" w:hAnsi="Arial"/>
          <w:sz w:val="22"/>
          <w:szCs w:val="22"/>
          <w:color w:val="auto"/>
        </w:rPr>
        <w:t>”) dated as of February 27, 2020. The Company confirms that all conditions to the delivery of this Issuance Notice are satisfied as of the date hereof.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of Delivery of Issuance Notice (determined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 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Issuance Amount (equal to the total Sales Price for such Shares):</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Number of days in selling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date of selling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Last date of selling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Date(s) if other than standard T+2 settlement: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Floor Price Limitation (in no event less than $1.00 without the prior written consent of the Agent, which consent may be withheld in the Agent’s sole discretion): $ ____ per 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Comments:</w:t>
      </w:r>
    </w:p>
    <w:p>
      <w:pPr>
        <w:spacing w:after="0" w:line="206"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w:t>
      </w:r>
    </w:p>
    <w:p>
      <w:pPr>
        <w:ind w:left="9240"/>
        <w:spacing w:after="0" w:line="238" w:lineRule="auto"/>
        <w:rPr>
          <w:sz w:val="20"/>
          <w:szCs w:val="20"/>
          <w:color w:val="auto"/>
        </w:rPr>
      </w:pPr>
      <w:r>
        <w:rPr>
          <w:rFonts w:ascii="Arial" w:cs="Arial" w:eastAsia="Arial" w:hAnsi="Arial"/>
          <w:sz w:val="22"/>
          <w:szCs w:val="22"/>
          <w:color w:val="auto"/>
        </w:rPr>
        <w:t>Name:</w:t>
      </w:r>
    </w:p>
    <w:p>
      <w:pPr>
        <w:ind w:left="9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2" w:name="page173"/>
    <w:bookmarkEnd w:id="172"/>
    <w:p>
      <w:pPr>
        <w:jc w:val="center"/>
        <w:ind w:right="-1200"/>
        <w:spacing w:after="0"/>
        <w:rPr>
          <w:sz w:val="20"/>
          <w:szCs w:val="20"/>
          <w:color w:val="auto"/>
        </w:rPr>
      </w:pPr>
      <w:r>
        <w:rPr>
          <w:rFonts w:ascii="Arial" w:cs="Arial" w:eastAsia="Arial" w:hAnsi="Arial"/>
          <w:sz w:val="22"/>
          <w:szCs w:val="22"/>
          <w:b w:val="1"/>
          <w:bCs w:val="1"/>
          <w:color w:val="auto"/>
        </w:rPr>
        <w:t>Schedule A</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Notice Parties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Sean McCarthy</w:t>
      </w:r>
    </w:p>
    <w:p>
      <w:pPr>
        <w:spacing w:after="0" w:line="238" w:lineRule="auto"/>
        <w:rPr>
          <w:sz w:val="20"/>
          <w:szCs w:val="20"/>
          <w:color w:val="auto"/>
        </w:rPr>
      </w:pPr>
      <w:r>
        <w:rPr>
          <w:rFonts w:ascii="Arial" w:cs="Arial" w:eastAsia="Arial" w:hAnsi="Arial"/>
          <w:sz w:val="22"/>
          <w:szCs w:val="22"/>
          <w:color w:val="auto"/>
        </w:rPr>
        <w:t>sean@cytomx.com</w:t>
      </w:r>
    </w:p>
    <w:p>
      <w:pPr>
        <w:spacing w:after="0"/>
        <w:rPr>
          <w:sz w:val="20"/>
          <w:szCs w:val="20"/>
          <w:color w:val="auto"/>
        </w:rPr>
      </w:pPr>
      <w:r>
        <w:rPr>
          <w:rFonts w:ascii="Arial" w:cs="Arial" w:eastAsia="Arial" w:hAnsi="Arial"/>
          <w:sz w:val="22"/>
          <w:szCs w:val="22"/>
          <w:color w:val="auto"/>
        </w:rPr>
        <w:t>(650) 273 4618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Magarro</w:t>
      </w:r>
    </w:p>
    <w:p>
      <w:pPr>
        <w:spacing w:after="0" w:line="238" w:lineRule="auto"/>
        <w:rPr>
          <w:sz w:val="20"/>
          <w:szCs w:val="20"/>
          <w:color w:val="auto"/>
        </w:rPr>
      </w:pPr>
      <w:r>
        <w:rPr>
          <w:rFonts w:ascii="Arial" w:cs="Arial" w:eastAsia="Arial" w:hAnsi="Arial"/>
          <w:sz w:val="22"/>
          <w:szCs w:val="22"/>
          <w:color w:val="auto"/>
        </w:rPr>
        <w:t>mmagarro@jefferies.com</w:t>
      </w:r>
    </w:p>
    <w:p>
      <w:pPr>
        <w:spacing w:after="0"/>
        <w:rPr>
          <w:sz w:val="20"/>
          <w:szCs w:val="20"/>
          <w:color w:val="auto"/>
        </w:rPr>
      </w:pPr>
      <w:r>
        <w:rPr>
          <w:rFonts w:ascii="Arial" w:cs="Arial" w:eastAsia="Arial" w:hAnsi="Arial"/>
          <w:sz w:val="22"/>
          <w:szCs w:val="22"/>
          <w:color w:val="auto"/>
        </w:rPr>
        <w:t>(917) 421-1963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Donald Lynaugh</w:t>
      </w:r>
    </w:p>
    <w:p>
      <w:pPr>
        <w:spacing w:after="0" w:line="238" w:lineRule="auto"/>
        <w:rPr>
          <w:sz w:val="20"/>
          <w:szCs w:val="20"/>
          <w:color w:val="auto"/>
        </w:rPr>
      </w:pPr>
      <w:r>
        <w:rPr>
          <w:rFonts w:ascii="Arial" w:cs="Arial" w:eastAsia="Arial" w:hAnsi="Arial"/>
          <w:sz w:val="22"/>
          <w:szCs w:val="22"/>
          <w:color w:val="auto"/>
        </w:rPr>
        <w:t>dlynaugh@jefferies.com</w:t>
      </w:r>
    </w:p>
    <w:p>
      <w:pPr>
        <w:spacing w:after="0"/>
        <w:rPr>
          <w:sz w:val="20"/>
          <w:szCs w:val="20"/>
          <w:color w:val="auto"/>
        </w:rPr>
      </w:pPr>
      <w:r>
        <w:rPr>
          <w:rFonts w:ascii="Arial" w:cs="Arial" w:eastAsia="Arial" w:hAnsi="Arial"/>
          <w:sz w:val="22"/>
          <w:szCs w:val="22"/>
          <w:color w:val="auto"/>
        </w:rPr>
        <w:t>(917) 421-1946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18" w:right="1440"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 CERTIFICATE</w:t>
      </w:r>
    </w:p>
    <w:p>
      <w:pPr>
        <w:spacing w:after="0" w:line="21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_____________, 20__</w:t>
      </w:r>
    </w:p>
    <w:p>
      <w:pPr>
        <w:spacing w:after="0" w:line="200" w:lineRule="exact"/>
        <w:rPr>
          <w:sz w:val="20"/>
          <w:szCs w:val="20"/>
          <w:color w:val="auto"/>
        </w:rPr>
      </w:pPr>
    </w:p>
    <w:p>
      <w:pPr>
        <w:ind w:right="360" w:firstLine="877"/>
        <w:spacing w:after="0" w:line="243" w:lineRule="auto"/>
        <w:rPr>
          <w:sz w:val="20"/>
          <w:szCs w:val="20"/>
          <w:color w:val="auto"/>
        </w:rPr>
      </w:pPr>
      <w:r>
        <w:rPr>
          <w:rFonts w:ascii="Arial" w:cs="Arial" w:eastAsia="Arial" w:hAnsi="Arial"/>
          <w:sz w:val="22"/>
          <w:szCs w:val="22"/>
          <w:color w:val="auto"/>
        </w:rPr>
        <w:t>Reference is made to that certain Sale Agreement, dated as of February 27, 2020 (the “</w:t>
      </w:r>
      <w:r>
        <w:rPr>
          <w:rFonts w:ascii="Arial" w:cs="Arial" w:eastAsia="Arial" w:hAnsi="Arial"/>
          <w:sz w:val="22"/>
          <w:szCs w:val="22"/>
          <w:b w:val="1"/>
          <w:bCs w:val="1"/>
          <w:color w:val="auto"/>
        </w:rPr>
        <w:t>Agreement</w:t>
      </w:r>
      <w:r>
        <w:rPr>
          <w:rFonts w:ascii="Arial" w:cs="Arial" w:eastAsia="Arial" w:hAnsi="Arial"/>
          <w:sz w:val="22"/>
          <w:szCs w:val="22"/>
          <w:color w:val="auto"/>
        </w:rPr>
        <w:t>”), by and between CytomX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Capitalized terms used without definition herein shall have the meanings assigned thereto in the Agreement.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undersigned, being the _________ of the Company, hereby certifies on behalf of the Company and not in a personal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capacity (and with no personal liability therefor) as follows:</w:t>
      </w:r>
    </w:p>
    <w:p>
      <w:pPr>
        <w:spacing w:after="0" w:line="188" w:lineRule="exact"/>
        <w:rPr>
          <w:sz w:val="20"/>
          <w:szCs w:val="20"/>
          <w:color w:val="auto"/>
        </w:rPr>
      </w:pPr>
    </w:p>
    <w:p>
      <w:pPr>
        <w:ind w:left="880" w:hanging="440"/>
        <w:spacing w:after="0" w:line="251" w:lineRule="auto"/>
        <w:tabs>
          <w:tab w:leader="none" w:pos="8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is in effect, and no proceedings for such purpose are pending before or, to the best of my knowledge, threatened by the Commission.</w:t>
      </w:r>
    </w:p>
    <w:p>
      <w:pPr>
        <w:spacing w:after="0" w:line="173" w:lineRule="exact"/>
        <w:rPr>
          <w:rFonts w:ascii="Arial" w:cs="Arial" w:eastAsia="Arial" w:hAnsi="Arial"/>
          <w:sz w:val="22"/>
          <w:szCs w:val="22"/>
          <w:color w:val="auto"/>
        </w:rPr>
      </w:pPr>
    </w:p>
    <w:p>
      <w:pPr>
        <w:ind w:left="880" w:right="260" w:hanging="440"/>
        <w:spacing w:after="0" w:line="297" w:lineRule="auto"/>
        <w:tabs>
          <w:tab w:leader="none" w:pos="8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the Agreement are true and correct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134" w:lineRule="exact"/>
        <w:rPr>
          <w:rFonts w:ascii="Arial" w:cs="Arial" w:eastAsia="Arial" w:hAnsi="Arial"/>
          <w:sz w:val="19"/>
          <w:szCs w:val="19"/>
          <w:color w:val="auto"/>
        </w:rPr>
      </w:pPr>
    </w:p>
    <w:p>
      <w:pPr>
        <w:ind w:left="880" w:hanging="440"/>
        <w:spacing w:after="0"/>
        <w:tabs>
          <w:tab w:leader="none" w:pos="8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has performed all of its obligations under the Agreement to be performed on or prior to the date hereof.</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color w:val="auto"/>
        </w:rPr>
        <w:t>IN WITNESS WHEREOF, the undersigned has caused this certificate to be executed as of the date first written above.</w:t>
      </w:r>
    </w:p>
    <w:p>
      <w:pPr>
        <w:sectPr>
          <w:pgSz w:w="11900" w:h="16838" w:orient="portrait"/>
          <w:cols w:equalWidth="0" w:num="1">
            <w:col w:w="10240"/>
          </w:cols>
          <w:pgMar w:left="1120" w:top="55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-154940</wp:posOffset>
            </wp:positionV>
            <wp:extent cx="29241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Officer’s Certificate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40"/>
          </w:cols>
          <w:pgMar w:left="1120" w:top="551" w:right="539" w:bottom="1440" w:gutter="0" w:footer="0" w:header="0"/>
          <w:type w:val="continuous"/>
        </w:sectPr>
      </w:pPr>
    </w:p>
    <w:bookmarkStart w:id="175" w:name="page176"/>
    <w:bookmarkEnd w:id="175"/>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SECRETARY’S CERTIFICATE</w:t>
      </w:r>
    </w:p>
    <w:p>
      <w:pPr>
        <w:spacing w:after="0" w:line="21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_____________, 20__</w:t>
      </w:r>
    </w:p>
    <w:p>
      <w:pPr>
        <w:spacing w:after="0" w:line="200" w:lineRule="exact"/>
        <w:rPr>
          <w:sz w:val="20"/>
          <w:szCs w:val="20"/>
          <w:color w:val="auto"/>
        </w:rPr>
      </w:pPr>
    </w:p>
    <w:p>
      <w:pPr>
        <w:ind w:right="420" w:firstLine="877"/>
        <w:spacing w:after="0" w:line="243" w:lineRule="auto"/>
        <w:rPr>
          <w:sz w:val="20"/>
          <w:szCs w:val="20"/>
          <w:color w:val="auto"/>
        </w:rPr>
      </w:pPr>
      <w:r>
        <w:rPr>
          <w:rFonts w:ascii="Arial" w:cs="Arial" w:eastAsia="Arial" w:hAnsi="Arial"/>
          <w:sz w:val="22"/>
          <w:szCs w:val="22"/>
          <w:color w:val="auto"/>
        </w:rPr>
        <w:t>Reference is made to that certain Sale Agreement, dated as of February 27, 2020 (the “</w:t>
      </w:r>
      <w:r>
        <w:rPr>
          <w:rFonts w:ascii="Arial" w:cs="Arial" w:eastAsia="Arial" w:hAnsi="Arial"/>
          <w:sz w:val="22"/>
          <w:szCs w:val="22"/>
          <w:b w:val="1"/>
          <w:bCs w:val="1"/>
          <w:color w:val="auto"/>
        </w:rPr>
        <w:t>Agreement</w:t>
      </w:r>
      <w:r>
        <w:rPr>
          <w:rFonts w:ascii="Arial" w:cs="Arial" w:eastAsia="Arial" w:hAnsi="Arial"/>
          <w:sz w:val="22"/>
          <w:szCs w:val="22"/>
          <w:color w:val="auto"/>
        </w:rPr>
        <w:t>”) by and between CytomX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Capitalized terms used without definition herein shall have the meanings assigned thereto in the Agreement.</w:t>
      </w:r>
    </w:p>
    <w:p>
      <w:pPr>
        <w:spacing w:after="0" w:line="183" w:lineRule="exact"/>
        <w:rPr>
          <w:sz w:val="20"/>
          <w:szCs w:val="20"/>
          <w:color w:val="auto"/>
        </w:rPr>
      </w:pPr>
    </w:p>
    <w:p>
      <w:pPr>
        <w:ind w:right="200" w:firstLine="877"/>
        <w:spacing w:after="0" w:line="251" w:lineRule="auto"/>
        <w:rPr>
          <w:sz w:val="20"/>
          <w:szCs w:val="20"/>
          <w:color w:val="auto"/>
        </w:rPr>
      </w:pPr>
      <w:r>
        <w:rPr>
          <w:rFonts w:ascii="Arial" w:cs="Arial" w:eastAsia="Arial" w:hAnsi="Arial"/>
          <w:sz w:val="22"/>
          <w:szCs w:val="22"/>
          <w:color w:val="auto"/>
        </w:rPr>
        <w:t>The undersigned, being the Secretary of the Company, hereby certifies on behalf of the Company, and not in a personal capacity (and with no personal liability therefor) as follows:</w:t>
      </w:r>
    </w:p>
    <w:p>
      <w:pPr>
        <w:spacing w:after="0" w:line="173" w:lineRule="exact"/>
        <w:rPr>
          <w:sz w:val="20"/>
          <w:szCs w:val="20"/>
          <w:color w:val="auto"/>
        </w:rPr>
      </w:pPr>
    </w:p>
    <w:p>
      <w:pPr>
        <w:jc w:val="both"/>
        <w:ind w:left="880" w:right="980" w:hanging="440"/>
        <w:spacing w:after="0"/>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 proceeding for the dissolution, merger, consolidation or liquidation of the Company or for the sale of all or substantially all of its assets is pending or, to the best of my knowledge, threatened, and no such proceeding is contemplated by the Company.</w:t>
      </w:r>
    </w:p>
    <w:p>
      <w:pPr>
        <w:spacing w:after="0" w:line="186" w:lineRule="exact"/>
        <w:rPr>
          <w:rFonts w:ascii="Arial" w:cs="Arial" w:eastAsia="Arial" w:hAnsi="Arial"/>
          <w:sz w:val="22"/>
          <w:szCs w:val="22"/>
          <w:color w:val="auto"/>
        </w:rPr>
      </w:pPr>
    </w:p>
    <w:p>
      <w:pPr>
        <w:ind w:left="880" w:hanging="440"/>
        <w:spacing w:after="0" w:line="236" w:lineRule="auto"/>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is a true, correct and complete copy of the Amended and Restated Certificate of Incorporation of the Company, as amended to date (the “</w:t>
      </w:r>
      <w:r>
        <w:rPr>
          <w:rFonts w:ascii="Arial" w:cs="Arial" w:eastAsia="Arial" w:hAnsi="Arial"/>
          <w:sz w:val="22"/>
          <w:szCs w:val="22"/>
          <w:b w:val="1"/>
          <w:bCs w:val="1"/>
          <w:color w:val="auto"/>
        </w:rPr>
        <w:t>Certificate of Incorporation</w:t>
      </w:r>
      <w:r>
        <w:rPr>
          <w:rFonts w:ascii="Arial" w:cs="Arial" w:eastAsia="Arial" w:hAnsi="Arial"/>
          <w:sz w:val="22"/>
          <w:szCs w:val="22"/>
          <w:color w:val="auto"/>
        </w:rPr>
        <w:t>”), as certified by an appropriate public official of the State of Delaware and as in full force and effect as of _________, 20__. No action has been taken by the Company or its stockholders, directors or officers to effect or authorize any amendment or other modification to the Certificate of Incorporation since such date.</w:t>
      </w:r>
    </w:p>
    <w:p>
      <w:pPr>
        <w:spacing w:after="0" w:line="187" w:lineRule="exact"/>
        <w:rPr>
          <w:rFonts w:ascii="Arial" w:cs="Arial" w:eastAsia="Arial" w:hAnsi="Arial"/>
          <w:sz w:val="22"/>
          <w:szCs w:val="22"/>
          <w:color w:val="auto"/>
        </w:rPr>
      </w:pPr>
    </w:p>
    <w:p>
      <w:pPr>
        <w:ind w:left="880" w:right="200" w:hanging="440"/>
        <w:spacing w:after="0" w:line="238" w:lineRule="auto"/>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is a true, correct and complete copy of the Amended and Restated Bylaws of the Company (the “</w:t>
      </w:r>
      <w:r>
        <w:rPr>
          <w:rFonts w:ascii="Arial" w:cs="Arial" w:eastAsia="Arial" w:hAnsi="Arial"/>
          <w:sz w:val="22"/>
          <w:szCs w:val="22"/>
          <w:b w:val="1"/>
          <w:bCs w:val="1"/>
          <w:color w:val="auto"/>
        </w:rPr>
        <w:t>Bylaws</w:t>
      </w:r>
      <w:r>
        <w:rPr>
          <w:rFonts w:ascii="Arial" w:cs="Arial" w:eastAsia="Arial" w:hAnsi="Arial"/>
          <w:sz w:val="22"/>
          <w:szCs w:val="22"/>
          <w:color w:val="auto"/>
        </w:rPr>
        <w:t>”) as in effect at the date hereof and at all times since _________, 20__. No action has been taken by the Company or its stockholders, directors or officers to effect or authorize any amendment or other modification to the Bylaws.</w:t>
      </w:r>
    </w:p>
    <w:p>
      <w:pPr>
        <w:spacing w:after="0" w:line="185" w:lineRule="exact"/>
        <w:rPr>
          <w:rFonts w:ascii="Arial" w:cs="Arial" w:eastAsia="Arial" w:hAnsi="Arial"/>
          <w:sz w:val="22"/>
          <w:szCs w:val="22"/>
          <w:color w:val="auto"/>
        </w:rPr>
      </w:pPr>
    </w:p>
    <w:p>
      <w:pPr>
        <w:ind w:left="880" w:right="20" w:hanging="440"/>
        <w:spacing w:after="0" w:line="247" w:lineRule="auto"/>
        <w:tabs>
          <w:tab w:leader="none" w:pos="8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Attached hereto as Annex C is a true, correct and complete copy of resolutions duly adopted by the Board of Directors of the Company on __________, 20__ authorizing the filing of the Registration Statement and the Prospectus, the execution and delivery of the Agreement and the consummation of the transactions contemplated thereby (including, without limitation, the issuance of the Shares pursuant to the Agreement). Such resolutions have not been amended or modified, are in full force and effect in the form adopted and are the only resolutions adopted by the Board of Directors or by any committee or officers of or designated by the Board of Directors relating to the Registration Statement, the offering of the Shares and the Agreement.</w:t>
      </w:r>
    </w:p>
    <w:p>
      <w:pPr>
        <w:spacing w:after="0" w:line="178" w:lineRule="exact"/>
        <w:rPr>
          <w:rFonts w:ascii="Arial" w:cs="Arial" w:eastAsia="Arial" w:hAnsi="Arial"/>
          <w:sz w:val="21"/>
          <w:szCs w:val="21"/>
          <w:color w:val="auto"/>
        </w:rPr>
      </w:pPr>
    </w:p>
    <w:p>
      <w:pPr>
        <w:ind w:left="880" w:hanging="440"/>
        <w:spacing w:after="0" w:line="251" w:lineRule="auto"/>
        <w:tabs>
          <w:tab w:leader="none" w:pos="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Agreement as executed and delivered by the Company is in substantially the form approved by the Company’s Board of Directors in the resolutions referred to in paragraph 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76" w:name="page177"/>
    <w:bookmarkEnd w:id="176"/>
    <w:p>
      <w:pPr>
        <w:ind w:left="440" w:right="20" w:hanging="440"/>
        <w:spacing w:after="0" w:line="287" w:lineRule="auto"/>
        <w:tabs>
          <w:tab w:leader="none" w:pos="4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Each person who, as an officer or director of the Company, signed the Registration Statement and any amendment thereto was duly elected or appointed, qualified and acting as such officer or director at the respective times of the signing thereof and was duly authorized to sign such document on behalf of the Company, and the signature of each such person appearing on each such document is the genuine signature of such officer or director.</w:t>
      </w:r>
    </w:p>
    <w:p>
      <w:pPr>
        <w:spacing w:after="0" w:line="143" w:lineRule="exact"/>
        <w:rPr>
          <w:rFonts w:ascii="Arial" w:cs="Arial" w:eastAsia="Arial" w:hAnsi="Arial"/>
          <w:sz w:val="19"/>
          <w:szCs w:val="19"/>
          <w:color w:val="auto"/>
        </w:rPr>
      </w:pPr>
    </w:p>
    <w:p>
      <w:pPr>
        <w:ind w:left="440" w:right="340" w:hanging="440"/>
        <w:spacing w:after="0" w:line="249" w:lineRule="auto"/>
        <w:tabs>
          <w:tab w:leader="none" w:pos="4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Each person who, as an officer of the Company, signed (a) the Agreement or (b) any other document delivered in connection with the sale and public offering of the Shares and the settlement related thereto was duly elected or appointed, qualified and acting as such officer at the respective times of the signing and delivery thereof and was duly authorized to sign such document on behalf of the Company, and the signature of each such person appearing on each such document is the genuine signature of such officer.</w:t>
      </w:r>
    </w:p>
    <w:p>
      <w:pPr>
        <w:spacing w:after="0" w:line="178" w:lineRule="exact"/>
        <w:rPr>
          <w:rFonts w:ascii="Arial" w:cs="Arial" w:eastAsia="Arial" w:hAnsi="Arial"/>
          <w:sz w:val="21"/>
          <w:szCs w:val="21"/>
          <w:color w:val="auto"/>
        </w:rPr>
      </w:pPr>
    </w:p>
    <w:p>
      <w:pPr>
        <w:ind w:left="440" w:hanging="440"/>
        <w:spacing w:after="0" w:line="275" w:lineRule="auto"/>
        <w:tabs>
          <w:tab w:leader="none" w:pos="4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minute books and records of the Company relating to all proceedings of the stockholders and the Board of Directors (and any committee of the Board of Directors) of the Company made available to Latham &amp; Watkins LLP and Davis Polk &amp; Wardwell LLP are the original minute books and records of the Company, or are true, correct and complete copies thereof, with respect to all proceedings of said stockholders, Board of Directors and committees since _________, 20__. The minute books, records and other documents of the Company made available to Latham &amp; Watkins LLP and Davis Polk &amp; Wardwell LLP were true, correct and complete in all respects, except for _________. There have been no material changes, additions or alterations in said minute books, records and other documents that have not been disclosed to Latham &amp; Watkins LLP Davis Polk &amp; Wardwell LLP in writing.</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1.</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IN WITNESS WHEREOF, the undersigned has caused this certificate to be executed as of the date first written above.</w:t>
      </w:r>
    </w:p>
    <w:p>
      <w:pPr>
        <w:sectPr>
          <w:pgSz w:w="11900" w:h="16838" w:orient="portrait"/>
          <w:cols w:equalWidth="0" w:num="1">
            <w:col w:w="10240"/>
          </w:cols>
          <w:pgMar w:left="1120" w:top="55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-154940</wp:posOffset>
            </wp:positionV>
            <wp:extent cx="29241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Secretary’s Certificate</w:t>
      </w:r>
      <w:r>
        <w:rPr>
          <w:rFonts w:ascii="Arial" w:cs="Arial" w:eastAsia="Arial" w:hAnsi="Arial"/>
          <w:sz w:val="19"/>
          <w:szCs w:val="19"/>
          <w:color w:val="auto"/>
        </w:rPr>
        <w:t>]</w:t>
      </w:r>
    </w:p>
    <w:p>
      <w:pPr>
        <w:sectPr>
          <w:pgSz w:w="11900" w:h="16838" w:orient="portrait"/>
          <w:cols w:equalWidth="0" w:num="1">
            <w:col w:w="10240"/>
          </w:cols>
          <w:pgMar w:left="1120" w:top="551" w:right="539" w:bottom="1440" w:gutter="0" w:footer="0" w:header="0"/>
          <w:type w:val="continuous"/>
        </w:sectPr>
      </w:pPr>
    </w:p>
    <w:bookmarkStart w:id="178" w:name="page179"/>
    <w:bookmarkEnd w:id="178"/>
    <w:p>
      <w:pPr>
        <w:ind w:left="105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The following summary describes the capital stock of CytomX Therapeutics, Inc. (the “Company,” “we,” “us,” and “our”) and the material provisions of our amended and restated certificate of incorporation and our amended and restated bylaws, the registration rights agreement to which we and a stockholder are parties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and registration rights agreement, copies of which are incorporated by reference as exhibits to our Annual Report on Form 10-K.</w:t>
      </w:r>
    </w:p>
    <w:p>
      <w:pPr>
        <w:spacing w:after="0" w:line="2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2019, CytomX Therapeutics, Inc. (“CytomX”) had common stock, $0.00001 par value per share, registered under Section 12 of the Securities Exchange Act of 1934, as amended (the “Exchange Act”), and listed on The Nasdaq Global Select Market under the trading symbol “CTMX.”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authorized 75,000,000 shares of common stock, $0.00001 par value per share, and 10,000,000 shares of preferred stock, $0.00001 par value per share under our amended and restated certificate of incorporation. As of December 31, 2019, there were outstanding:</w:t>
      </w:r>
    </w:p>
    <w:p>
      <w:pPr>
        <w:spacing w:after="0" w:line="62" w:lineRule="exact"/>
        <w:rPr>
          <w:sz w:val="20"/>
          <w:szCs w:val="20"/>
          <w:color w:val="auto"/>
        </w:rPr>
      </w:pPr>
    </w:p>
    <w:p>
      <w:pPr>
        <w:ind w:left="880" w:hanging="440"/>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45,523,088 shares of our common stock; and</w:t>
      </w:r>
    </w:p>
    <w:p>
      <w:pPr>
        <w:spacing w:after="0" w:line="346" w:lineRule="exact"/>
        <w:rPr>
          <w:rFonts w:ascii="Arial" w:cs="Arial" w:eastAsia="Arial" w:hAnsi="Arial"/>
          <w:sz w:val="18"/>
          <w:szCs w:val="18"/>
          <w:color w:val="auto"/>
        </w:rPr>
      </w:pPr>
    </w:p>
    <w:p>
      <w:pPr>
        <w:ind w:left="880" w:hanging="426"/>
        <w:spacing w:after="0"/>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9,936,168 shares of common stock subject to outstanding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were approximately 36 holders on record of our common stock. This number does not include beneficial owners whose shares are held by nominees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our common stock are entitled to one vote for each share of common stock held of record for the election of directors and on all matters submitted to a vote of stockholders. In the election of directors, a plurality of the votes cast at a meeting of stockholders is sufficient to elect a director. Our stockholders do not have cumulative voting rights in the election of directors. Accordingly, holders of a majority of the voting shares are able to elect all of the directors. In all other matters, except as noted below under “Anti-Takeover Effects of Delaware Law, Our Certificate of Incorporation and Our Bylaws,” a majority vote of common stockholders is generally required to take action under our certificate of incorporation and bylaws.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our common stock are entitled to receive dividends ratably, if any, as may be declared by our board of directors out of legally available funds, subject to any preferential dividend rights of any preferred stock then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79" w:name="page180"/>
    <w:bookmarkEnd w:id="179"/>
    <w:p>
      <w:pPr>
        <w:jc w:val="both"/>
        <w:spacing w:after="0" w:line="264" w:lineRule="auto"/>
        <w:rPr>
          <w:sz w:val="20"/>
          <w:szCs w:val="20"/>
          <w:color w:val="auto"/>
        </w:rPr>
      </w:pPr>
      <w:r>
        <w:rPr>
          <w:rFonts w:ascii="Arial" w:cs="Arial" w:eastAsia="Arial" w:hAnsi="Arial"/>
          <w:sz w:val="18"/>
          <w:szCs w:val="18"/>
          <w:color w:val="auto"/>
        </w:rPr>
        <w:t>Holders of our common stock have no preemptive, subscription or conversion rights, and there are no redemption or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the authority, without action by the stockholders, to designate and issue up to an aggregate of 10,000,000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or preventing a change in control of our company and might harm the market price of our common stock. As of December 31, 2019, no shares of preferred stock were outstanding, and we have no present plan to issue any shares of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registration rights agreement, as of December 31, 2019, Amgen Inc. (“Amgen”), the holder of 1,156,069 shares of our common stock, is entitled to require us register the resale of the shares purchased by Amgen pursuant to that certain share purchase agreement, dated September 29, 2017, between the Company and Amgen, on a registration statement to be filed with the Securities and Exchange Commission. The registration rights agreement contains customary indemnification provisions, and terminates if there are no registrable shares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certificate of incorporation and bylaws provide that subject to any limitations imposed by law and the rights of the holders of any series of our preferred stock, the board of directors or any individual director may be removed from office at any time without cause by the affirmative vote of the holders of a majority of the voting power of all the then-outstanding shares of voting stock of our company entitled to vote at an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bylaws provide that all stockholder actions are required to be taken by a vote of the stockholders at an annual or special meeting, and that stockholders may not take any action by written consent in lieu of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is divided into three staggered classes of directors of the same or nearly the same number and each director will be assigned to one of the three classes. At each annual meeting of the stockholders, a class of directors will be elected for a three-year term to succeed the directors of the same class whose terms are then expiring. Our amended and restated certificate of incorporation provides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 The division of our board of directors into three classes with staggered three-year terms may delay or prevent stockholder efforts to effect a change of our management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provide that special meetings of stockholders, which our company is not obligated to call more than once per calendar year, may only be called by the chairman of our board of directors, our chief executive officer, or our board of directors pursuant to a resolution adopted by a majority of the total number of authorized directors. In addition, our bylaws will limit the business that may be conducted at an annual meeting of stockholders to those matters properly brought before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bylaws include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secretary prior to the meeting at which the action is to be taken. Generally, to be timely, notice must be received at our principal executive offices not later than the close of business on the ninetieth (90th) day nor earlier than the close of business on the one hundred twentieth (120th) day prior to the first anniversary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provides that the affirmative votes of the holders of at least a majority of the voting power of all of the then-outstanding shares of our voting stock will be required to amend certain provisions of our certificate of incorporation, including provisions relating to the size of our board of directors, removal of directors, special meeting of stockholders and actions by written consent. The affirmative votes of the holders of at least a majority of the voting power of all of the then-outstanding shares of our voting stock will be required to amend or repeal our bylaws. In addition, our bylaws may be amended by our board of directors, subject to any limitations set forth in the bylaws.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as amended.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within three years prior to the determination of interested stockholder status, 15 percent or more of the corporation’s voting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w:t>
      </w:r>
    </w:p>
    <w:p>
      <w:pPr>
        <w:spacing w:after="0" w:line="62" w:lineRule="exact"/>
        <w:rPr>
          <w:sz w:val="20"/>
          <w:szCs w:val="20"/>
          <w:color w:val="auto"/>
        </w:rPr>
      </w:pPr>
    </w:p>
    <w:p>
      <w:pPr>
        <w:ind w:left="880" w:hanging="440"/>
        <w:spacing w:after="0" w:line="27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of the corporation approved either the business combination or the transaction which resulted in the stockholder becoming an interested stockholder;</w:t>
      </w:r>
    </w:p>
    <w:p>
      <w:pPr>
        <w:spacing w:after="0" w:line="292" w:lineRule="exact"/>
        <w:rPr>
          <w:rFonts w:ascii="Arial" w:cs="Arial" w:eastAsia="Arial" w:hAnsi="Arial"/>
          <w:sz w:val="18"/>
          <w:szCs w:val="18"/>
          <w:color w:val="auto"/>
        </w:rPr>
      </w:pPr>
    </w:p>
    <w:p>
      <w:pPr>
        <w:jc w:val="both"/>
        <w:ind w:left="880" w:hanging="440"/>
        <w:spacing w:after="0" w:line="312"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68" w:lineRule="exact"/>
        <w:rPr>
          <w:rFonts w:ascii="Arial" w:cs="Arial" w:eastAsia="Arial" w:hAnsi="Arial"/>
          <w:sz w:val="16"/>
          <w:szCs w:val="16"/>
          <w:color w:val="auto"/>
        </w:rPr>
      </w:pPr>
    </w:p>
    <w:p>
      <w:pPr>
        <w:jc w:val="both"/>
        <w:ind w:left="880" w:hanging="440"/>
        <w:spacing w:after="0" w:line="264"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66 2/3 percent of the outstanding voting stock which is not owned by the interested stockholder.</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as Sole and Exclusive Forum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or otherwise wrongdoing by, any of our directors, officers or other employees to us or our stockholders, (iii) any action asserting a claim against us arising pursuant to any provision of the Delaware General Corporation Law, as amended, or our certificate of incorporation or bylaws, (iv) any action to interpret, apply, enforce or determine the validity of our certificate of incorporation or bylaws, or (v) any action asserting a claim against us or any of our directors, officers or employees governed by the internal affairs doctrine.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permitted by the Delaware General Corporation Law, as amended, our amended and restated certificate of incorporation and amended and restated bylaws, in each case, limit or eliminate the personal liability of our directors. Consequently, a director will not be personally liable to us or our stockholders for monetary damages for breach of fiduciary duty as a director, except for liability for:</w:t>
      </w:r>
    </w:p>
    <w:p>
      <w:pPr>
        <w:spacing w:after="0" w:line="73" w:lineRule="exact"/>
        <w:rPr>
          <w:sz w:val="20"/>
          <w:szCs w:val="20"/>
          <w:color w:val="auto"/>
        </w:rPr>
      </w:pPr>
    </w:p>
    <w:p>
      <w:pPr>
        <w:ind w:left="880" w:hanging="440"/>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U.S.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amended and restated bylaws provide that:</w:t>
      </w:r>
    </w:p>
    <w:p>
      <w:pPr>
        <w:spacing w:after="0" w:line="117" w:lineRule="exact"/>
        <w:rPr>
          <w:sz w:val="20"/>
          <w:szCs w:val="20"/>
          <w:color w:val="auto"/>
        </w:rPr>
      </w:pPr>
    </w:p>
    <w:p>
      <w:pPr>
        <w:ind w:left="880" w:hanging="440"/>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will indemnify our directors, officers and, at the discretion of our board of directors, certain employees and agents to the fullest extent permitted by the Delaware General Corporation Law,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2" w:name="page183"/>
    <w:bookmarkEnd w:id="182"/>
    <w:p>
      <w:pPr>
        <w:ind w:left="880" w:hanging="440"/>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will advance expenses, including attorneys’ fees, to our directors and to our officers and certain employees, in connection with legal proceedings, subject to limited exceptions; and</w:t>
      </w:r>
    </w:p>
    <w:p>
      <w:pPr>
        <w:spacing w:after="0" w:line="292"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in our amended and restated bylaws are not exclusive of any other right to which our directors or officers may be entitled under any indemnification agreement we enter into with any individual director, officer, employee or agent.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 form of these agreements have been approved by our stockholders. These agreements provide that we will indemnify each of our executive officers and directors to the fullest extent permitted by law and advance expenses to each indemnitee in connection with any proceeding in which indemnification is available.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obtained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above provisions may discourage stockholders from bringing a lawsuit against our directors for breach of their fiduciary duty. The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officers where indemnification will be required or permitted. We are not aware of any threatened litigation or proceedings that might result in a claim for such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462 South 4</w:t>
      </w:r>
      <w:r>
        <w:rPr>
          <w:rFonts w:ascii="Arial" w:cs="Arial" w:eastAsia="Arial" w:hAnsi="Arial"/>
          <w:sz w:val="15"/>
          <w:szCs w:val="15"/>
          <w:color w:val="auto"/>
        </w:rPr>
        <w:t>th</w:t>
      </w:r>
      <w:r>
        <w:rPr>
          <w:rFonts w:ascii="Arial" w:cs="Arial" w:eastAsia="Arial" w:hAnsi="Arial"/>
          <w:sz w:val="18"/>
          <w:szCs w:val="18"/>
          <w:color w:val="auto"/>
        </w:rPr>
        <w:t xml:space="preserve"> Street, Suite 1600, Louisville, KY 40202.</w:t>
      </w:r>
    </w:p>
    <w:p>
      <w:pPr>
        <w:sectPr>
          <w:pgSz w:w="11900" w:h="16838" w:orient="portrait"/>
          <w:cols w:equalWidth="0" w:num="1">
            <w:col w:w="11420"/>
          </w:cols>
          <w:pgMar w:left="240" w:top="463"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3"/>
          <w:szCs w:val="13"/>
          <w:color w:val="auto"/>
        </w:rPr>
        <w:t>140 Scott Drive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Menlo Park, California 94025</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Tel: +1.650.328.4600 Fax: +1.650.463.2600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www.lw.com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FIRM / AFFILIATE OFFICES</w:t>
      </w:r>
    </w:p>
    <w:p>
      <w:pPr>
        <w:spacing w:after="0" w:line="40" w:lineRule="exact"/>
        <w:rPr>
          <w:sz w:val="20"/>
          <w:szCs w:val="20"/>
          <w:color w:val="auto"/>
        </w:rPr>
      </w:pPr>
    </w:p>
    <w:tbl>
      <w:tblPr>
        <w:tblLayout w:type="fixed"/>
        <w:tblInd w:w="4700" w:type="dxa"/>
        <w:tblCellMar>
          <w:top w:w="0" w:type="dxa"/>
          <w:left w:w="0" w:type="dxa"/>
          <w:bottom w:w="0" w:type="dxa"/>
          <w:right w:w="0" w:type="dxa"/>
        </w:tblCellMar>
      </w:tblPr>
      <w:tr>
        <w:trPr>
          <w:trHeight w:val="152"/>
        </w:trPr>
        <w:tc>
          <w:tcPr>
            <w:tcW w:w="960" w:type="dxa"/>
            <w:vAlign w:val="bottom"/>
          </w:tcPr>
          <w:p>
            <w:pPr>
              <w:jc w:val="center"/>
              <w:ind w:left="57"/>
              <w:spacing w:after="0"/>
              <w:rPr>
                <w:sz w:val="20"/>
                <w:szCs w:val="20"/>
                <w:color w:val="auto"/>
              </w:rPr>
            </w:pPr>
            <w:r>
              <w:rPr>
                <w:rFonts w:ascii="Arial" w:cs="Arial" w:eastAsia="Arial" w:hAnsi="Arial"/>
                <w:sz w:val="13"/>
                <w:szCs w:val="13"/>
                <w:color w:val="auto"/>
                <w:w w:val="98"/>
              </w:rPr>
              <w:t>Abu Dhabi</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Milan</w:t>
            </w:r>
          </w:p>
        </w:tc>
      </w:tr>
      <w:tr>
        <w:trPr>
          <w:trHeight w:val="189"/>
        </w:trPr>
        <w:tc>
          <w:tcPr>
            <w:tcW w:w="960" w:type="dxa"/>
            <w:vAlign w:val="bottom"/>
          </w:tcPr>
          <w:p>
            <w:pPr>
              <w:ind w:left="180"/>
              <w:spacing w:after="0"/>
              <w:rPr>
                <w:sz w:val="20"/>
                <w:szCs w:val="20"/>
                <w:color w:val="auto"/>
              </w:rPr>
            </w:pPr>
            <w:r>
              <w:rPr>
                <w:rFonts w:ascii="Arial" w:cs="Arial" w:eastAsia="Arial" w:hAnsi="Arial"/>
                <w:sz w:val="13"/>
                <w:szCs w:val="13"/>
                <w:color w:val="auto"/>
              </w:rPr>
              <w:t>Barcelona</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Moscow</w:t>
            </w:r>
          </w:p>
        </w:tc>
      </w:tr>
      <w:tr>
        <w:trPr>
          <w:trHeight w:val="189"/>
        </w:trPr>
        <w:tc>
          <w:tcPr>
            <w:tcW w:w="960" w:type="dxa"/>
            <w:vAlign w:val="bottom"/>
          </w:tcPr>
          <w:p>
            <w:pPr>
              <w:ind w:left="300"/>
              <w:spacing w:after="0"/>
              <w:rPr>
                <w:sz w:val="20"/>
                <w:szCs w:val="20"/>
                <w:color w:val="auto"/>
              </w:rPr>
            </w:pPr>
            <w:r>
              <w:rPr>
                <w:rFonts w:ascii="Arial" w:cs="Arial" w:eastAsia="Arial" w:hAnsi="Arial"/>
                <w:sz w:val="13"/>
                <w:szCs w:val="13"/>
                <w:color w:val="auto"/>
              </w:rPr>
              <w:t>Beijing</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Munich</w:t>
            </w:r>
          </w:p>
        </w:tc>
      </w:tr>
      <w:tr>
        <w:trPr>
          <w:trHeight w:val="189"/>
        </w:trPr>
        <w:tc>
          <w:tcPr>
            <w:tcW w:w="960" w:type="dxa"/>
            <w:vAlign w:val="bottom"/>
          </w:tcPr>
          <w:p>
            <w:pPr>
              <w:ind w:left="160"/>
              <w:spacing w:after="0"/>
              <w:rPr>
                <w:sz w:val="20"/>
                <w:szCs w:val="20"/>
                <w:color w:val="auto"/>
              </w:rPr>
            </w:pPr>
            <w:r>
              <w:rPr>
                <w:rFonts w:ascii="Arial" w:cs="Arial" w:eastAsia="Arial" w:hAnsi="Arial"/>
                <w:sz w:val="13"/>
                <w:szCs w:val="13"/>
                <w:color w:val="auto"/>
              </w:rPr>
              <w:t>Boston</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New Jersey</w:t>
            </w:r>
          </w:p>
        </w:tc>
      </w:tr>
      <w:tr>
        <w:trPr>
          <w:trHeight w:val="189"/>
        </w:trPr>
        <w:tc>
          <w:tcPr>
            <w:tcW w:w="960" w:type="dxa"/>
            <w:vAlign w:val="bottom"/>
          </w:tcPr>
          <w:p>
            <w:pPr>
              <w:ind w:left="180"/>
              <w:spacing w:after="0"/>
              <w:rPr>
                <w:sz w:val="20"/>
                <w:szCs w:val="20"/>
                <w:color w:val="auto"/>
              </w:rPr>
            </w:pPr>
            <w:r>
              <w:rPr>
                <w:rFonts w:ascii="Arial" w:cs="Arial" w:eastAsia="Arial" w:hAnsi="Arial"/>
                <w:sz w:val="13"/>
                <w:szCs w:val="13"/>
                <w:color w:val="auto"/>
              </w:rPr>
              <w:t>Brussels</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New York</w:t>
            </w:r>
          </w:p>
        </w:tc>
      </w:tr>
      <w:tr>
        <w:trPr>
          <w:trHeight w:val="189"/>
        </w:trPr>
        <w:tc>
          <w:tcPr>
            <w:tcW w:w="960" w:type="dxa"/>
            <w:vAlign w:val="bottom"/>
          </w:tcPr>
          <w:p>
            <w:pPr>
              <w:ind w:left="40"/>
              <w:spacing w:after="0"/>
              <w:rPr>
                <w:sz w:val="20"/>
                <w:szCs w:val="20"/>
                <w:color w:val="auto"/>
              </w:rPr>
            </w:pPr>
            <w:r>
              <w:rPr>
                <w:rFonts w:ascii="Arial" w:cs="Arial" w:eastAsia="Arial" w:hAnsi="Arial"/>
                <w:sz w:val="13"/>
                <w:szCs w:val="13"/>
                <w:color w:val="auto"/>
              </w:rPr>
              <w:t>Chicago</w:t>
            </w:r>
          </w:p>
        </w:tc>
        <w:tc>
          <w:tcPr>
            <w:tcW w:w="1060" w:type="dxa"/>
            <w:vAlign w:val="bottom"/>
          </w:tcPr>
          <w:p>
            <w:pPr>
              <w:jc w:val="right"/>
              <w:spacing w:after="0"/>
              <w:rPr>
                <w:sz w:val="20"/>
                <w:szCs w:val="20"/>
                <w:color w:val="auto"/>
              </w:rPr>
            </w:pPr>
            <w:r>
              <w:rPr>
                <w:rFonts w:ascii="Arial" w:cs="Arial" w:eastAsia="Arial" w:hAnsi="Arial"/>
                <w:sz w:val="13"/>
                <w:szCs w:val="13"/>
                <w:color w:val="auto"/>
              </w:rPr>
              <w:t>Orange County</w:t>
            </w:r>
          </w:p>
        </w:tc>
      </w:tr>
      <w:tr>
        <w:trPr>
          <w:trHeight w:val="189"/>
        </w:trPr>
        <w:tc>
          <w:tcPr>
            <w:tcW w:w="960" w:type="dxa"/>
            <w:vAlign w:val="bottom"/>
          </w:tcPr>
          <w:p>
            <w:pPr>
              <w:jc w:val="center"/>
              <w:ind w:left="77"/>
              <w:spacing w:after="0"/>
              <w:rPr>
                <w:sz w:val="20"/>
                <w:szCs w:val="20"/>
                <w:color w:val="auto"/>
              </w:rPr>
            </w:pPr>
            <w:r>
              <w:rPr>
                <w:rFonts w:ascii="Arial" w:cs="Arial" w:eastAsia="Arial" w:hAnsi="Arial"/>
                <w:sz w:val="13"/>
                <w:szCs w:val="13"/>
                <w:color w:val="auto"/>
                <w:w w:val="96"/>
              </w:rPr>
              <w:t>Doha</w:t>
            </w:r>
          </w:p>
        </w:tc>
        <w:tc>
          <w:tcPr>
            <w:tcW w:w="1060" w:type="dxa"/>
            <w:vAlign w:val="bottom"/>
          </w:tcPr>
          <w:p>
            <w:pPr>
              <w:jc w:val="right"/>
              <w:ind w:right="317"/>
              <w:spacing w:after="0"/>
              <w:rPr>
                <w:sz w:val="20"/>
                <w:szCs w:val="20"/>
                <w:color w:val="auto"/>
              </w:rPr>
            </w:pPr>
            <w:r>
              <w:rPr>
                <w:rFonts w:ascii="Arial" w:cs="Arial" w:eastAsia="Arial" w:hAnsi="Arial"/>
                <w:sz w:val="13"/>
                <w:szCs w:val="13"/>
                <w:color w:val="auto"/>
              </w:rPr>
              <w:t>Paris</w:t>
            </w:r>
          </w:p>
        </w:tc>
      </w:tr>
      <w:tr>
        <w:trPr>
          <w:trHeight w:val="189"/>
        </w:trPr>
        <w:tc>
          <w:tcPr>
            <w:tcW w:w="960" w:type="dxa"/>
            <w:vAlign w:val="bottom"/>
          </w:tcPr>
          <w:p>
            <w:pPr>
              <w:ind w:left="320"/>
              <w:spacing w:after="0"/>
              <w:rPr>
                <w:sz w:val="20"/>
                <w:szCs w:val="20"/>
                <w:color w:val="auto"/>
              </w:rPr>
            </w:pPr>
            <w:r>
              <w:rPr>
                <w:rFonts w:ascii="Arial" w:cs="Arial" w:eastAsia="Arial" w:hAnsi="Arial"/>
                <w:sz w:val="13"/>
                <w:szCs w:val="13"/>
                <w:color w:val="auto"/>
              </w:rPr>
              <w:t>Dubai</w:t>
            </w:r>
          </w:p>
        </w:tc>
        <w:tc>
          <w:tcPr>
            <w:tcW w:w="1060" w:type="dxa"/>
            <w:vAlign w:val="bottom"/>
          </w:tcPr>
          <w:p>
            <w:pPr>
              <w:jc w:val="right"/>
              <w:ind w:right="257"/>
              <w:spacing w:after="0"/>
              <w:rPr>
                <w:sz w:val="20"/>
                <w:szCs w:val="20"/>
                <w:color w:val="auto"/>
              </w:rPr>
            </w:pPr>
            <w:r>
              <w:rPr>
                <w:rFonts w:ascii="Arial" w:cs="Arial" w:eastAsia="Arial" w:hAnsi="Arial"/>
                <w:sz w:val="13"/>
                <w:szCs w:val="13"/>
                <w:color w:val="auto"/>
              </w:rPr>
              <w:t>Riyadh</w:t>
            </w:r>
          </w:p>
        </w:tc>
      </w:tr>
      <w:tr>
        <w:trPr>
          <w:trHeight w:val="189"/>
        </w:trPr>
        <w:tc>
          <w:tcPr>
            <w:tcW w:w="960" w:type="dxa"/>
            <w:vAlign w:val="bottom"/>
          </w:tcPr>
          <w:p>
            <w:pPr>
              <w:jc w:val="center"/>
              <w:ind w:left="17"/>
              <w:spacing w:after="0"/>
              <w:rPr>
                <w:sz w:val="20"/>
                <w:szCs w:val="20"/>
                <w:color w:val="auto"/>
              </w:rPr>
            </w:pPr>
            <w:r>
              <w:rPr>
                <w:rFonts w:ascii="Arial" w:cs="Arial" w:eastAsia="Arial" w:hAnsi="Arial"/>
                <w:sz w:val="13"/>
                <w:szCs w:val="13"/>
                <w:color w:val="auto"/>
                <w:w w:val="96"/>
              </w:rPr>
              <w:t>Düsseldorf</w:t>
            </w:r>
          </w:p>
        </w:tc>
        <w:tc>
          <w:tcPr>
            <w:tcW w:w="1060" w:type="dxa"/>
            <w:vAlign w:val="bottom"/>
          </w:tcPr>
          <w:p>
            <w:pPr>
              <w:jc w:val="right"/>
              <w:ind w:right="157"/>
              <w:spacing w:after="0"/>
              <w:rPr>
                <w:sz w:val="20"/>
                <w:szCs w:val="20"/>
                <w:color w:val="auto"/>
              </w:rPr>
            </w:pPr>
            <w:r>
              <w:rPr>
                <w:rFonts w:ascii="Arial" w:cs="Arial" w:eastAsia="Arial" w:hAnsi="Arial"/>
                <w:sz w:val="13"/>
                <w:szCs w:val="13"/>
                <w:color w:val="auto"/>
              </w:rPr>
              <w:t>Rome</w:t>
            </w:r>
          </w:p>
        </w:tc>
      </w:tr>
      <w:tr>
        <w:trPr>
          <w:trHeight w:val="189"/>
        </w:trPr>
        <w:tc>
          <w:tcPr>
            <w:tcW w:w="960" w:type="dxa"/>
            <w:vAlign w:val="bottom"/>
          </w:tcPr>
          <w:p>
            <w:pPr>
              <w:ind w:left="140"/>
              <w:spacing w:after="0"/>
              <w:rPr>
                <w:sz w:val="20"/>
                <w:szCs w:val="20"/>
                <w:color w:val="auto"/>
              </w:rPr>
            </w:pPr>
            <w:r>
              <w:rPr>
                <w:rFonts w:ascii="Arial" w:cs="Arial" w:eastAsia="Arial" w:hAnsi="Arial"/>
                <w:sz w:val="13"/>
                <w:szCs w:val="13"/>
                <w:color w:val="auto"/>
              </w:rPr>
              <w:t>Frankfurt</w:t>
            </w:r>
          </w:p>
        </w:tc>
        <w:tc>
          <w:tcPr>
            <w:tcW w:w="1060" w:type="dxa"/>
            <w:vAlign w:val="bottom"/>
          </w:tcPr>
          <w:p>
            <w:pPr>
              <w:jc w:val="center"/>
              <w:ind w:left="137"/>
              <w:spacing w:after="0"/>
              <w:rPr>
                <w:sz w:val="20"/>
                <w:szCs w:val="20"/>
                <w:color w:val="auto"/>
              </w:rPr>
            </w:pPr>
            <w:r>
              <w:rPr>
                <w:rFonts w:ascii="Arial" w:cs="Arial" w:eastAsia="Arial" w:hAnsi="Arial"/>
                <w:sz w:val="13"/>
                <w:szCs w:val="13"/>
                <w:color w:val="auto"/>
                <w:w w:val="95"/>
              </w:rPr>
              <w:t>San Diego</w:t>
            </w:r>
          </w:p>
        </w:tc>
      </w:tr>
      <w:tr>
        <w:trPr>
          <w:trHeight w:val="189"/>
        </w:trPr>
        <w:tc>
          <w:tcPr>
            <w:tcW w:w="960" w:type="dxa"/>
            <w:vAlign w:val="bottom"/>
          </w:tcPr>
          <w:p>
            <w:pPr>
              <w:ind w:left="20"/>
              <w:spacing w:after="0"/>
              <w:rPr>
                <w:sz w:val="20"/>
                <w:szCs w:val="20"/>
                <w:color w:val="auto"/>
              </w:rPr>
            </w:pPr>
            <w:r>
              <w:rPr>
                <w:rFonts w:ascii="Arial" w:cs="Arial" w:eastAsia="Arial" w:hAnsi="Arial"/>
                <w:sz w:val="13"/>
                <w:szCs w:val="13"/>
                <w:color w:val="auto"/>
              </w:rPr>
              <w:t>Hamburg</w:t>
            </w:r>
          </w:p>
        </w:tc>
        <w:tc>
          <w:tcPr>
            <w:tcW w:w="1060" w:type="dxa"/>
            <w:vAlign w:val="bottom"/>
          </w:tcPr>
          <w:p>
            <w:pPr>
              <w:jc w:val="center"/>
              <w:ind w:left="157"/>
              <w:spacing w:after="0"/>
              <w:rPr>
                <w:sz w:val="20"/>
                <w:szCs w:val="20"/>
                <w:color w:val="auto"/>
              </w:rPr>
            </w:pPr>
            <w:r>
              <w:rPr>
                <w:rFonts w:ascii="Arial" w:cs="Arial" w:eastAsia="Arial" w:hAnsi="Arial"/>
                <w:sz w:val="13"/>
                <w:szCs w:val="13"/>
                <w:color w:val="auto"/>
                <w:w w:val="96"/>
              </w:rPr>
              <w:t>San Francisco</w:t>
            </w:r>
          </w:p>
        </w:tc>
      </w:tr>
      <w:tr>
        <w:trPr>
          <w:trHeight w:val="189"/>
        </w:trPr>
        <w:tc>
          <w:tcPr>
            <w:tcW w:w="960" w:type="dxa"/>
            <w:vAlign w:val="bottom"/>
          </w:tcPr>
          <w:p>
            <w:pPr>
              <w:ind w:left="100"/>
              <w:spacing w:after="0"/>
              <w:rPr>
                <w:sz w:val="20"/>
                <w:szCs w:val="20"/>
                <w:color w:val="auto"/>
              </w:rPr>
            </w:pPr>
            <w:r>
              <w:rPr>
                <w:rFonts w:ascii="Arial" w:cs="Arial" w:eastAsia="Arial" w:hAnsi="Arial"/>
                <w:sz w:val="13"/>
                <w:szCs w:val="13"/>
                <w:color w:val="auto"/>
              </w:rPr>
              <w:t>Hong Kong</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Shanghai</w:t>
            </w:r>
          </w:p>
        </w:tc>
      </w:tr>
      <w:tr>
        <w:trPr>
          <w:trHeight w:val="189"/>
        </w:trPr>
        <w:tc>
          <w:tcPr>
            <w:tcW w:w="960" w:type="dxa"/>
            <w:vAlign w:val="bottom"/>
          </w:tcPr>
          <w:p>
            <w:pPr>
              <w:ind w:left="80"/>
              <w:spacing w:after="0"/>
              <w:rPr>
                <w:sz w:val="20"/>
                <w:szCs w:val="20"/>
                <w:color w:val="auto"/>
              </w:rPr>
            </w:pPr>
            <w:r>
              <w:rPr>
                <w:rFonts w:ascii="Arial" w:cs="Arial" w:eastAsia="Arial" w:hAnsi="Arial"/>
                <w:sz w:val="13"/>
                <w:szCs w:val="13"/>
                <w:color w:val="auto"/>
              </w:rPr>
              <w:t>Houston</w:t>
            </w:r>
          </w:p>
        </w:tc>
        <w:tc>
          <w:tcPr>
            <w:tcW w:w="1060" w:type="dxa"/>
            <w:vAlign w:val="bottom"/>
          </w:tcPr>
          <w:p>
            <w:pPr>
              <w:jc w:val="center"/>
              <w:ind w:left="97"/>
              <w:spacing w:after="0"/>
              <w:rPr>
                <w:sz w:val="20"/>
                <w:szCs w:val="20"/>
                <w:color w:val="auto"/>
              </w:rPr>
            </w:pPr>
            <w:r>
              <w:rPr>
                <w:rFonts w:ascii="Arial" w:cs="Arial" w:eastAsia="Arial" w:hAnsi="Arial"/>
                <w:sz w:val="13"/>
                <w:szCs w:val="13"/>
                <w:color w:val="auto"/>
                <w:w w:val="95"/>
              </w:rPr>
              <w:t>Silicon Valley</w:t>
            </w:r>
          </w:p>
        </w:tc>
      </w:tr>
      <w:tr>
        <w:trPr>
          <w:trHeight w:val="189"/>
        </w:trPr>
        <w:tc>
          <w:tcPr>
            <w:tcW w:w="960" w:type="dxa"/>
            <w:vAlign w:val="bottom"/>
          </w:tcPr>
          <w:p>
            <w:pPr>
              <w:ind w:left="200"/>
              <w:spacing w:after="0"/>
              <w:rPr>
                <w:sz w:val="20"/>
                <w:szCs w:val="20"/>
                <w:color w:val="auto"/>
              </w:rPr>
            </w:pPr>
            <w:r>
              <w:rPr>
                <w:rFonts w:ascii="Arial" w:cs="Arial" w:eastAsia="Arial" w:hAnsi="Arial"/>
                <w:sz w:val="13"/>
                <w:szCs w:val="13"/>
                <w:color w:val="auto"/>
              </w:rPr>
              <w:t>London</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Singapore</w:t>
            </w:r>
          </w:p>
        </w:tc>
      </w:tr>
      <w:tr>
        <w:trPr>
          <w:trHeight w:val="189"/>
        </w:trPr>
        <w:tc>
          <w:tcPr>
            <w:tcW w:w="960" w:type="dxa"/>
            <w:vAlign w:val="bottom"/>
          </w:tcPr>
          <w:p>
            <w:pPr>
              <w:ind w:left="180"/>
              <w:spacing w:after="0"/>
              <w:rPr>
                <w:sz w:val="20"/>
                <w:szCs w:val="20"/>
                <w:color w:val="auto"/>
              </w:rPr>
            </w:pPr>
            <w:r>
              <w:rPr>
                <w:rFonts w:ascii="Arial" w:cs="Arial" w:eastAsia="Arial" w:hAnsi="Arial"/>
                <w:sz w:val="13"/>
                <w:szCs w:val="13"/>
                <w:color w:val="auto"/>
              </w:rPr>
              <w:t>Los Angeles</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Tokyo</w:t>
            </w:r>
          </w:p>
        </w:tc>
      </w:tr>
      <w:tr>
        <w:trPr>
          <w:trHeight w:val="189"/>
        </w:trPr>
        <w:tc>
          <w:tcPr>
            <w:tcW w:w="960" w:type="dxa"/>
            <w:vAlign w:val="bottom"/>
          </w:tcPr>
          <w:p>
            <w:pPr>
              <w:spacing w:after="0"/>
              <w:rPr>
                <w:sz w:val="20"/>
                <w:szCs w:val="20"/>
                <w:color w:val="auto"/>
              </w:rPr>
            </w:pPr>
            <w:r>
              <w:rPr>
                <w:rFonts w:ascii="Arial" w:cs="Arial" w:eastAsia="Arial" w:hAnsi="Arial"/>
                <w:sz w:val="13"/>
                <w:szCs w:val="13"/>
                <w:color w:val="auto"/>
              </w:rPr>
              <w:t>Madrid</w:t>
            </w:r>
          </w:p>
        </w:tc>
        <w:tc>
          <w:tcPr>
            <w:tcW w:w="1060" w:type="dxa"/>
            <w:vAlign w:val="bottom"/>
          </w:tcPr>
          <w:p>
            <w:pPr>
              <w:jc w:val="right"/>
              <w:spacing w:after="0"/>
              <w:rPr>
                <w:sz w:val="20"/>
                <w:szCs w:val="20"/>
                <w:color w:val="auto"/>
              </w:rPr>
            </w:pPr>
            <w:r>
              <w:rPr>
                <w:rFonts w:ascii="Arial" w:cs="Arial" w:eastAsia="Arial" w:hAnsi="Arial"/>
                <w:sz w:val="13"/>
                <w:szCs w:val="13"/>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9380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19380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5.1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CytomX Therapeutics, Inc.</w:t>
      </w:r>
    </w:p>
    <w:p>
      <w:pPr>
        <w:spacing w:after="0" w:line="238" w:lineRule="auto"/>
        <w:rPr>
          <w:sz w:val="20"/>
          <w:szCs w:val="20"/>
          <w:color w:val="auto"/>
        </w:rPr>
      </w:pPr>
      <w:r>
        <w:rPr>
          <w:rFonts w:ascii="Arial" w:cs="Arial" w:eastAsia="Arial" w:hAnsi="Arial"/>
          <w:sz w:val="22"/>
          <w:szCs w:val="22"/>
          <w:color w:val="auto"/>
        </w:rPr>
        <w:t>151 Oyster Point Blvd., Suite 400</w:t>
      </w:r>
    </w:p>
    <w:p>
      <w:pPr>
        <w:spacing w:after="0"/>
        <w:rPr>
          <w:sz w:val="20"/>
          <w:szCs w:val="20"/>
          <w:color w:val="auto"/>
        </w:rPr>
      </w:pPr>
      <w:r>
        <w:rPr>
          <w:rFonts w:ascii="Arial" w:cs="Arial" w:eastAsia="Arial" w:hAnsi="Arial"/>
          <w:sz w:val="22"/>
          <w:szCs w:val="22"/>
          <w:color w:val="auto"/>
        </w:rPr>
        <w:t>South San Francisco, CA 94080</w:t>
      </w:r>
    </w:p>
    <w:p>
      <w:pPr>
        <w:sectPr>
          <w:pgSz w:w="11900" w:h="16838" w:orient="portrait"/>
          <w:cols w:equalWidth="0" w:num="1">
            <w:col w:w="11420"/>
          </w:cols>
          <w:pgMar w:left="240" w:top="129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Registration Statement No. 333-228203; Up to $75,000,000 of Shares of Common Stock, par value $0.00001 per share</w:t>
      </w:r>
    </w:p>
    <w:p>
      <w:pPr>
        <w:spacing w:after="0" w:line="173" w:lineRule="exact"/>
        <w:rPr>
          <w:sz w:val="20"/>
          <w:szCs w:val="20"/>
          <w:color w:val="auto"/>
        </w:rPr>
      </w:pPr>
    </w:p>
    <w:p>
      <w:pPr>
        <w:sectPr>
          <w:pgSz w:w="11900" w:h="16838" w:orient="portrait"/>
          <w:cols w:equalWidth="0" w:num="2">
            <w:col w:w="1180" w:space="340"/>
            <w:col w:w="9900"/>
          </w:cols>
          <w:pgMar w:left="240" w:top="1295" w:right="239" w:bottom="0" w:gutter="0" w:footer="0" w:header="0"/>
          <w:type w:val="continuous"/>
        </w:sect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We have acted as special counsel to CytomX Therapeutics,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proposed issuance from time to time of shares of common stock of the Company, par value $0.00001 per share, having an aggregate offering price of up to $75,000,000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by the Company pursuant to the Open Market Sale Agreement dated February 27, 2020 (the “</w:t>
      </w:r>
      <w:r>
        <w:rPr>
          <w:rFonts w:ascii="Arial" w:cs="Arial" w:eastAsia="Arial" w:hAnsi="Arial"/>
          <w:sz w:val="19"/>
          <w:szCs w:val="19"/>
          <w:b w:val="1"/>
          <w:bCs w:val="1"/>
          <w:i w:val="1"/>
          <w:iCs w:val="1"/>
          <w:color w:val="auto"/>
        </w:rPr>
        <w:t>Sales Agreement</w:t>
      </w:r>
      <w:r>
        <w:rPr>
          <w:rFonts w:ascii="Arial" w:cs="Arial" w:eastAsia="Arial" w:hAnsi="Arial"/>
          <w:sz w:val="19"/>
          <w:szCs w:val="19"/>
          <w:color w:val="auto"/>
        </w:rPr>
        <w:t>”) between the Company and Jefferies LLC. The Shares are included in a registration statement on Form S-3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April 3, 2017 (Registration No. 333–228203) (as amended,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a related base prospectus dated February 11, 2019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and a prospectus supplement dated February 27, 2020 filed with the Commission pursuant to Rule 424(b) under the Act (the “</w:t>
      </w:r>
      <w:r>
        <w:rPr>
          <w:rFonts w:ascii="Arial" w:cs="Arial" w:eastAsia="Arial" w:hAnsi="Arial"/>
          <w:sz w:val="19"/>
          <w:szCs w:val="19"/>
          <w:b w:val="1"/>
          <w:bCs w:val="1"/>
          <w:i w:val="1"/>
          <w:iCs w:val="1"/>
          <w:color w:val="auto"/>
        </w:rPr>
        <w:t>Sales Agreement Prospectus</w:t>
      </w:r>
      <w:r>
        <w:rPr>
          <w:rFonts w:ascii="Arial" w:cs="Arial" w:eastAsia="Arial" w:hAnsi="Arial"/>
          <w:sz w:val="19"/>
          <w:szCs w:val="19"/>
          <w:color w:val="auto"/>
        </w:rPr>
        <w:t>” and, together with the Base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This opinion is being furnished in connection with the requirements of Item 601(b)(5) of Regulation S-K under the Act. No opinion is expressed herein as to any matter pertaining to the contents of the Registration Statement or the Prospectus, other than as expressly stated herein with respect to the issue of the Shares.</w:t>
      </w:r>
    </w:p>
    <w:p>
      <w:pPr>
        <w:spacing w:after="0" w:line="170"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US-DOCS\114264363.3</w:t>
      </w:r>
    </w:p>
    <w:p>
      <w:pPr>
        <w:sectPr>
          <w:pgSz w:w="11900" w:h="16838" w:orient="portrait"/>
          <w:cols w:equalWidth="0" w:num="1">
            <w:col w:w="11420"/>
          </w:cols>
          <w:pgMar w:left="240" w:top="1295" w:right="239" w:bottom="0" w:gutter="0" w:footer="0" w:header="0"/>
          <w:type w:val="continuous"/>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728916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rFonts w:ascii="Arial" w:cs="Arial" w:eastAsia="Arial" w:hAnsi="Arial"/>
          <w:sz w:val="13"/>
          <w:szCs w:val="13"/>
          <w:b w:val="1"/>
          <w:bCs w:val="1"/>
          <w:color w:val="auto"/>
        </w:rPr>
        <w:t>February 27, 2020</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372235"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137223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Subject to the foregoing and the other matters set forth herein, it is our opinion that, as of the date hereof, when (i) the Shares shall have been duly registered on the books of the transfer agent and registrar therefor in the name or on behalf of the purchasers, and (ii) have been issued by the Company against payment therefor in total numbers that do not exceed the total number of shares available under the Company’s certificate of incorporation and in the circumstances contemplated by the Sales Agreement, (a) the issue and sale of the Shares will have been duly authorized by all necessary corporate action of the Company,</w:t>
      </w:r>
    </w:p>
    <w:p>
      <w:pPr>
        <w:spacing w:after="0" w:line="4" w:lineRule="exact"/>
        <w:rPr>
          <w:sz w:val="20"/>
          <w:szCs w:val="20"/>
          <w:color w:val="auto"/>
        </w:rPr>
      </w:pPr>
    </w:p>
    <w:p>
      <w:pPr>
        <w:jc w:val="both"/>
        <w:ind w:firstLine="8"/>
        <w:spacing w:after="0" w:line="234" w:lineRule="auto"/>
        <w:tabs>
          <w:tab w:leader="none" w:pos="31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Shares will be validly issued, and (c) the Shares will be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7"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10-K dated February 27, 2020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 Latham &amp; Watkins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US-DOCS\114264363.3</w:t>
      </w:r>
    </w:p>
    <w:p>
      <w:pPr>
        <w:sectPr>
          <w:pgSz w:w="11900" w:h="16838" w:orient="portrait"/>
          <w:cols w:equalWidth="0" w:num="1">
            <w:col w:w="11420"/>
          </w:cols>
          <w:pgMar w:left="240" w:top="118" w:right="2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1595120" cy="900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595120" cy="90043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10.32</w:t>
      </w: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color w:val="auto"/>
        </w:rPr>
        <w:t>Amended and Restated Severance and Change of Control Agreement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Amended and Restated Severance and Change of Control Agreement (the “Agreement”) is made and entered into, effective as of February 3, 2020 (the “Effective Date”), by and between CytomX Therapeutics, Inc. a Delaware corporation (the “Company”), and Alison Hannah, M.D. (“Employee”).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Upon acceptance of this Agreement, the following terms and conditions shall apply to your employment:</w:t>
      </w:r>
    </w:p>
    <w:p>
      <w:pPr>
        <w:spacing w:after="0" w:line="208" w:lineRule="exact"/>
        <w:rPr>
          <w:sz w:val="20"/>
          <w:szCs w:val="20"/>
          <w:color w:val="auto"/>
        </w:rPr>
      </w:pPr>
    </w:p>
    <w:p>
      <w:pPr>
        <w:jc w:val="both"/>
        <w:ind w:left="880" w:hanging="440"/>
        <w:spacing w:after="0" w:line="268" w:lineRule="auto"/>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Term of Employment and Severance Benefits</w:t>
      </w:r>
      <w:r>
        <w:rPr>
          <w:rFonts w:ascii="Arial" w:cs="Arial" w:eastAsia="Arial" w:hAnsi="Arial"/>
          <w:sz w:val="17"/>
          <w:szCs w:val="17"/>
          <w:color w:val="auto"/>
        </w:rPr>
        <w:t>. It is important for you to understand that California is an "at will" employment state.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that 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76" w:lineRule="exact"/>
        <w:rPr>
          <w:rFonts w:ascii="Arial" w:cs="Arial" w:eastAsia="Arial" w:hAnsi="Arial"/>
          <w:sz w:val="17"/>
          <w:szCs w:val="17"/>
          <w:color w:val="auto"/>
        </w:rPr>
      </w:pPr>
    </w:p>
    <w:p>
      <w:pPr>
        <w:jc w:val="both"/>
        <w:ind w:left="880" w:hanging="440"/>
        <w:spacing w:after="0" w:line="243" w:lineRule="auto"/>
        <w:tabs>
          <w:tab w:leader="none" w:pos="880" w:val="left"/>
        </w:tabs>
        <w:numPr>
          <w:ilvl w:val="0"/>
          <w:numId w:val="96"/>
        </w:numPr>
        <w:rPr>
          <w:rFonts w:ascii="Arial" w:cs="Arial" w:eastAsia="Arial" w:hAnsi="Arial"/>
          <w:sz w:val="19"/>
          <w:szCs w:val="19"/>
          <w:color w:val="auto"/>
        </w:rPr>
      </w:pPr>
      <w:r>
        <w:rPr>
          <w:rFonts w:ascii="Arial" w:cs="Arial" w:eastAsia="Arial" w:hAnsi="Arial"/>
          <w:sz w:val="19"/>
          <w:szCs w:val="19"/>
          <w:b w:val="1"/>
          <w:bCs w:val="1"/>
          <w:color w:val="auto"/>
        </w:rPr>
        <w:t>Termination in Connection with a Change of Control</w:t>
      </w:r>
      <w:r>
        <w:rPr>
          <w:rFonts w:ascii="Arial" w:cs="Arial" w:eastAsia="Arial" w:hAnsi="Arial"/>
          <w:sz w:val="19"/>
          <w:szCs w:val="19"/>
          <w:color w:val="auto"/>
        </w:rPr>
        <w:t>. In the event that within sixty (60) days before or twelve (12) months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the consummation of a Change of Control (as defined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 effect to any reduction thereof which may constitute Good Reason), which will be payable within the period of time set forth in Section 3 below following your termination of employment, (ii) pay a lump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7" w:name="page188"/>
    <w:bookmarkEnd w:id="187"/>
    <w:p>
      <w:pPr>
        <w:jc w:val="both"/>
        <w:ind w:left="440"/>
        <w:spacing w:after="0" w:line="253" w:lineRule="auto"/>
        <w:rPr>
          <w:sz w:val="20"/>
          <w:szCs w:val="20"/>
          <w:color w:val="auto"/>
        </w:rPr>
      </w:pPr>
      <w:r>
        <w:rPr>
          <w:rFonts w:ascii="Arial" w:cs="Arial" w:eastAsia="Arial" w:hAnsi="Arial"/>
          <w:sz w:val="18"/>
          <w:szCs w:val="18"/>
          <w:color w:val="auto"/>
        </w:rPr>
        <w:t>sum amount equal to twelve (12)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83" w:lineRule="exact"/>
        <w:rPr>
          <w:sz w:val="20"/>
          <w:szCs w:val="20"/>
          <w:color w:val="auto"/>
        </w:rPr>
      </w:pPr>
    </w:p>
    <w:p>
      <w:pPr>
        <w:jc w:val="both"/>
        <w:ind w:left="440" w:hanging="440"/>
        <w:spacing w:after="0" w:line="281" w:lineRule="auto"/>
        <w:tabs>
          <w:tab w:leader="none" w:pos="44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Release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obligations to make such payments and provide such benefits shall be contingent upon your execution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in a form reasonably acceptable to the Company (the "Release") which Release must be signed and any applicable revocation period with respect thereto must have expired by the 30th day following your termination of employment (unless your termination is “in connection with an exit incentive or other employment termination program” (as such phrase is defined in the Age Discrimination in Employment Act of 1967), in which case the date shall be by the 52nd day following your termination of employment)</w:t>
      </w:r>
      <w:r>
        <w:rPr>
          <w:rFonts w:ascii="Arial" w:cs="Arial" w:eastAsia="Arial" w:hAnsi="Arial"/>
          <w:sz w:val="16"/>
          <w:szCs w:val="16"/>
          <w:color w:val="auto"/>
        </w:rPr>
        <w:t>. The Release</w:t>
      </w:r>
      <w:r>
        <w:rPr>
          <w:rFonts w:ascii="Arial" w:cs="Arial" w:eastAsia="Arial" w:hAnsi="Arial"/>
          <w:sz w:val="17"/>
          <w:szCs w:val="17"/>
          <w:color w:val="auto"/>
        </w:rPr>
        <w:t xml:space="preserve"> </w:t>
      </w:r>
      <w:r>
        <w:rPr>
          <w:rFonts w:ascii="Arial" w:cs="Arial" w:eastAsia="Arial" w:hAnsi="Arial"/>
          <w:sz w:val="16"/>
          <w:szCs w:val="16"/>
          <w:color w:val="auto"/>
        </w:rPr>
        <w:t>will not waive any of your rights, or obligations of the Company, 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w:t>
      </w:r>
    </w:p>
    <w:p>
      <w:pPr>
        <w:spacing w:after="0" w:line="1" w:lineRule="exact"/>
        <w:rPr>
          <w:rFonts w:ascii="Arial" w:cs="Arial" w:eastAsia="Arial" w:hAnsi="Arial"/>
          <w:sz w:val="17"/>
          <w:szCs w:val="17"/>
          <w:color w:val="auto"/>
        </w:rPr>
      </w:pPr>
    </w:p>
    <w:p>
      <w:pPr>
        <w:jc w:val="both"/>
        <w:ind w:left="440"/>
        <w:spacing w:after="0" w:line="270" w:lineRule="auto"/>
        <w:rPr>
          <w:rFonts w:ascii="Arial" w:cs="Arial" w:eastAsia="Arial" w:hAnsi="Arial"/>
          <w:sz w:val="17"/>
          <w:szCs w:val="17"/>
          <w:color w:val="auto"/>
        </w:rPr>
      </w:pPr>
      <w:r>
        <w:rPr>
          <w:rFonts w:ascii="Arial" w:cs="Arial" w:eastAsia="Arial" w:hAnsi="Arial"/>
          <w:sz w:val="17"/>
          <w:szCs w:val="17"/>
          <w:color w:val="auto"/>
        </w:rPr>
        <w:t>(3)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Nothing in the Release or any other agreement between you and the Company will prohibit or prevent you from providing truthful testimony or otherwise 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260350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62230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3" w:right="239" w:bottom="1440" w:gutter="0" w:footer="0" w:header="0"/>
        </w:sectPr>
      </w:pPr>
    </w:p>
    <w:bookmarkStart w:id="188" w:name="page189"/>
    <w:bookmarkEnd w:id="188"/>
    <w:p>
      <w:pPr>
        <w:ind w:left="880" w:hanging="440"/>
        <w:spacing w:after="0"/>
        <w:tabs>
          <w:tab w:leader="none" w:pos="88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Section 280G of the Code</w:t>
      </w:r>
      <w:r>
        <w:rPr>
          <w:rFonts w:ascii="Arial" w:cs="Arial" w:eastAsia="Arial" w:hAnsi="Arial"/>
          <w:sz w:val="19"/>
          <w:szCs w:val="19"/>
          <w:color w:val="auto"/>
        </w:rPr>
        <w:t>.</w:t>
      </w:r>
    </w:p>
    <w:p>
      <w:pPr>
        <w:spacing w:after="0" w:line="219" w:lineRule="exact"/>
        <w:rPr>
          <w:rFonts w:ascii="Arial" w:cs="Arial" w:eastAsia="Arial" w:hAnsi="Arial"/>
          <w:sz w:val="19"/>
          <w:szCs w:val="19"/>
          <w:color w:val="auto"/>
        </w:rPr>
      </w:pPr>
    </w:p>
    <w:p>
      <w:pPr>
        <w:jc w:val="both"/>
        <w:ind w:left="1300" w:hanging="428"/>
        <w:spacing w:after="0" w:line="271" w:lineRule="auto"/>
        <w:tabs>
          <w:tab w:leader="none" w:pos="13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w:t>
      </w:r>
    </w:p>
    <w:p>
      <w:pPr>
        <w:spacing w:after="0" w:line="2" w:lineRule="exact"/>
        <w:rPr>
          <w:rFonts w:ascii="Arial" w:cs="Arial" w:eastAsia="Arial" w:hAnsi="Arial"/>
          <w:sz w:val="17"/>
          <w:szCs w:val="17"/>
          <w:color w:val="auto"/>
        </w:rPr>
      </w:pPr>
    </w:p>
    <w:p>
      <w:pPr>
        <w:jc w:val="both"/>
        <w:ind w:left="1300" w:firstLine="5"/>
        <w:spacing w:after="0" w:line="239" w:lineRule="auto"/>
        <w:tabs>
          <w:tab w:leader="none" w:pos="1596" w:val="left"/>
        </w:tabs>
        <w:numPr>
          <w:ilvl w:val="2"/>
          <w:numId w:val="98"/>
        </w:numPr>
        <w:rPr>
          <w:rFonts w:ascii="Arial" w:cs="Arial" w:eastAsia="Arial" w:hAnsi="Arial"/>
          <w:sz w:val="19"/>
          <w:szCs w:val="19"/>
          <w:color w:val="auto"/>
        </w:rPr>
      </w:pPr>
      <w:r>
        <w:rPr>
          <w:rFonts w:ascii="Arial" w:cs="Arial" w:eastAsia="Arial" w:hAnsi="Arial"/>
          <w:sz w:val="19"/>
          <w:szCs w:val="19"/>
          <w:color w:val="auto"/>
        </w:rPr>
        <w:t>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94" w:lineRule="exact"/>
        <w:rPr>
          <w:rFonts w:ascii="Arial" w:cs="Arial" w:eastAsia="Arial" w:hAnsi="Arial"/>
          <w:sz w:val="19"/>
          <w:szCs w:val="19"/>
          <w:color w:val="auto"/>
        </w:rPr>
      </w:pPr>
    </w:p>
    <w:p>
      <w:pPr>
        <w:jc w:val="both"/>
        <w:ind w:left="1300" w:hanging="428"/>
        <w:spacing w:after="0" w:line="243" w:lineRule="auto"/>
        <w:tabs>
          <w:tab w:leader="none" w:pos="1300"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90" w:lineRule="exact"/>
        <w:rPr>
          <w:rFonts w:ascii="Arial" w:cs="Arial" w:eastAsia="Arial" w:hAnsi="Arial"/>
          <w:sz w:val="19"/>
          <w:szCs w:val="19"/>
          <w:color w:val="auto"/>
        </w:rPr>
      </w:pPr>
    </w:p>
    <w:p>
      <w:pPr>
        <w:jc w:val="both"/>
        <w:ind w:left="1300" w:hanging="428"/>
        <w:spacing w:after="0" w:line="263"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73" w:lineRule="exact"/>
        <w:rPr>
          <w:rFonts w:ascii="Arial" w:cs="Arial" w:eastAsia="Arial" w:hAnsi="Arial"/>
          <w:sz w:val="18"/>
          <w:szCs w:val="18"/>
          <w:color w:val="auto"/>
        </w:rPr>
      </w:pPr>
    </w:p>
    <w:p>
      <w:pPr>
        <w:jc w:val="both"/>
        <w:ind w:left="1300" w:hanging="428"/>
        <w:spacing w:after="0" w:line="279" w:lineRule="auto"/>
        <w:tabs>
          <w:tab w:leader="none" w:pos="13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w:t>
      </w:r>
    </w:p>
    <w:p>
      <w:pPr>
        <w:spacing w:after="0" w:line="3" w:lineRule="exact"/>
        <w:rPr>
          <w:sz w:val="20"/>
          <w:szCs w:val="20"/>
          <w:color w:val="auto"/>
        </w:rPr>
      </w:pPr>
    </w:p>
    <w:p>
      <w:pPr>
        <w:jc w:val="both"/>
        <w:ind w:firstLine="8"/>
        <w:spacing w:after="0" w:line="238" w:lineRule="auto"/>
        <w:tabs>
          <w:tab w:leader="none" w:pos="351"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9" w:name="page190"/>
    <w:bookmarkEnd w:id="189"/>
    <w:p>
      <w:pPr>
        <w:jc w:val="both"/>
        <w:spacing w:after="0" w:line="256" w:lineRule="auto"/>
        <w:rPr>
          <w:sz w:val="20"/>
          <w:szCs w:val="20"/>
          <w:color w:val="auto"/>
        </w:rPr>
      </w:pPr>
      <w:r>
        <w:rPr>
          <w:rFonts w:ascii="Arial" w:cs="Arial" w:eastAsia="Arial" w:hAnsi="Arial"/>
          <w:sz w:val="18"/>
          <w:szCs w:val="18"/>
          <w:color w:val="auto"/>
        </w:rPr>
        <w:t xml:space="preserve">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provides you with written notice of any claimed ground for Cause and an opportunity to cure such ground, if curable, for thirty (30) days. </w:t>
      </w:r>
      <w:r>
        <w:rPr>
          <w:rFonts w:ascii="Arial" w:cs="Arial" w:eastAsia="Arial" w:hAnsi="Arial"/>
          <w:sz w:val="17"/>
          <w:szCs w:val="17"/>
          <w:color w:val="auto"/>
        </w:rPr>
        <w:t>For purposes of this Agreement, no act or failure to act on your part will be considered “willful”</w:t>
      </w:r>
      <w:r>
        <w:rPr>
          <w:rFonts w:ascii="Arial" w:cs="Arial" w:eastAsia="Arial" w:hAnsi="Arial"/>
          <w:sz w:val="18"/>
          <w:szCs w:val="18"/>
          <w:color w:val="auto"/>
        </w:rPr>
        <w:t xml:space="preserve"> </w:t>
      </w:r>
      <w:r>
        <w:rPr>
          <w:rFonts w:ascii="Arial" w:cs="Arial" w:eastAsia="Arial" w:hAnsi="Arial"/>
          <w:sz w:val="17"/>
          <w:szCs w:val="17"/>
          <w:color w:val="auto"/>
        </w:rPr>
        <w:t>unless it is done, or omitted to be done, by you intentionally, not in good faith and without reasonable belief that the action or omission was in the best interest of the Company.</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84" w:lineRule="exact"/>
        <w:rPr>
          <w:sz w:val="20"/>
          <w:szCs w:val="20"/>
          <w:color w:val="auto"/>
        </w:rPr>
      </w:pPr>
    </w:p>
    <w:p>
      <w:pPr>
        <w:jc w:val="both"/>
        <w:ind w:left="880" w:firstLine="5"/>
        <w:spacing w:after="0" w:line="245" w:lineRule="auto"/>
        <w:tabs>
          <w:tab w:leader="none" w:pos="114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88" w:lineRule="exact"/>
        <w:rPr>
          <w:rFonts w:ascii="Arial" w:cs="Arial" w:eastAsia="Arial" w:hAnsi="Arial"/>
          <w:sz w:val="19"/>
          <w:szCs w:val="19"/>
          <w:color w:val="auto"/>
        </w:rPr>
      </w:pPr>
    </w:p>
    <w:p>
      <w:pPr>
        <w:jc w:val="both"/>
        <w:ind w:left="880" w:firstLine="5"/>
        <w:spacing w:after="0" w:line="249" w:lineRule="auto"/>
        <w:tabs>
          <w:tab w:leader="none" w:pos="116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90" w:name="page191"/>
    <w:bookmarkEnd w:id="190"/>
    <w:p>
      <w:pPr>
        <w:ind w:left="260" w:hanging="255"/>
        <w:spacing w:after="0"/>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a "specified employee" (within the meaning of Section</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409A), then:</w:t>
      </w:r>
    </w:p>
    <w:p>
      <w:pPr>
        <w:spacing w:after="0" w:line="197" w:lineRule="exact"/>
        <w:rPr>
          <w:rFonts w:ascii="Arial" w:cs="Arial" w:eastAsia="Arial" w:hAnsi="Arial"/>
          <w:sz w:val="17"/>
          <w:szCs w:val="17"/>
          <w:color w:val="auto"/>
        </w:rPr>
      </w:pPr>
    </w:p>
    <w:p>
      <w:pPr>
        <w:jc w:val="both"/>
        <w:ind w:left="880" w:firstLine="3"/>
        <w:spacing w:after="0" w:line="243" w:lineRule="auto"/>
        <w:tabs>
          <w:tab w:leader="none" w:pos="1127"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90" w:lineRule="exact"/>
        <w:rPr>
          <w:rFonts w:ascii="Arial" w:cs="Arial" w:eastAsia="Arial" w:hAnsi="Arial"/>
          <w:sz w:val="19"/>
          <w:szCs w:val="19"/>
          <w:color w:val="auto"/>
        </w:rPr>
      </w:pPr>
    </w:p>
    <w:p>
      <w:pPr>
        <w:jc w:val="both"/>
        <w:ind w:left="880" w:firstLine="3"/>
        <w:spacing w:after="0" w:line="270" w:lineRule="auto"/>
        <w:tabs>
          <w:tab w:leader="none" w:pos="116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70" w:lineRule="exact"/>
        <w:rPr>
          <w:rFonts w:ascii="Arial" w:cs="Arial" w:eastAsia="Arial" w:hAnsi="Arial"/>
          <w:sz w:val="17"/>
          <w:szCs w:val="17"/>
          <w:color w:val="auto"/>
        </w:rPr>
      </w:pPr>
    </w:p>
    <w:p>
      <w:pPr>
        <w:jc w:val="both"/>
        <w:ind w:firstLine="5"/>
        <w:spacing w:after="0" w:line="245" w:lineRule="auto"/>
        <w:tabs>
          <w:tab w:leader="none" w:pos="27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88" w:lineRule="exact"/>
        <w:rPr>
          <w:rFonts w:ascii="Arial" w:cs="Arial" w:eastAsia="Arial" w:hAnsi="Arial"/>
          <w:sz w:val="19"/>
          <w:szCs w:val="19"/>
          <w:color w:val="auto"/>
        </w:rPr>
      </w:pPr>
    </w:p>
    <w:p>
      <w:pPr>
        <w:jc w:val="both"/>
        <w:ind w:firstLine="5"/>
        <w:spacing w:after="0" w:line="241" w:lineRule="auto"/>
        <w:tabs>
          <w:tab w:leader="none" w:pos="25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92" w:lineRule="exact"/>
        <w:rPr>
          <w:rFonts w:ascii="Arial" w:cs="Arial" w:eastAsia="Arial" w:hAnsi="Arial"/>
          <w:sz w:val="19"/>
          <w:szCs w:val="19"/>
          <w:color w:val="auto"/>
        </w:rPr>
      </w:pPr>
    </w:p>
    <w:p>
      <w:pPr>
        <w:jc w:val="both"/>
        <w:ind w:firstLine="5"/>
        <w:spacing w:after="0"/>
        <w:tabs>
          <w:tab w:leader="none" w:pos="23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 allowable by law, the tax (and any interest or penalties thereon) associated with Section 409A. If it is 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139065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9860"/>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62230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3" w:right="239" w:bottom="1440" w:gutter="0" w:footer="0" w:header="0"/>
        </w:sectPr>
      </w:pPr>
    </w:p>
    <w:bookmarkStart w:id="191" w:name="page192"/>
    <w:bookmarkEnd w:id="191"/>
    <w:p>
      <w:pPr>
        <w:jc w:val="both"/>
        <w:spacing w:after="0" w:line="283"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shall be governed by and construed in accordance with California law, without regard to the conflict of law rules thereof.</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The prevailing party in any dispute concerning the interpretation or enforcement of this Agreement will be entitled to an award of his or its costs and reasonable attorneys' fees, in addition to any other eligible relief.</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(a) represents our entire understanding regarding the subject matter hereof, and supersedes and replaces all prior and contemporaneous understandings regarding such subject matter, whether oral or written,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60" w:type="dxa"/>
            <w:vAlign w:val="bottom"/>
            <w:gridSpan w:val="3"/>
          </w:tcPr>
          <w:p>
            <w:pPr>
              <w:spacing w:after="0"/>
              <w:rPr>
                <w:sz w:val="20"/>
                <w:szCs w:val="20"/>
                <w:color w:val="auto"/>
              </w:rPr>
            </w:pPr>
            <w:r>
              <w:rPr>
                <w:rFonts w:ascii="Arial" w:cs="Arial" w:eastAsia="Arial" w:hAnsi="Arial"/>
                <w:sz w:val="19"/>
                <w:szCs w:val="19"/>
                <w:b w:val="1"/>
                <w:bCs w:val="1"/>
                <w:color w:val="auto"/>
              </w:rPr>
              <w:t>ACCEPTANCE</w:t>
            </w: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Arial" w:cs="Arial" w:eastAsia="Arial" w:hAnsi="Arial"/>
                <w:sz w:val="19"/>
                <w:szCs w:val="19"/>
                <w:color w:val="auto"/>
                <w:w w:val="98"/>
              </w:rPr>
              <w:t>The undersigned agrees to and accepts the terms and conditions set forth above.</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Arial" w:cs="Arial" w:eastAsia="Arial" w:hAnsi="Arial"/>
                <w:sz w:val="19"/>
                <w:szCs w:val="19"/>
                <w:color w:val="auto"/>
              </w:rPr>
              <w:t>25-January-2020</w:t>
            </w:r>
          </w:p>
        </w:tc>
        <w:tc>
          <w:tcPr>
            <w:tcW w:w="4660" w:type="dxa"/>
            <w:vAlign w:val="bottom"/>
          </w:tcPr>
          <w:p>
            <w:pPr>
              <w:spacing w:after="0"/>
              <w:rPr>
                <w:sz w:val="20"/>
                <w:szCs w:val="20"/>
                <w:color w:val="auto"/>
              </w:rPr>
            </w:pPr>
            <w:r>
              <w:rPr>
                <w:rFonts w:ascii="Arial" w:cs="Arial" w:eastAsia="Arial" w:hAnsi="Arial"/>
                <w:sz w:val="19"/>
                <w:szCs w:val="19"/>
                <w:color w:val="auto"/>
              </w:rPr>
              <w:t>/s/ Alison Hannah, M.D.</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1920" w:type="dxa"/>
            <w:vAlign w:val="bottom"/>
            <w:vMerge w:val="restart"/>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9"/>
                <w:szCs w:val="19"/>
                <w:color w:val="auto"/>
              </w:rPr>
              <w:t>Date</w:t>
            </w:r>
          </w:p>
        </w:tc>
        <w:tc>
          <w:tcPr>
            <w:tcW w:w="1920" w:type="dxa"/>
            <w:vAlign w:val="bottom"/>
            <w:vMerge w:val="continue"/>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9"/>
                <w:szCs w:val="19"/>
                <w:color w:val="auto"/>
              </w:rPr>
              <w:t>Alison Hannah, M.D.</w:t>
            </w:r>
          </w:p>
        </w:tc>
        <w:tc>
          <w:tcPr>
            <w:tcW w:w="0" w:type="dxa"/>
            <w:vAlign w:val="bottom"/>
          </w:tcPr>
          <w:p>
            <w:pPr>
              <w:spacing w:after="0"/>
              <w:rPr>
                <w:sz w:val="1"/>
                <w:szCs w:val="1"/>
                <w:color w:val="auto"/>
              </w:rPr>
            </w:pPr>
          </w:p>
        </w:tc>
      </w:tr>
      <w:tr>
        <w:trPr>
          <w:trHeight w:val="626"/>
        </w:trPr>
        <w:tc>
          <w:tcPr>
            <w:tcW w:w="6760" w:type="dxa"/>
            <w:vAlign w:val="bottom"/>
            <w:gridSpan w:val="3"/>
          </w:tcPr>
          <w:p>
            <w:pPr>
              <w:spacing w:after="0"/>
              <w:rPr>
                <w:sz w:val="20"/>
                <w:szCs w:val="20"/>
                <w:color w:val="auto"/>
              </w:rPr>
            </w:pPr>
            <w:r>
              <w:rPr>
                <w:rFonts w:ascii="Arial" w:cs="Arial" w:eastAsia="Arial" w:hAnsi="Arial"/>
                <w:sz w:val="19"/>
                <w:szCs w:val="19"/>
                <w:color w:val="auto"/>
              </w:rPr>
              <w:t>29-January-2020</w:t>
            </w:r>
          </w:p>
        </w:tc>
        <w:tc>
          <w:tcPr>
            <w:tcW w:w="4660" w:type="dxa"/>
            <w:vAlign w:val="bottom"/>
          </w:tcPr>
          <w:p>
            <w:pPr>
              <w:spacing w:after="0"/>
              <w:rPr>
                <w:sz w:val="20"/>
                <w:szCs w:val="20"/>
                <w:color w:val="auto"/>
              </w:rPr>
            </w:pPr>
            <w:r>
              <w:rPr>
                <w:rFonts w:ascii="Arial" w:cs="Arial" w:eastAsia="Arial" w:hAnsi="Arial"/>
                <w:sz w:val="19"/>
                <w:szCs w:val="19"/>
                <w:color w:val="auto"/>
              </w:rPr>
              <w:t>/s/ Sean McCarthy</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1920" w:type="dxa"/>
            <w:vAlign w:val="bottom"/>
            <w:vMerge w:val="restart"/>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9"/>
                <w:szCs w:val="19"/>
                <w:color w:val="auto"/>
              </w:rPr>
              <w:t>Date</w:t>
            </w:r>
          </w:p>
        </w:tc>
        <w:tc>
          <w:tcPr>
            <w:tcW w:w="1920" w:type="dxa"/>
            <w:vAlign w:val="bottom"/>
            <w:vMerge w:val="continue"/>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9"/>
                <w:szCs w:val="19"/>
                <w:color w:val="auto"/>
              </w:rPr>
              <w:t>Sean McCarthy, 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p>
      <w:pPr>
        <w:ind w:left="10740"/>
        <w:spacing w:after="0"/>
        <w:rPr>
          <w:sz w:val="20"/>
          <w:szCs w:val="20"/>
          <w:color w:val="auto"/>
        </w:rPr>
      </w:pPr>
      <w:r>
        <w:rPr>
          <w:rFonts w:ascii="Arial" w:cs="Arial" w:eastAsia="Arial" w:hAnsi="Arial"/>
          <w:sz w:val="14"/>
          <w:szCs w:val="14"/>
          <w:color w:val="auto"/>
        </w:rPr>
        <w:t xml:space="preserve">6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ectPr>
          <w:pgSz w:w="11900" w:h="16838" w:orient="portrait"/>
          <w:cols w:equalWidth="0" w:num="1">
            <w:col w:w="11420"/>
          </w:cols>
          <w:pgMar w:left="240" w:top="549"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S-3 (Nos. 333-216567 and 333-228203) and Form S-8 (Nos. 333-229916, 333-207694, 333-209992, 333-215795 and 333-223491) of CytomX Therapeutics, Inc. of our reports dated February 27, 2020, with respect to the financial statements of CytomX Therapeutics, Inc. and the effectiveness of internal control over financial reporting of CytomX Therapeutics, Inc., included in this Annual Report (Form 10-K) for the year ended December 31, 2019.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35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certify that:</w:t>
      </w:r>
    </w:p>
    <w:p>
      <w:pPr>
        <w:spacing w:after="0" w:line="117" w:lineRule="exact"/>
        <w:rPr>
          <w:sz w:val="20"/>
          <w:szCs w:val="20"/>
          <w:color w:val="auto"/>
        </w:rPr>
      </w:pPr>
    </w:p>
    <w:p>
      <w:pPr>
        <w:ind w:left="720" w:hanging="347"/>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CytomX Therapeutics, Inc. for the year ended December 31, 2019;</w:t>
      </w:r>
    </w:p>
    <w:p>
      <w:pPr>
        <w:spacing w:after="0" w:line="117" w:lineRule="exact"/>
        <w:rPr>
          <w:rFonts w:ascii="Arial" w:cs="Arial" w:eastAsia="Arial" w:hAnsi="Arial"/>
          <w:sz w:val="18"/>
          <w:szCs w:val="18"/>
          <w:color w:val="auto"/>
        </w:rPr>
      </w:pPr>
    </w:p>
    <w:p>
      <w:pPr>
        <w:jc w:val="both"/>
        <w:ind w:left="720" w:right="240" w:hanging="347"/>
        <w:spacing w:after="0" w:line="264"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20" w:right="240" w:hanging="347"/>
        <w:spacing w:after="0" w:line="308" w:lineRule="auto"/>
        <w:tabs>
          <w:tab w:leader="none" w:pos="7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720" w:right="240" w:hanging="347"/>
        <w:spacing w:after="0" w:line="264"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60" w:right="140" w:hanging="350"/>
        <w:spacing w:after="0" w:line="264" w:lineRule="auto"/>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60" w:right="460" w:hanging="350"/>
        <w:spacing w:after="0" w:line="264" w:lineRule="auto"/>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60" w:right="620" w:hanging="350"/>
        <w:spacing w:after="0" w:line="342" w:lineRule="auto"/>
        <w:tabs>
          <w:tab w:leader="none" w:pos="10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40" w:hanging="350"/>
        <w:spacing w:after="0" w:line="264" w:lineRule="auto"/>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720" w:right="200" w:hanging="347"/>
        <w:spacing w:after="0" w:line="342"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60" w:right="40" w:hanging="350"/>
        <w:spacing w:after="0" w:line="277" w:lineRule="auto"/>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60" w:hanging="350"/>
        <w:spacing w:after="0" w:line="277" w:lineRule="auto"/>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Sean A. McCarthy</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Sean A. McCarthy,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2212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certify that:</w:t>
      </w:r>
    </w:p>
    <w:p>
      <w:pPr>
        <w:spacing w:after="0" w:line="117" w:lineRule="exact"/>
        <w:rPr>
          <w:sz w:val="20"/>
          <w:szCs w:val="20"/>
          <w:color w:val="auto"/>
        </w:rPr>
      </w:pPr>
    </w:p>
    <w:p>
      <w:pPr>
        <w:ind w:left="720" w:hanging="347"/>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CytomX Therapeutics, Inc. for the year ended December 31, 2019;</w:t>
      </w:r>
    </w:p>
    <w:p>
      <w:pPr>
        <w:spacing w:after="0" w:line="117" w:lineRule="exact"/>
        <w:rPr>
          <w:rFonts w:ascii="Arial" w:cs="Arial" w:eastAsia="Arial" w:hAnsi="Arial"/>
          <w:sz w:val="18"/>
          <w:szCs w:val="18"/>
          <w:color w:val="auto"/>
        </w:rPr>
      </w:pPr>
    </w:p>
    <w:p>
      <w:pPr>
        <w:jc w:val="both"/>
        <w:ind w:left="720" w:right="240" w:hanging="347"/>
        <w:spacing w:after="0" w:line="264"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20" w:right="240" w:hanging="347"/>
        <w:spacing w:after="0" w:line="308" w:lineRule="auto"/>
        <w:tabs>
          <w:tab w:leader="none" w:pos="7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720" w:right="240" w:hanging="347"/>
        <w:spacing w:after="0" w:line="264"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60" w:right="160" w:hanging="350"/>
        <w:spacing w:after="0" w:line="264" w:lineRule="auto"/>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60" w:right="460" w:hanging="350"/>
        <w:spacing w:after="0" w:line="264" w:lineRule="auto"/>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60" w:right="620" w:hanging="350"/>
        <w:spacing w:after="0" w:line="342" w:lineRule="auto"/>
        <w:tabs>
          <w:tab w:leader="none" w:pos="10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40" w:hanging="350"/>
        <w:spacing w:after="0" w:line="264" w:lineRule="auto"/>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720" w:right="200" w:hanging="347"/>
        <w:spacing w:after="0" w:line="342" w:lineRule="auto"/>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60" w:right="40" w:hanging="350"/>
        <w:spacing w:after="0" w:line="277" w:lineRule="auto"/>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60" w:hanging="350"/>
        <w:spacing w:after="0" w:line="277" w:lineRule="auto"/>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Sean A. McCarthy</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2212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ind w:right="60" w:firstLine="455"/>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 1350), Sean A. McCarthy, D.Phil., President and Chief Executive Officer and Principal Financial Officer of CytomX Therapeutics, Inc. (the “Company”), hereby certifies that, to the best of his knowledge:</w:t>
      </w:r>
    </w:p>
    <w:p>
      <w:pPr>
        <w:spacing w:after="0" w:line="57" w:lineRule="exact"/>
        <w:rPr>
          <w:sz w:val="20"/>
          <w:szCs w:val="20"/>
          <w:color w:val="auto"/>
        </w:rPr>
      </w:pPr>
    </w:p>
    <w:p>
      <w:pPr>
        <w:ind w:right="440" w:firstLine="463"/>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to which this Certification is attached as Exhibit 32.1 (the “Annual Report”), fully complies with the requirements of Section 13(a) or 15(d) of the Exchange Act; and</w:t>
      </w:r>
    </w:p>
    <w:p>
      <w:pPr>
        <w:spacing w:after="0" w:line="62" w:lineRule="exact"/>
        <w:rPr>
          <w:rFonts w:ascii="Arial" w:cs="Arial" w:eastAsia="Arial" w:hAnsi="Arial"/>
          <w:sz w:val="18"/>
          <w:szCs w:val="18"/>
          <w:color w:val="auto"/>
        </w:rPr>
      </w:pPr>
    </w:p>
    <w:p>
      <w:pPr>
        <w:ind w:right="540" w:firstLine="463"/>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2020</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rPr>
              <w:t>/s/ Sean A. McCarthy</w:t>
            </w:r>
          </w:p>
        </w:tc>
        <w:tc>
          <w:tcPr>
            <w:tcW w:w="5560" w:type="dxa"/>
            <w:vAlign w:val="bottom"/>
          </w:tcPr>
          <w:p>
            <w:pPr>
              <w:ind w:left="120"/>
              <w:spacing w:after="0"/>
              <w:rPr>
                <w:sz w:val="20"/>
                <w:szCs w:val="20"/>
                <w:color w:val="auto"/>
              </w:rPr>
            </w:pPr>
            <w:r>
              <w:rPr>
                <w:rFonts w:ascii="Arial" w:cs="Arial" w:eastAsia="Arial" w:hAnsi="Arial"/>
                <w:sz w:val="18"/>
                <w:szCs w:val="18"/>
                <w:color w:val="auto"/>
              </w:rPr>
              <w:t>/s/ Sean A. McCarthy</w:t>
            </w:r>
          </w:p>
        </w:tc>
      </w:tr>
      <w:tr>
        <w:trPr>
          <w:trHeight w:val="222"/>
        </w:trPr>
        <w:tc>
          <w:tcPr>
            <w:tcW w:w="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Sean A. McCarthy, D.Phil.</w:t>
            </w:r>
          </w:p>
        </w:tc>
        <w:tc>
          <w:tcPr>
            <w:tcW w:w="340" w:type="dxa"/>
            <w:vAlign w:val="bottom"/>
          </w:tcPr>
          <w:p>
            <w:pPr>
              <w:spacing w:after="0"/>
              <w:rPr>
                <w:sz w:val="19"/>
                <w:szCs w:val="19"/>
                <w:color w:val="auto"/>
              </w:rPr>
            </w:pPr>
          </w:p>
        </w:tc>
        <w:tc>
          <w:tcPr>
            <w:tcW w:w="55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Sean A. McCarthy, D.Phil.</w:t>
            </w:r>
          </w:p>
        </w:tc>
      </w:tr>
      <w:tr>
        <w:trPr>
          <w:trHeight w:val="216"/>
        </w:trPr>
        <w:tc>
          <w:tcPr>
            <w:tcW w:w="5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56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556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2" w:lineRule="exact"/>
        <w:rPr>
          <w:sz w:val="20"/>
          <w:szCs w:val="20"/>
          <w:color w:val="auto"/>
        </w:rPr>
      </w:pPr>
    </w:p>
    <w:p>
      <w:pPr>
        <w:ind w:left="480" w:right="40" w:hanging="472"/>
        <w:spacing w:after="0" w:line="259" w:lineRule="auto"/>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3"/>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1)"/>
      <w:numFmt w:val="decimal"/>
      <w:start w:val="2"/>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1."/>
      <w:numFmt w:val="decimal"/>
      <w:start w:val="606"/>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2"/>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1)"/>
      <w:numFmt w:val="decimal"/>
      <w:start w:val="3"/>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lowerRoman"/>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9"/>
    </w:lvl>
    <w:lvl w:ilvl="1">
      <w:lvlJc w:val="left"/>
      <w:lvlText w:val="•"/>
      <w:numFmt w:val="bullet"/>
      <w:start w:val="1"/>
    </w:lvl>
  </w:abstractNum>
  <w:abstractNum w:abstractNumId="63">
    <w:nsid w:val="7FB7E0AA"/>
    <w:multiLevelType w:val="hybridMultilevel"/>
    <w:lvl w:ilvl="0">
      <w:lvlJc w:val="left"/>
      <w:lvlText w:val="(%1)"/>
      <w:numFmt w:val="decimal"/>
      <w:start w:val="1"/>
    </w:lvl>
  </w:abstractNum>
  <w:abstractNum w:abstractNumId="64">
    <w:nsid w:val="6EB5BD4"/>
    <w:multiLevelType w:val="hybridMultilevel"/>
    <w:lvl w:ilvl="0">
      <w:lvlJc w:val="left"/>
      <w:lvlText w:val="(%1)"/>
      <w:numFmt w:val="decimal"/>
      <w:start w:val="2"/>
    </w:lvl>
  </w:abstractNum>
  <w:abstractNum w:abstractNumId="65">
    <w:nsid w:val="6F6DD9AC"/>
    <w:multiLevelType w:val="hybridMultilevel"/>
    <w:lvl w:ilvl="0">
      <w:lvlJc w:val="left"/>
      <w:lvlText w:val="(%1)"/>
      <w:numFmt w:val="decimal"/>
      <w:start w:val="3"/>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1)"/>
      <w:numFmt w:val="lowerRoman"/>
      <w:start w:val="10"/>
    </w:lvl>
  </w:abstractNum>
  <w:abstractNum w:abstractNumId="70">
    <w:nsid w:val="1716703B"/>
    <w:multiLevelType w:val="hybridMultilevel"/>
    <w:lvl w:ilvl="0">
      <w:lvlJc w:val="left"/>
      <w:lvlText w:val="(%1)"/>
      <w:numFmt w:val="lowerRoman"/>
      <w:start w:val="2"/>
    </w:lvl>
  </w:abstractNum>
  <w:abstractNum w:abstractNumId="71">
    <w:nsid w:val="14E17E33"/>
    <w:multiLevelType w:val="hybridMultilevel"/>
    <w:lvl w:ilvl="0">
      <w:lvlJc w:val="left"/>
      <w:lvlText w:val="(%1)"/>
      <w:numFmt w:val="lowerLetter"/>
      <w:start w:val="25"/>
    </w:lvl>
  </w:abstractNum>
  <w:abstractNum w:abstractNumId="72">
    <w:nsid w:val="3222E7CD"/>
    <w:multiLevelType w:val="hybridMultilevel"/>
    <w:lvl w:ilvl="0">
      <w:lvlJc w:val="left"/>
      <w:lvlText w:val="(%1)"/>
      <w:numFmt w:val="upperLetter"/>
      <w:start w:val="2"/>
    </w:lvl>
  </w:abstractNum>
  <w:abstractNum w:abstractNumId="73">
    <w:nsid w:val="74DE0EE3"/>
    <w:multiLevelType w:val="hybridMultilevel"/>
    <w:lvl w:ilvl="0">
      <w:lvlJc w:val="left"/>
      <w:lvlText w:val="(%1)"/>
      <w:numFmt w:val="upperLetter"/>
      <w:start w:val="2"/>
    </w:lvl>
  </w:abstractNum>
  <w:abstractNum w:abstractNumId="74">
    <w:nsid w:val="68EBC550"/>
    <w:multiLevelType w:val="hybridMultilevel"/>
    <w:lvl w:ilvl="0">
      <w:lvlJc w:val="left"/>
      <w:lvlText w:val="(%1)"/>
      <w:numFmt w:val="lowerRoman"/>
      <w:start w:val="1"/>
    </w:lvl>
  </w:abstractNum>
  <w:abstractNum w:abstractNumId="75">
    <w:nsid w:val="2DF6D648"/>
    <w:multiLevelType w:val="hybridMultilevel"/>
    <w:lvl w:ilvl="0">
      <w:lvlJc w:val="left"/>
      <w:lvlText w:val="(%1)"/>
      <w:numFmt w:val="lowerRoman"/>
      <w:start w:val="2"/>
    </w:lvl>
  </w:abstractNum>
  <w:abstractNum w:abstractNumId="76">
    <w:nsid w:val="46B7D447"/>
    <w:multiLevelType w:val="hybridMultilevel"/>
    <w:lvl w:ilvl="0">
      <w:lvlJc w:val="left"/>
      <w:lvlText w:val="(%1)"/>
      <w:numFmt w:val="lowerRoman"/>
      <w:start w:val="7"/>
    </w:lvl>
  </w:abstractNum>
  <w:abstractNum w:abstractNumId="77">
    <w:nsid w:val="4A2AC315"/>
    <w:multiLevelType w:val="hybridMultilevel"/>
    <w:lvl w:ilvl="0">
      <w:lvlJc w:val="left"/>
      <w:lvlText w:val="(%1)"/>
      <w:numFmt w:val="lowerRoman"/>
      <w:start w:val="1"/>
    </w:lvl>
  </w:abstractNum>
  <w:abstractNum w:abstractNumId="78">
    <w:nsid w:val="39EE015C"/>
    <w:multiLevelType w:val="hybridMultilevel"/>
    <w:lvl w:ilvl="0">
      <w:lvlJc w:val="left"/>
      <w:lvlText w:val="(%1)"/>
      <w:numFmt w:val="upperLetter"/>
      <w:start w:val="1"/>
    </w:lvl>
  </w:abstractNum>
  <w:abstractNum w:abstractNumId="79">
    <w:nsid w:val="57FC4FBB"/>
    <w:multiLevelType w:val="hybridMultilevel"/>
    <w:lvl w:ilvl="0">
      <w:lvlJc w:val="left"/>
      <w:lvlText w:val="(%1)"/>
      <w:numFmt w:val="lowerLetter"/>
      <w:start w:val="18"/>
    </w:lvl>
  </w:abstractNum>
  <w:abstractNum w:abstractNumId="80">
    <w:nsid w:val="CC1016F"/>
    <w:multiLevelType w:val="hybridMultilevel"/>
    <w:lvl w:ilvl="0">
      <w:lvlJc w:val="left"/>
      <w:lvlText w:val="(%1)"/>
      <w:numFmt w:val="lowerRoman"/>
      <w:start w:val="1"/>
    </w:lvl>
  </w:abstractNum>
  <w:abstractNum w:abstractNumId="81">
    <w:nsid w:val="43F18422"/>
    <w:multiLevelType w:val="hybridMultilevel"/>
    <w:lvl w:ilvl="0">
      <w:lvlJc w:val="left"/>
      <w:lvlText w:val="(%1)"/>
      <w:numFmt w:val="lowerRoman"/>
      <w:start w:val="5"/>
    </w:lvl>
  </w:abstractNum>
  <w:abstractNum w:abstractNumId="82">
    <w:nsid w:val="60EF0119"/>
    <w:multiLevelType w:val="hybridMultilevel"/>
    <w:lvl w:ilvl="0">
      <w:lvlJc w:val="left"/>
      <w:lvlText w:val="(%1)"/>
      <w:numFmt w:val="lowerRoman"/>
      <w:start w:val="2"/>
    </w:lvl>
  </w:abstractNum>
  <w:abstractNum w:abstractNumId="83">
    <w:nsid w:val="26F324BA"/>
    <w:multiLevelType w:val="hybridMultilevel"/>
    <w:lvl w:ilvl="0">
      <w:lvlJc w:val="left"/>
      <w:lvlText w:val="(%1)"/>
      <w:numFmt w:val="lowerRoman"/>
      <w:start w:val="1"/>
    </w:lvl>
  </w:abstractNum>
  <w:abstractNum w:abstractNumId="84">
    <w:nsid w:val="7F01579B"/>
    <w:multiLevelType w:val="hybridMultilevel"/>
    <w:lvl w:ilvl="0">
      <w:lvlJc w:val="left"/>
      <w:lvlText w:val="(%1)"/>
      <w:numFmt w:val="lowerRoman"/>
      <w:start w:val="1"/>
    </w:lvl>
    <w:lvl w:ilvl="1">
      <w:lvlJc w:val="left"/>
      <w:lvlText w:val="(%2)"/>
      <w:numFmt w:val="lowerRoman"/>
      <w:start w:val="2"/>
    </w:lvl>
  </w:abstractNum>
  <w:abstractNum w:abstractNumId="85">
    <w:nsid w:val="49DA307D"/>
    <w:multiLevelType w:val="hybridMultilevel"/>
    <w:lvl w:ilvl="0">
      <w:lvlJc w:val="left"/>
      <w:lvlText w:val="(%1)"/>
      <w:numFmt w:val="lowerRoman"/>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decimal"/>
      <w:start w:val="6"/>
    </w:lvl>
  </w:abstractNum>
  <w:abstractNum w:abstractNumId="89">
    <w:nsid w:val="488AC1A"/>
    <w:multiLevelType w:val="hybridMultilevel"/>
    <w:lvl w:ilvl="0">
      <w:lvlJc w:val="left"/>
      <w:lvlText w:val="•"/>
      <w:numFmt w:val="bullet"/>
      <w:start w:val="1"/>
    </w:lvl>
    <w:lvl w:ilvl="1">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1)"/>
      <w:numFmt w:val="lowerLetter"/>
      <w:start w:val="2"/>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3"/>
    </w:lvl>
  </w:abstractNum>
  <w:abstractNum w:abstractNumId="97">
    <w:nsid w:val="73A1821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5"/>
    </w:lvl>
  </w:abstractNum>
  <w:abstractNum w:abstractNumId="98">
    <w:nsid w:val="7DE67713"/>
    <w:multiLevelType w:val="hybridMultilevel"/>
    <w:lvl w:ilvl="0">
      <w:lvlJc w:val="left"/>
      <w:lvlText w:val="(%1)"/>
      <w:numFmt w:val="lowerRoman"/>
      <w:start w:val="3"/>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lowerLetter"/>
      <w:start w:val="3"/>
    </w:lvl>
    <w:lvl w:ilvl="1">
      <w:lvlJc w:val="left"/>
      <w:lvlText w:val="(%2)"/>
      <w:numFmt w:val="lowerRoman"/>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2" Type="http://schemas.openxmlformats.org/officeDocument/2006/relationships/image" Target="media/image152.png"/><Relationship Id="rId189"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jpeg"/><Relationship Id="rId258" Type="http://schemas.openxmlformats.org/officeDocument/2006/relationships/image" Target="media/image211.png"/><Relationship Id="rId259" Type="http://schemas.openxmlformats.org/officeDocument/2006/relationships/image" Target="media/image212.jpeg"/><Relationship Id="rId260" Type="http://schemas.openxmlformats.org/officeDocument/2006/relationships/image" Target="media/image213.jpe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159" Type="http://schemas.openxmlformats.org/officeDocument/2006/relationships/hyperlink" Target="http://www.sec.gov/Archives/edgar/data/0001501989/000119312515347080/d78795dex31.htm" TargetMode="External"/><Relationship Id="rId160" Type="http://schemas.openxmlformats.org/officeDocument/2006/relationships/hyperlink" Target="http://www.sec.gov/Archives/edgar/data/0001501989/000119312515347080/d78795dex32.htm" TargetMode="External"/><Relationship Id="rId161" Type="http://schemas.openxmlformats.org/officeDocument/2006/relationships/hyperlink" Target="http://www.sec.gov/Archives/edgar/data/0001501989/000119312515329662/d948537dex41.htm" TargetMode="External"/><Relationship Id="rId162" Type="http://schemas.openxmlformats.org/officeDocument/2006/relationships/hyperlink" Target="http://www.sec.gov/Archives/edgar/data/0001501989/000156459017022252/ctmx-ex44_91.htm" TargetMode="External"/><Relationship Id="rId163" Type="http://schemas.openxmlformats.org/officeDocument/2006/relationships/hyperlink" Target="http://www.sec.gov/Archives/edgar/data/0001501989/000119312515307013/d948537dex103.htm" TargetMode="External"/><Relationship Id="rId164" Type="http://schemas.openxmlformats.org/officeDocument/2006/relationships/hyperlink" Target="http://www.sec.gov/Archives/edgar/data/0001501989/000119312515307013/d948537dex104.htm" TargetMode="External"/><Relationship Id="rId165" Type="http://schemas.openxmlformats.org/officeDocument/2006/relationships/hyperlink" Target="http://www.sec.gov/Archives/edgar/data/0001501989/000119312515307013/d948537dex101.htm" TargetMode="External"/><Relationship Id="rId166" Type="http://schemas.openxmlformats.org/officeDocument/2006/relationships/hyperlink" Target="http://www.sec.gov/Archives/edgar/data/0001501989/000119312515307013/d948537dex102.htm" TargetMode="External"/><Relationship Id="rId167" Type="http://schemas.openxmlformats.org/officeDocument/2006/relationships/hyperlink" Target="http://www.sec.gov/Archives/edgar/data/0001501989/000119312515338434/d948537dex105.htm" TargetMode="External"/><Relationship Id="rId168" Type="http://schemas.openxmlformats.org/officeDocument/2006/relationships/hyperlink" Target="http://www.sec.gov/Archives/edgar/data/0001501989/000156459015010977/ctmx-ex104_591.htm" TargetMode="External"/><Relationship Id="rId169" Type="http://schemas.openxmlformats.org/officeDocument/2006/relationships/hyperlink" Target="http://www.sec.gov/Archives/edgar/data/0001501989/000156459015010977/ctmx-ex105_592.htm" TargetMode="External"/><Relationship Id="rId170" Type="http://schemas.openxmlformats.org/officeDocument/2006/relationships/hyperlink" Target="http://www.sec.gov/Archives/edgar/data/0001501989/000119312515329662/d948537dex106.htm" TargetMode="External"/><Relationship Id="rId171" Type="http://schemas.openxmlformats.org/officeDocument/2006/relationships/hyperlink" Target="http://www.sec.gov/Archives/edgar/data/0001501989/000119312515307013/d948537dex107.htm" TargetMode="External"/><Relationship Id="rId173" Type="http://schemas.openxmlformats.org/officeDocument/2006/relationships/hyperlink" Target="http://www.sec.gov/Archives/edgar/data/0001501989/000119312515307013/d948537dex1016.htm" TargetMode="External"/><Relationship Id="rId174" Type="http://schemas.openxmlformats.org/officeDocument/2006/relationships/hyperlink" Target="http://www.sec.gov/Archives/edgar/data/0001501989/000119312515336443/d948537dex1017.htm" TargetMode="External"/><Relationship Id="rId175" Type="http://schemas.openxmlformats.org/officeDocument/2006/relationships/hyperlink" Target="http://www.sec.gov/Archives/edgar/data/0001501989/000119312515336443/d948537dex1018.htm" TargetMode="External"/><Relationship Id="rId176" Type="http://schemas.openxmlformats.org/officeDocument/2006/relationships/hyperlink" Target="http://www.sec.gov/Archives/edgar/data/0001501989/000156459017008943/ctmx-ex101_883.htm" TargetMode="External"/><Relationship Id="rId177" Type="http://schemas.openxmlformats.org/officeDocument/2006/relationships/hyperlink" Target="http://www.sec.gov/Archives/edgar/data/0001501989/000156459016022364/ctmx-ex101_550.htm" TargetMode="External"/><Relationship Id="rId178" Type="http://schemas.openxmlformats.org/officeDocument/2006/relationships/hyperlink" Target="http://www.sec.gov/Archives/edgar/data/0001501989/000119312515322694/d948537dex1021.htm" TargetMode="External"/><Relationship Id="rId179" Type="http://schemas.openxmlformats.org/officeDocument/2006/relationships/hyperlink" Target="http://www.sec.gov/Archives/edgar/data/1501989/000156459019017968/ctmx-ex106_447.htm" TargetMode="External"/><Relationship Id="rId180" Type="http://schemas.openxmlformats.org/officeDocument/2006/relationships/hyperlink" Target="http://www.sec.gov/Archives/edgar/data/0001501989/000156459017022252/ctmx-ex101_92.htm" TargetMode="External"/><Relationship Id="rId181" Type="http://schemas.openxmlformats.org/officeDocument/2006/relationships/hyperlink" Target="http://www.sec.gov/Archives/edgar/data/0001501989/000156459015011520/ctmx-ex101_6.htm" TargetMode="External"/><Relationship Id="rId182" Type="http://schemas.openxmlformats.org/officeDocument/2006/relationships/hyperlink" Target="http://www.sec.gov/Archives/edgar/data/1501989/000156459018027387/ctmx-ex101_175.htm" TargetMode="External"/><Relationship Id="rId183" Type="http://schemas.openxmlformats.org/officeDocument/2006/relationships/hyperlink" Target="http://www.sec.gov/Archives/edgar/data/1501989/000156459018027387/ctmx-ex102_176.htm" TargetMode="External"/><Relationship Id="rId184" Type="http://schemas.openxmlformats.org/officeDocument/2006/relationships/hyperlink" Target="http://www.sec.gov/Archives/edgar/data/1501989/000156459018027387/ctmx-ex103_177.htm" TargetMode="External"/><Relationship Id="rId185" Type="http://schemas.openxmlformats.org/officeDocument/2006/relationships/hyperlink" Target="http://www.sec.gov/Archives/edgar/data/1501989/000156459019030054/ctmx-ex101_505.htm" TargetMode="External"/><Relationship Id="rId186" Type="http://schemas.openxmlformats.org/officeDocument/2006/relationships/hyperlink" Target="http://www.sec.gov/Archives/edgar/data/1501989/000156459018027387/ctmx-ex104_178.htm" TargetMode="External"/><Relationship Id="rId187" Type="http://schemas.openxmlformats.org/officeDocument/2006/relationships/hyperlink" Target="http://www.sec.gov/Archives/edgar/data/1501989/000156459018027387/ctmx-ex105_179.htm" TargetMode="External"/><Relationship Id="rId188" Type="http://schemas.openxmlformats.org/officeDocument/2006/relationships/hyperlink" Target="http://www.sec.gov/Archives/edgar/data/1501989/000156459018027387/ctmx-ex106_180.htm" TargetMode="External"/><Relationship Id="rId190" Type="http://schemas.openxmlformats.org/officeDocument/2006/relationships/hyperlink" Target="http://www.sec.gov/Archives/edgar/data/1501989/000156459019004890/ctmx-ex1027_700.htm" TargetMode="External"/><Relationship Id="rId191" Type="http://schemas.openxmlformats.org/officeDocument/2006/relationships/hyperlink" Target="http://www.sec.gov/Archives/edgar/data/1501989/000156459019017968/ctmx-ex101_193.htm" TargetMode="External"/><Relationship Id="rId192" Type="http://schemas.openxmlformats.org/officeDocument/2006/relationships/hyperlink" Target="http://www.sec.gov/Archives/edgar/data/1501989/000156459019017968/ctmx-ex102_194.htm" TargetMode="External"/><Relationship Id="rId193" Type="http://schemas.openxmlformats.org/officeDocument/2006/relationships/hyperlink" Target="http://www.sec.gov/Archives/edgar/data/1501989/000156459019017968/ctmx-ex104_191.htm" TargetMode="External"/><Relationship Id="rId194" Type="http://schemas.openxmlformats.org/officeDocument/2006/relationships/hyperlink" Target="http://www.sec.gov/Archives/edgar/data/1501989/000156459019017968/ctmx-ex107_190.htm" TargetMode="External"/><Relationship Id="rId195" Type="http://schemas.openxmlformats.org/officeDocument/2006/relationships/hyperlink" Target="http://www.sec.gov/Archives/edgar/data/1501989/000156459019041726/ctmx-ex101_559.htm" TargetMode="External"/><Relationship Id="rId196" Type="http://schemas.openxmlformats.org/officeDocument/2006/relationships/hyperlink" Target="http://www.sec.gov/Archives/edgar/data/1501989/000156459019041726/ctmx-ex102_564.htm" TargetMode="External"/><Relationship Id="rId197" Type="http://schemas.openxmlformats.org/officeDocument/2006/relationships/hyperlink" Target="http://www.sec.gov/Archives/edgar/data/1501989/000156459019041726/ctmx-ex103_563.htm" TargetMode="External"/><Relationship Id="rId198" Type="http://schemas.openxmlformats.org/officeDocument/2006/relationships/hyperlink" Target="http://www.sec.gov/Archives/edgar/data/1501989/000156459019041726/ctmx-ex104_562.htm" TargetMode="External"/><Relationship Id="rId199" Type="http://schemas.openxmlformats.org/officeDocument/2006/relationships/hyperlink" Target="http://www.sec.gov/Archives/edgar/data/1501989/000156459019041726/ctmx-ex105_561.htm" TargetMode="External"/><Relationship Id="rId200" Type="http://schemas.openxmlformats.org/officeDocument/2006/relationships/hyperlink" Target="http://www.sec.gov/Archives/edgar/data/1501989/000156459019041726/ctmx-ex106_5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2020-02-27T17:55:32Z</dcterms:created>
  <dcterms:modified xsi:type="dcterms:W3CDTF">2020-02-27T17:55:32Z</dcterms:modified>
</cp:coreProperties>
</file>