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right="36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CytomX Therapeutics,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20" w:type="dxa"/>
            <w:vAlign w:val="bottom"/>
          </w:tcPr>
          <w:p>
            <w:pPr>
              <w:jc w:val="center"/>
              <w:ind w:right="2062"/>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center"/>
              <w:ind w:left="2042"/>
              <w:spacing w:after="0"/>
              <w:rPr>
                <w:sz w:val="20"/>
                <w:szCs w:val="20"/>
                <w:color w:val="auto"/>
              </w:rPr>
            </w:pPr>
            <w:r>
              <w:rPr>
                <w:rFonts w:ascii="Arial" w:cs="Arial" w:eastAsia="Arial" w:hAnsi="Arial"/>
                <w:sz w:val="18"/>
                <w:szCs w:val="18"/>
                <w:b w:val="1"/>
                <w:bCs w:val="1"/>
                <w:color w:val="auto"/>
                <w:w w:val="91"/>
              </w:rPr>
              <w:t>27-3521219</w:t>
            </w:r>
          </w:p>
        </w:tc>
      </w:tr>
      <w:tr>
        <w:trPr>
          <w:trHeight w:val="149"/>
        </w:trPr>
        <w:tc>
          <w:tcPr>
            <w:tcW w:w="4020" w:type="dxa"/>
            <w:vAlign w:val="bottom"/>
          </w:tcPr>
          <w:p>
            <w:pPr>
              <w:jc w:val="center"/>
              <w:ind w:right="20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20" w:type="dxa"/>
            <w:vAlign w:val="bottom"/>
          </w:tcPr>
          <w:p>
            <w:pPr>
              <w:jc w:val="center"/>
              <w:ind w:right="2062"/>
              <w:spacing w:after="0"/>
              <w:rPr>
                <w:sz w:val="20"/>
                <w:szCs w:val="20"/>
                <w:color w:val="auto"/>
              </w:rPr>
            </w:pPr>
            <w:r>
              <w:rPr>
                <w:rFonts w:ascii="Arial" w:cs="Arial" w:eastAsia="Arial" w:hAnsi="Arial"/>
                <w:sz w:val="14"/>
                <w:szCs w:val="14"/>
                <w:b w:val="1"/>
                <w:bCs w:val="1"/>
                <w:color w:val="auto"/>
                <w:w w:val="94"/>
              </w:rPr>
              <w:t>incorporation or organization)</w:t>
            </w:r>
          </w:p>
        </w:tc>
        <w:tc>
          <w:tcPr>
            <w:tcW w:w="3240" w:type="dxa"/>
            <w:vAlign w:val="bottom"/>
          </w:tcPr>
          <w:p>
            <w:pPr>
              <w:jc w:val="center"/>
              <w:ind w:left="20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151 Oyster Point Blvd., Suite 400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515-3185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both"/>
        <w:ind w:right="160"/>
        <w:spacing w:after="0" w:line="227"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Accelerated filer</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00"/>
              <w:spacing w:after="0"/>
              <w:rPr>
                <w:sz w:val="20"/>
                <w:szCs w:val="20"/>
                <w:color w:val="auto"/>
              </w:rPr>
            </w:pPr>
            <w:r>
              <w:rPr>
                <w:rFonts w:ascii="Arial" w:cs="Arial" w:eastAsia="Arial" w:hAnsi="Arial"/>
                <w:sz w:val="18"/>
                <w:szCs w:val="18"/>
                <w:color w:val="auto"/>
              </w:rPr>
              <w:t>Smaller reporting company</w:t>
            </w:r>
          </w:p>
        </w:tc>
        <w:tc>
          <w:tcPr>
            <w:tcW w:w="17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5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04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7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8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2, 2018, 45,007,104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 FOR THE QUARTER ENDED SEPTEMBER 30, 2018</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PART I – FINANCIAL INFORMATION</w:t>
            </w:r>
          </w:p>
        </w:tc>
        <w:tc>
          <w:tcPr>
            <w:tcW w:w="3940" w:type="dxa"/>
            <w:vAlign w:val="bottom"/>
          </w:tcPr>
          <w:p>
            <w:pPr>
              <w:spacing w:after="0"/>
              <w:rPr>
                <w:sz w:val="20"/>
                <w:szCs w:val="20"/>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w:t>
              </w:r>
            </w:hyperlink>
          </w:p>
        </w:tc>
        <w:tc>
          <w:tcPr>
            <w:tcW w:w="4940" w:type="dxa"/>
            <w:vAlign w:val="bottom"/>
            <w:gridSpan w:val="9"/>
          </w:tcPr>
          <w:p>
            <w:pPr>
              <w:spacing w:after="0"/>
              <w:rPr>
                <w:sz w:val="24"/>
                <w:szCs w:val="24"/>
                <w:color w:val="auto"/>
              </w:rPr>
            </w:pPr>
          </w:p>
        </w:tc>
        <w:tc>
          <w:tcPr>
            <w:tcW w:w="3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Balance Sheets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Statements of Operations and Comprehensive Loss</w:t>
              </w:r>
            </w:hyperlink>
          </w:p>
        </w:tc>
        <w:tc>
          <w:tcPr>
            <w:tcW w:w="1920" w:type="dxa"/>
            <w:vAlign w:val="bottom"/>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Statements of Cash Flows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Financial Statements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6460" w:type="dxa"/>
            <w:vAlign w:val="bottom"/>
            <w:gridSpan w:val="14"/>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58"/>
        </w:trPr>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rPr>
              <w:t>PART II – OTHER INFORMATION</w:t>
            </w:r>
          </w:p>
        </w:tc>
        <w:tc>
          <w:tcPr>
            <w:tcW w:w="3940" w:type="dxa"/>
            <w:vAlign w:val="bottom"/>
          </w:tcPr>
          <w:p>
            <w:pPr>
              <w:spacing w:after="0"/>
              <w:rPr>
                <w:sz w:val="24"/>
                <w:szCs w:val="24"/>
                <w:color w:val="auto"/>
              </w:rPr>
            </w:pP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5120" w:type="dxa"/>
            <w:vAlign w:val="bottom"/>
            <w:gridSpan w:val="10"/>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Unregistered Sales of Equity Securities and Use of Proceeds</w:t>
              </w:r>
            </w:hyperlink>
          </w:p>
        </w:tc>
        <w:tc>
          <w:tcPr>
            <w:tcW w:w="2100" w:type="dxa"/>
            <w:vAlign w:val="bottom"/>
            <w:gridSpan w:val="3"/>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Defaults Upon Senior Securities</w:t>
              </w:r>
            </w:hyperlink>
          </w:p>
        </w:tc>
        <w:tc>
          <w:tcPr>
            <w:tcW w:w="4120" w:type="dxa"/>
            <w:vAlign w:val="bottom"/>
            <w:gridSpan w:val="6"/>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Mine Safety Disclosures</w:t>
              </w:r>
            </w:hyperlink>
          </w:p>
        </w:tc>
        <w:tc>
          <w:tcPr>
            <w:tcW w:w="4680" w:type="dxa"/>
            <w:vAlign w:val="bottom"/>
            <w:gridSpan w:val="8"/>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6460" w:type="dxa"/>
            <w:vAlign w:val="bottom"/>
            <w:gridSpan w:val="1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5140" w:type="dxa"/>
            <w:vAlign w:val="bottom"/>
            <w:gridSpan w:val="11"/>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040" w:type="dxa"/>
            <w:vAlign w:val="bottom"/>
            <w:gridSpan w:val="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94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885"/>
        </w:trPr>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460" w:type="dxa"/>
            <w:vAlign w:val="bottom"/>
            <w:gridSpan w:val="14"/>
          </w:tcPr>
          <w:p>
            <w:pPr>
              <w:jc w:val="center"/>
              <w:ind w:left="2790"/>
              <w:spacing w:after="0"/>
              <w:rPr>
                <w:sz w:val="20"/>
                <w:szCs w:val="20"/>
                <w:color w:val="auto"/>
              </w:rPr>
            </w:pPr>
            <w:r>
              <w:rPr>
                <w:rFonts w:ascii="Arial" w:cs="Arial" w:eastAsia="Arial" w:hAnsi="Arial"/>
                <w:sz w:val="18"/>
                <w:szCs w:val="18"/>
                <w:color w:val="auto"/>
                <w:w w:val="99"/>
              </w:rPr>
              <w:t>2</w:t>
            </w:r>
          </w:p>
        </w:tc>
        <w:tc>
          <w:tcPr>
            <w:tcW w:w="394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7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1040" w:right="60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1040" w:right="340" w:hanging="519"/>
        <w:spacing w:after="0" w:line="264"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Investigational New Drug application (“IND”), Clinical Trial Application, New Drug Application (“NDA”), Biologics License Application (“BLA”) and other regulatory submissions;</w:t>
      </w:r>
    </w:p>
    <w:p>
      <w:pPr>
        <w:spacing w:after="0" w:line="86"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collaborators for developing, obtaining regulatory approval for and commercializing product candidates in the collaboration;</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research collaboration and license agreements or arrangements;</w:t>
      </w:r>
    </w:p>
    <w:p>
      <w:pPr>
        <w:spacing w:after="0" w:line="142" w:lineRule="exact"/>
        <w:rPr>
          <w:rFonts w:ascii="Arial" w:cs="Arial" w:eastAsia="Arial" w:hAnsi="Arial"/>
          <w:sz w:val="17"/>
          <w:szCs w:val="17"/>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and beliefs regarding the evolution of the market for cancer therapies and development of the immuno-oncology industry;</w:t>
      </w:r>
    </w:p>
    <w:p>
      <w:pPr>
        <w:spacing w:after="0" w:line="153" w:lineRule="exact"/>
        <w:rPr>
          <w:rFonts w:ascii="Arial" w:cs="Arial" w:eastAsia="Arial" w:hAnsi="Arial"/>
          <w:sz w:val="16"/>
          <w:szCs w:val="16"/>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retain commercial rights for our product candidates in such collaborations;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any collaborator’s ability to obtain and maintain intellectual property protection for our technologies and product candidates and our ability to operate our business without infringing the intellectual property rights of others;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75"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transition from an emerging growth company under the Jumpstart Our Business Startups Act of 2012 to a large accelerated filer;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 a Delaware corporation.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560" w:type="dxa"/>
            <w:vAlign w:val="bottom"/>
          </w:tcPr>
          <w:p>
            <w:pPr>
              <w:jc w:val="center"/>
              <w:ind w:left="251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560" w:type="dxa"/>
            <w:vAlign w:val="bottom"/>
          </w:tcPr>
          <w:p>
            <w:pPr>
              <w:jc w:val="center"/>
              <w:ind w:left="2490"/>
              <w:spacing w:after="0"/>
              <w:rPr>
                <w:sz w:val="20"/>
                <w:szCs w:val="20"/>
                <w:color w:val="auto"/>
              </w:rPr>
            </w:pPr>
            <w:r>
              <w:rPr>
                <w:rFonts w:ascii="Arial" w:cs="Arial" w:eastAsia="Arial" w:hAnsi="Arial"/>
                <w:sz w:val="18"/>
                <w:szCs w:val="18"/>
                <w:b w:val="1"/>
                <w:bCs w:val="1"/>
                <w:color w:val="auto"/>
              </w:rPr>
              <w:t>CYTOMX THERAPEUTICS, INC.</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56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CONDENSED BALANCE SHEETS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56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632"/>
              <w:spacing w:after="0"/>
              <w:rPr>
                <w:sz w:val="20"/>
                <w:szCs w:val="20"/>
                <w:color w:val="auto"/>
              </w:rPr>
            </w:pPr>
            <w:r>
              <w:rPr>
                <w:rFonts w:ascii="Arial" w:cs="Arial" w:eastAsia="Arial" w:hAnsi="Arial"/>
                <w:sz w:val="12"/>
                <w:szCs w:val="12"/>
                <w:b w:val="1"/>
                <w:bCs w:val="1"/>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259,753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204,809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472,508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Goodwill</w:t>
            </w:r>
          </w:p>
        </w:tc>
        <w:tc>
          <w:tcPr>
            <w:tcW w:w="6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0"/>
              </w:rPr>
              <w:t>Restricted cash</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5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482,726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397,644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6,871</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86,274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236,365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9"/>
              </w:rPr>
              <w:t>Total liabilities</w:t>
            </w:r>
          </w:p>
        </w:tc>
        <w:tc>
          <w:tcPr>
            <w:tcW w:w="6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325,065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00" w:type="dxa"/>
            <w:vAlign w:val="bottom"/>
            <w:gridSpan w:val="2"/>
          </w:tcPr>
          <w:p>
            <w:pPr>
              <w:spacing w:after="0"/>
              <w:rPr>
                <w:sz w:val="20"/>
                <w:szCs w:val="20"/>
                <w:color w:val="auto"/>
              </w:rPr>
            </w:pPr>
            <w:r>
              <w:rPr>
                <w:rFonts w:ascii="Arial" w:cs="Arial" w:eastAsia="Arial" w:hAnsi="Arial"/>
                <w:sz w:val="18"/>
                <w:szCs w:val="18"/>
                <w:color w:val="auto"/>
              </w:rPr>
              <w:t>Convertible preferred stock, $0.00001 par value; 10,000,000 shares authorized and no</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shares issued and outstanding at September 30, 2018 and December 31, 2017.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$0.00001 par value; 75,000,000 shares authorized; 44,997,279 and</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38,478,560 shares issued and outstanding at September 30, 2018 and</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December 31, 2017, respectively</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440,616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770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(282,748)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(219,465)</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157,661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69,896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20" w:right="40" w:hanging="512"/>
        <w:spacing w:after="0" w:line="277" w:lineRule="auto"/>
        <w:tabs>
          <w:tab w:leader="none" w:pos="52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condensed balance sheet as of December 31, 2017 was derived from the audited financial statements included in the Company's Annual Report on Form 10-K for the year ended December 31,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12,509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23,662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48,031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43,121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Revenue from related party</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7"/>
                <w:szCs w:val="17"/>
                <w:color w:val="auto"/>
              </w:rPr>
              <w:t>Total revenue</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12,509</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24,144</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48,031</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44,550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27,549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28,920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75,560</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71,573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8,137</w:t>
            </w: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6,249</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24,535</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17,989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ind w:left="500"/>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35,686</w:t>
            </w: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35,169</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100,095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89,562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(23,177)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(11,025)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(52,064)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(45,012)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5,134</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Other income (expense), net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Loss before provision for income taxes</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(20,929)</w:t>
            </w: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(10,266)</w:t>
            </w: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(46,980)</w:t>
            </w: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(43,713)</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60"/>
              <w:spacing w:after="0"/>
              <w:rPr>
                <w:sz w:val="20"/>
                <w:szCs w:val="20"/>
                <w:color w:val="auto"/>
              </w:rPr>
            </w:pPr>
            <w:r>
              <w:rPr>
                <w:rFonts w:ascii="Arial" w:cs="Arial" w:eastAsia="Arial" w:hAnsi="Arial"/>
                <w:sz w:val="17"/>
                <w:szCs w:val="17"/>
                <w:color w:val="auto"/>
              </w:rPr>
              <w:t>Provision for (benefit from) income taxes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2,502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(23,431)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(10,247)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(52,371)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2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(43,720)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7"/>
                <w:szCs w:val="17"/>
                <w:color w:val="auto"/>
              </w:rPr>
              <w:t>Net loss per share, basic and diluted</w:t>
            </w: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tcBorders>
              <w:bottom w:val="single" w:sz="8" w:color="CFF0FC"/>
            </w:tcBorders>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(0.53)</w:t>
            </w:r>
          </w:p>
        </w:tc>
        <w:tc>
          <w:tcPr>
            <w:tcW w:w="24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(0.28)</w:t>
            </w:r>
          </w:p>
        </w:tc>
        <w:tc>
          <w:tcPr>
            <w:tcW w:w="24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7"/>
                <w:szCs w:val="17"/>
                <w:color w:val="auto"/>
              </w:rPr>
              <w:t>Shares used to compute net loss per share,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43,917,510</w:t>
            </w:r>
          </w:p>
        </w:tc>
        <w:tc>
          <w:tcPr>
            <w:tcW w:w="24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36,947,129</w:t>
            </w:r>
          </w:p>
        </w:tc>
        <w:tc>
          <w:tcPr>
            <w:tcW w:w="2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40,528,105</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36,757,119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96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9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Changes in unrealized gains (losses) on short-term investments</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(30)</w:t>
            </w: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(114)</w:t>
            </w:r>
          </w:p>
        </w:tc>
        <w:tc>
          <w:tcPr>
            <w:tcW w:w="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20"/>
                <w:szCs w:val="20"/>
                <w:color w:val="auto"/>
              </w:rPr>
            </w:pPr>
            <w:r>
              <w:rPr>
                <w:rFonts w:ascii="Arial" w:cs="Arial" w:eastAsia="Arial" w:hAnsi="Arial"/>
                <w:sz w:val="17"/>
                <w:szCs w:val="17"/>
                <w:color w:val="auto"/>
              </w:rPr>
              <w:t>Comprehensive loss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(23,461)</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(10,198)</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(52,485)</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05"/>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(52,371)</w:t>
            </w:r>
          </w:p>
        </w:tc>
        <w:tc>
          <w:tcPr>
            <w:tcW w:w="68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Gain on disposal of property and equipment</w:t>
            </w:r>
          </w:p>
        </w:tc>
        <w:tc>
          <w:tcPr>
            <w:tcW w:w="3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Amortization of premiums (accretion of discounts) on investments</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Non-cash acquisition of in-process research and development asset charged to</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expense</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4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10,083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Related party accounts receivable</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(3,538)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Accrued liabilities, income tax payable and other long-term liabilities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(26,813)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(used in) provided by operating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(2,669)</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(161,743)</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(54,183)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short-term investments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20" w:type="dxa"/>
            <w:vAlign w:val="bottom"/>
          </w:tcPr>
          <w:p>
            <w:pPr>
              <w:ind w:left="240"/>
              <w:spacing w:after="0"/>
              <w:rPr>
                <w:sz w:val="20"/>
                <w:szCs w:val="20"/>
                <w:color w:val="auto"/>
              </w:rPr>
            </w:pPr>
            <w:r>
              <w:rPr>
                <w:rFonts w:ascii="Arial" w:cs="Arial" w:eastAsia="Arial" w:hAnsi="Arial"/>
                <w:sz w:val="18"/>
                <w:szCs w:val="18"/>
                <w:color w:val="auto"/>
              </w:rPr>
              <w:t>Proceeds from common stock issuance, net of underwriting discounts and issuance costs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360"/>
              <w:spacing w:after="0"/>
              <w:rPr>
                <w:sz w:val="20"/>
                <w:szCs w:val="20"/>
                <w:color w:val="auto"/>
              </w:rPr>
            </w:pPr>
            <w:r>
              <w:rPr>
                <w:rFonts w:ascii="Arial" w:cs="Arial" w:eastAsia="Arial" w:hAnsi="Arial"/>
                <w:sz w:val="18"/>
                <w:szCs w:val="18"/>
                <w:color w:val="auto"/>
              </w:rPr>
              <w:t>of $9,154</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134,596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 and employee stock purchases</w:t>
            </w: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178,465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260,670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and financing items: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tcPr>
          <w:p>
            <w:pPr>
              <w:ind w:left="24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acquisition of in-process research and development asset charged to expense</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240"/>
              <w:spacing w:after="0"/>
              <w:rPr>
                <w:sz w:val="20"/>
                <w:szCs w:val="20"/>
                <w:color w:val="auto"/>
              </w:rPr>
            </w:pPr>
            <w:r>
              <w:rPr>
                <w:rFonts w:ascii="Arial" w:cs="Arial" w:eastAsia="Arial" w:hAnsi="Arial"/>
                <w:sz w:val="18"/>
                <w:szCs w:val="18"/>
                <w:color w:val="auto"/>
              </w:rPr>
              <w:t>Non-cash adjustment to deferred revenue resulting from the adoption of ASC 606</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reduce drug activity in healthy tissue and in circulation. The Company is located in South San Francisco, California and was incorporated in the state of Delaware in September 2010.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Offering</w:t>
      </w:r>
    </w:p>
    <w:p>
      <w:pPr>
        <w:spacing w:after="0" w:line="11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July 2018, the Company completed an underwritten public offering of 5,867,347 shares of common stock at a price of $24.50 per share, which included 765,306 shares issued pursuant to the underwriters’ exercise of their option to purchase additional shares of common stock. The aggregate net proceeds received by the Company from the offering were approximately $134.6 million after deducting underwriting discounts and commissions and offering expenses of $9.2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2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condensed balance sheet data as of December 31, 2017 was derived from audited financial statements, but does not include all disclosures required by U.S. GAAP. The condensed results of operations for the three and nine months ended September 30, 2018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2017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 liquid investments purchased with original maturities of three months or less at the date of purchase to be cash equivalents.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8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8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2018</w:t>
            </w: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8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259,753</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177,548</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 non-current assets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3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260,670</w:t>
            </w:r>
          </w:p>
        </w:tc>
        <w:tc>
          <w:tcPr>
            <w:tcW w:w="3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178,465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performs its obligations under these arrangements. Amounts payable to the Company are recorded as accounts receivable when the Company’s right to consideration is unconditional.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unrealized gains and losses on short-term investments represent the only component of other comprehensive income (loss) that is excluded from the reported net loss.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adopted ASC Topic 606 effective January 1, 2018 on a modified retrospective basis. As such, the prior period amounts were not restated and continue to be presented in accordance with ASC Topic 605. For the Company’s accounting policy on revenue recognition prior to January 1, 2018, refer to the 2017 Form 10-K filed with the SEC on March 7, 2018. The policy disclosed in this Quarterly Report on Form 10-Q is the Company’s policy under ASC Topic 606, which has been applied since January 1, 2018.</w:t>
      </w:r>
    </w:p>
    <w:p>
      <w:pPr>
        <w:spacing w:after="0" w:line="2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w:t>
      </w:r>
    </w:p>
    <w:p>
      <w:pPr>
        <w:spacing w:after="0" w:line="1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recognizes revenue when the customer obtains control of the promised goods or services, in an amount that reflects the consideration which the Company has received or expects to receive in exchange for those goods or services.</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assesses whether the promises in its arrangements with customers are considered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2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transaction price in each arrangement is allocated to the identified performance obligations based on the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At each reporting date, the Company 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Once determined, the transaction price is allocated to each performance obligation on a relative SSP basis. At the end of each subsequent reporting period, the Company re-evaluates the probability or achievement of each such milestone and any related constraint, and if necessary, adjusts its estimate of the overall transaction price.</w:t>
      </w:r>
    </w:p>
    <w:p>
      <w:pPr>
        <w:spacing w:after="0" w:line="20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pays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which requires an entity to recognize the amount of revenue to which it expects to be entitled for the transfer of promised goods or services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customers. ASU 2014-09 replaced most existing revenue recognition guidance in U.S. GAAP. The standard permits the use of either the retrospective or cumulative effect transition method. Additionally, in March 2016, the FASB issued ASU No. 2016-08,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Principal versus Agent Considerations (Reporting Revenue Gross versus Net</w:t>
      </w:r>
      <w:r>
        <w:rPr>
          <w:rFonts w:ascii="Arial" w:cs="Arial" w:eastAsia="Arial" w:hAnsi="Arial"/>
          <w:sz w:val="16"/>
          <w:szCs w:val="16"/>
          <w:color w:val="auto"/>
        </w:rPr>
        <w:t>), which clarifies the implementation guidance on principal versus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considerations in ASU No. 2014-09. In April 2016, the FASB issued ASU No. 2016-10, </w:t>
      </w:r>
      <w:r>
        <w:rPr>
          <w:rFonts w:ascii="Arial" w:cs="Arial" w:eastAsia="Arial" w:hAnsi="Arial"/>
          <w:sz w:val="16"/>
          <w:szCs w:val="16"/>
          <w:i w:val="1"/>
          <w:iCs w:val="1"/>
          <w:color w:val="auto"/>
        </w:rPr>
        <w:t>Revenue from Contracts with Customers (Topic 606): Identifying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Performance Obligations and Licensing</w:t>
      </w:r>
      <w:r>
        <w:rPr>
          <w:rFonts w:ascii="Arial" w:cs="Arial" w:eastAsia="Arial" w:hAnsi="Arial"/>
          <w:sz w:val="16"/>
          <w:szCs w:val="16"/>
          <w:color w:val="auto"/>
        </w:rPr>
        <w:t>, which clarifies certain aspects of identifying performance obligations and licensing implementation guidance.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May 2016, the FASB issued ASU 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relates to disclosures of remaining performance obligations, as well as other amendments to guidance on collectability, non-cash consideration and the presentation of sales and other similar taxes collected from customers. These standards (collectively Accounting Standard Codification Topic 606 (“ASC 606”) have the same effective date and transition date of January 1, 2018. The Company adopted ASC 606 on January 1, 2018, using the cumulative effect transition method. The Company elected to use the practical expedient for contract modifications whereby the aggregate effect of all modifications that occurred prior to the transition date can be reflected when identifying performance obligations and determining and allocating the transaction price.</w:t>
      </w:r>
    </w:p>
    <w:p>
      <w:pPr>
        <w:spacing w:after="0" w:line="20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evaluated its contracts with customers under ASC 606. The impact of adopting ASC 606 on the Company’s results of operations, financial condition, and cash flows varies depending on the contract. The Company recorded adjustments upon the adoption of ASC 606 as a result of the different accounting treatment of its revenue agreements with respect to the inclusion of milestone payments in the initial transaction price and the method to be used to recognize upfront fees. Under the prior revenue recognition standard, milestone payments were recognized when earned and upfront fees were generally recognized as revenue over the research term on a straight-line basis if another method of revenue recognition did not more clearly match the pattern of delivery of goods or services to the customer. Under ASC 606, milestone payments are included in the initial transaction price when it is probable that a significant reversal of the milestone payment will not occur. In addition, the Company can no longer default to the straight-line method as the default method in recognizing revenue for goods or services delivered over time. As such, the amount and timing of revenue recognition for its collaboration agreements changed under ASC 606. The impact of the adoption of ASC 606 was an increase in the balance of deferred revenue and an increase in the accumulated deficit balance of $10.9 million on January 1, 2018 in the Company’s condensed Balance Sheet.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impact of adopting ASC 606 on select unaudited condensed balance sheet line items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3"/>
              </w:rPr>
              <w:t>As of September 30, 2018</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4"/>
              </w:rPr>
              <w:t>Balances Under</w:t>
            </w:r>
          </w:p>
        </w:tc>
        <w:tc>
          <w:tcPr>
            <w:tcW w:w="160" w:type="dxa"/>
            <w:vAlign w:val="bottom"/>
          </w:tcPr>
          <w:p>
            <w:pPr>
              <w:spacing w:after="0"/>
              <w:rPr>
                <w:sz w:val="11"/>
                <w:szCs w:val="11"/>
                <w:color w:val="auto"/>
              </w:rPr>
            </w:pPr>
          </w:p>
        </w:tc>
        <w:tc>
          <w:tcPr>
            <w:tcW w:w="15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1"/>
                <w:szCs w:val="11"/>
                <w:color w:val="auto"/>
              </w:rPr>
            </w:pPr>
          </w:p>
        </w:tc>
        <w:tc>
          <w:tcPr>
            <w:tcW w:w="13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ASC 605</w:t>
            </w: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ASC 606</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Income tax payable</w:t>
            </w:r>
          </w:p>
        </w:tc>
        <w:tc>
          <w:tcPr>
            <w:tcW w:w="2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9"/>
                <w:szCs w:val="19"/>
                <w:color w:val="auto"/>
              </w:rPr>
            </w:pPr>
          </w:p>
        </w:tc>
        <w:tc>
          <w:tcPr>
            <w:tcW w:w="3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2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46,230</w:t>
            </w: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6,767</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Deferred revenue - long-term</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223,781</w:t>
            </w: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12,584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(262,489)</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(20,259)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(282,748)</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tables summarize the impact of adopting ASC 606 on select unaudited condensed statement of operations line items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8"/>
          </w:tcPr>
          <w:p>
            <w:pPr>
              <w:jc w:val="center"/>
              <w:ind w:left="736"/>
              <w:spacing w:after="0"/>
              <w:rPr>
                <w:sz w:val="20"/>
                <w:szCs w:val="20"/>
                <w:color w:val="auto"/>
              </w:rPr>
            </w:pPr>
            <w:r>
              <w:rPr>
                <w:rFonts w:ascii="Arial" w:cs="Arial" w:eastAsia="Arial" w:hAnsi="Arial"/>
                <w:sz w:val="14"/>
                <w:szCs w:val="14"/>
                <w:b w:val="1"/>
                <w:bCs w:val="1"/>
                <w:color w:val="auto"/>
                <w:w w:val="93"/>
              </w:rPr>
              <w:t>Three Months Ended September 30, 2018</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Balances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1"/>
                <w:szCs w:val="11"/>
                <w:color w:val="auto"/>
              </w:rPr>
            </w:pP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(23,177)</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(22,543)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(20,929)</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(25,193)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(23,431)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458"/>
        </w:trPr>
        <w:tc>
          <w:tcPr>
            <w:tcW w:w="6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center"/>
              <w:ind w:left="736"/>
              <w:spacing w:after="0"/>
              <w:rPr>
                <w:sz w:val="20"/>
                <w:szCs w:val="20"/>
                <w:color w:val="auto"/>
              </w:rPr>
            </w:pPr>
            <w:r>
              <w:rPr>
                <w:rFonts w:ascii="Arial" w:cs="Arial" w:eastAsia="Arial" w:hAnsi="Arial"/>
                <w:sz w:val="14"/>
                <w:szCs w:val="14"/>
                <w:b w:val="1"/>
                <w:bCs w:val="1"/>
                <w:color w:val="auto"/>
                <w:w w:val="93"/>
              </w:rPr>
              <w:t>Nine Months Ended September 30, 2018</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Balances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1"/>
                <w:szCs w:val="11"/>
                <w:color w:val="auto"/>
              </w:rPr>
            </w:pPr>
          </w:p>
        </w:tc>
        <w:tc>
          <w:tcPr>
            <w:tcW w:w="134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ASC 606</w:t>
            </w:r>
          </w:p>
        </w:tc>
        <w:tc>
          <w:tcPr>
            <w:tcW w:w="0" w:type="dxa"/>
            <w:vAlign w:val="bottom"/>
          </w:tcPr>
          <w:p>
            <w:pPr>
              <w:spacing w:after="0"/>
              <w:rPr>
                <w:sz w:val="1"/>
                <w:szCs w:val="1"/>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55,944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48,031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(7,913)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(52,064)</w:t>
            </w: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Loss before provision for income taxes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(39,067)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(7,913)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(46,980)</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(43,550)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(8,821)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(52,371)</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adopting ASC 606 on select unaudited condensed statement of cash flows line items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Nine Months Ended September 30, 2018</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w w:val="94"/>
              </w:rPr>
              <w:t>Balances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1"/>
                <w:szCs w:val="11"/>
                <w:color w:val="auto"/>
              </w:rPr>
            </w:pPr>
          </w:p>
        </w:tc>
        <w:tc>
          <w:tcPr>
            <w:tcW w:w="13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7"/>
              </w:rPr>
              <w:t>As Reported Under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ASC 605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ASC 606</w:t>
            </w:r>
          </w:p>
        </w:tc>
        <w:tc>
          <w:tcPr>
            <w:tcW w:w="0" w:type="dxa"/>
            <w:vAlign w:val="bottom"/>
          </w:tcPr>
          <w:p>
            <w:pPr>
              <w:spacing w:after="0"/>
              <w:rPr>
                <w:sz w:val="1"/>
                <w:szCs w:val="1"/>
                <w:color w:val="auto"/>
              </w:rPr>
            </w:pPr>
          </w:p>
        </w:tc>
      </w:tr>
      <w:tr>
        <w:trPr>
          <w:trHeight w:val="223"/>
        </w:trPr>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(43,550)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(8,821)</w:t>
            </w:r>
          </w:p>
        </w:tc>
        <w:tc>
          <w:tcPr>
            <w:tcW w:w="4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(52,371)</w:t>
            </w: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500"/>
              <w:spacing w:after="0"/>
              <w:rPr>
                <w:sz w:val="20"/>
                <w:szCs w:val="20"/>
                <w:color w:val="auto"/>
              </w:rPr>
            </w:pPr>
            <w:r>
              <w:rPr>
                <w:rFonts w:ascii="Arial" w:cs="Arial" w:eastAsia="Arial" w:hAnsi="Arial"/>
                <w:sz w:val="18"/>
                <w:szCs w:val="18"/>
                <w:color w:val="auto"/>
              </w:rPr>
              <w:t>Accrued liabilities, income tax payable and other long-term liabilities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(34,726)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(26,813)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The new standard provides clarification on the cash flow presentation and classification of certain transactions, including debt prepayment or extinguishment, settlement of certain debt instruments, contingent consideration payments made after a business combination, proceeds from the settlement of certain insurance claims and distributions received from equity method investees. The Company adopted this standard in its first quarter ended March 31, 2018. The adoption of this standard had no impact on the Company’s financial statements for the three months and nine months ended September 30,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263238"/>
        </w:rPr>
        <w:t xml:space="preserve">In November 2016, the FASB issued ASU No. 2016-18, </w:t>
      </w:r>
      <w:r>
        <w:rPr>
          <w:rFonts w:ascii="Arial" w:cs="Arial" w:eastAsia="Arial" w:hAnsi="Arial"/>
          <w:sz w:val="18"/>
          <w:szCs w:val="18"/>
          <w:i w:val="1"/>
          <w:iCs w:val="1"/>
          <w:color w:val="263238"/>
        </w:rPr>
        <w:t>Restricted Cash, Statement of Cash Flows (Topic 230)</w:t>
      </w:r>
      <w:r>
        <w:rPr>
          <w:rFonts w:ascii="Arial" w:cs="Arial" w:eastAsia="Arial" w:hAnsi="Arial"/>
          <w:sz w:val="18"/>
          <w:szCs w:val="18"/>
          <w:color w:val="263238"/>
        </w:rPr>
        <w:t xml:space="preserve">. ASU 2016-18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t>
      </w:r>
      <w:r>
        <w:rPr>
          <w:rFonts w:ascii="Arial" w:cs="Arial" w:eastAsia="Arial" w:hAnsi="Arial"/>
          <w:sz w:val="18"/>
          <w:szCs w:val="18"/>
          <w:color w:val="000000"/>
        </w:rPr>
        <w:t>The Company adopted this standard in its first</w:t>
      </w:r>
      <w:r>
        <w:rPr>
          <w:rFonts w:ascii="Arial" w:cs="Arial" w:eastAsia="Arial" w:hAnsi="Arial"/>
          <w:sz w:val="18"/>
          <w:szCs w:val="18"/>
          <w:color w:val="263238"/>
        </w:rPr>
        <w:t xml:space="preserve"> </w:t>
      </w:r>
      <w:r>
        <w:rPr>
          <w:rFonts w:ascii="Arial" w:cs="Arial" w:eastAsia="Arial" w:hAnsi="Arial"/>
          <w:sz w:val="18"/>
          <w:szCs w:val="18"/>
          <w:color w:val="000000"/>
        </w:rPr>
        <w:t>quarter ended March 31, 2018. The Company has revised the presentation of restricted cash in its Statements of Cash Flows and provided the additional disclosures required under this standard.</w:t>
      </w:r>
    </w:p>
    <w:p>
      <w:pPr>
        <w:spacing w:after="0" w:line="193"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This accounting standard update provides clarity when a change to terms or conditions of a share-based payment award must be accounted for as a modification. The new guidance requires modification accounting if the vesting condition, fair value or the award classification is not the same both before and after a change to the terms and conditions of the award. The Company adopted this standard on January 1, 2018. The adoption of this standard had no impact on the Company’s financial statements for the three months and nine months ended September 30, 2018.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Under ASU 2016-02, an entity will be required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For public companies, ASU 2016-02 is effective for annual reporting periods beginning after December 15, 2018, including interim periods within that reporting period, and required a modified retrospective adoption, with early adoption permitted. In July 2018, the FASB issued ASU No. 2018-10,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Topic 842, Leases (“ASU 2018-10”) </w:t>
      </w:r>
      <w:r>
        <w:rPr>
          <w:rFonts w:ascii="Arial" w:cs="Arial" w:eastAsia="Arial" w:hAnsi="Arial"/>
          <w:sz w:val="17"/>
          <w:szCs w:val="17"/>
          <w:color w:val="auto"/>
        </w:rPr>
        <w:t>and ASU 2018-11,</w:t>
      </w:r>
      <w:r>
        <w:rPr>
          <w:rFonts w:ascii="Arial" w:cs="Arial" w:eastAsia="Arial" w:hAnsi="Arial"/>
          <w:sz w:val="17"/>
          <w:szCs w:val="17"/>
          <w:i w:val="1"/>
          <w:iCs w:val="1"/>
          <w:color w:val="auto"/>
        </w:rPr>
        <w:t xml:space="preserve"> Targeted Improvements</w:t>
      </w:r>
      <w:r>
        <w:rPr>
          <w:rFonts w:ascii="Arial" w:cs="Arial" w:eastAsia="Arial" w:hAnsi="Arial"/>
          <w:sz w:val="17"/>
          <w:szCs w:val="17"/>
          <w:color w:val="auto"/>
        </w:rPr>
        <w:t>. ASU 2018-10 provides improvements and clarification to ASU 2016-02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areas, including implicit interest rates, lessee assessment of lease classification, lease term and purchase options and various other improvements. ASU 2018-11 provides another transition method by allowing entities to initially apply the new lease standard at the adoption date and recognize a cumulative-effect adjustment to the opening balance of retained earnings in the period of adoption. The Company plans to adopt Topic 842 beginning with its first quarter ending March 31, 2019. The Company is currently evaluating the impact of the lease standard on its financial statements. The Company anticipates that implementation of Topic 842 will result in an increase in assets and liabilities and additional disclosures. To date, the Company has created an inventory of its leases. The Company continues to evaluate the transition considerations, including the election of various practical expedients provided by the standard.</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The new standard changes the impairment model for most financial assets and certain other instruments. Under the new standard, entities 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The new standard will be effective for the Company on January 1, 2020. The Company is currently evaluating the impact of this new guidance.</w:t>
      </w:r>
    </w:p>
    <w:p>
      <w:pPr>
        <w:spacing w:after="0" w:line="23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new guidance becomes effective for goodwill impairment tests in fiscal years beginning after December 15, 2019, though early adoption is permitted. The Company is currently evaluating the impact of this new guidance.</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The amendments in this standard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to retained earnings for stranded tax effects resulting from the Tax Cuts and Jobs Act. The new standard will be effective for the Company on January 1, 2019. The Company is currently evaluating the impact of this new guidance.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2018, the FASB issued ASU No. 2018-05, </w:t>
      </w:r>
      <w:r>
        <w:rPr>
          <w:rFonts w:ascii="Arial" w:cs="Arial" w:eastAsia="Arial" w:hAnsi="Arial"/>
          <w:sz w:val="17"/>
          <w:szCs w:val="17"/>
          <w:i w:val="1"/>
          <w:iCs w:val="1"/>
          <w:color w:val="auto"/>
        </w:rPr>
        <w:t>Income Taxes (Topic 740): Amendments to SEC Paragraphs Pursuant to SEC Staff Accounting Bulletin</w:t>
      </w:r>
      <w:r>
        <w:rPr>
          <w:rFonts w:ascii="Arial" w:cs="Arial" w:eastAsia="Arial" w:hAnsi="Arial"/>
          <w:sz w:val="17"/>
          <w:szCs w:val="17"/>
          <w:color w:val="auto"/>
        </w:rPr>
        <w:t xml:space="preserve"> </w:t>
      </w:r>
      <w:r>
        <w:rPr>
          <w:rFonts w:ascii="Arial" w:cs="Arial" w:eastAsia="Arial" w:hAnsi="Arial"/>
          <w:sz w:val="17"/>
          <w:szCs w:val="17"/>
          <w:i w:val="1"/>
          <w:iCs w:val="1"/>
          <w:color w:val="auto"/>
        </w:rPr>
        <w:t>No. 118 (SEC Update)</w:t>
      </w:r>
      <w:r>
        <w:rPr>
          <w:rFonts w:ascii="Arial" w:cs="Arial" w:eastAsia="Arial" w:hAnsi="Arial"/>
          <w:sz w:val="17"/>
          <w:szCs w:val="17"/>
          <w:color w:val="auto"/>
        </w:rPr>
        <w:t>. This standard adds various SEC paragraphs pursuant to the issuance of SEC Staff Accounting Bulletin No. 118, which clarifies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Staff’s views on income tax accounting implications of the Tax Cuts and Jobs Act (the “Tax Act”). It requires reporting of provisional amounts for specific income tax effects of the Tax Act for which the accounting under ASC Topic 740 will be incomplete, but a reasonable estimate can be determined. Provision amounts for income tax effects of the Tax Act for which a reasonable estimate cannot be determined, ASC Topic 740 should be applied based on provisions of the tax laws that were in effect immediately prior to the Tax Act being enacted. Provisional amounts for income tax effects for which a reasonable estimate cannot be determined would be reported in the first reporting period in which a reasonable estimate can be determined. The Company continues to analyze the impact of the Tax Act for which it can reasonably estimate in the three months and nine months ended September 30, 2018 (See Note 9, Income Tax Expense).</w:t>
      </w:r>
    </w:p>
    <w:p>
      <w:pPr>
        <w:spacing w:after="0" w:line="2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June 2018, the FASB issued ASU No. 2018-07, Compensation – </w:t>
      </w:r>
      <w:r>
        <w:rPr>
          <w:rFonts w:ascii="Arial" w:cs="Arial" w:eastAsia="Arial" w:hAnsi="Arial"/>
          <w:sz w:val="18"/>
          <w:szCs w:val="18"/>
          <w:i w:val="1"/>
          <w:iCs w:val="1"/>
          <w:color w:val="auto"/>
        </w:rPr>
        <w:t>Stock Compensation (Topic 718): Improvements to Nonemployee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The amendments in this ASU expand the scope of Topic 718 to include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This new guidance is effective for the Company on January 1, 2019 with early adoption permitted. The Company is currently evaluating the impact of this new guidance.</w:t>
      </w:r>
    </w:p>
    <w:p>
      <w:pPr>
        <w:spacing w:after="0" w:line="2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xml:space="preserve">. The amendments in this ASU modify the disclosure requirements on fair value measurements in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are effective for the Company on January 1, 2020. The additional disclosures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An entity is permitted to early adopt any removed or modified disclosures upon issuance of this ASU and delay adoption of the additional disclosures until their effective date. Currently, the Company does not expect the adoption of this ASU will have a material impact on its financial statements.</w:t>
      </w:r>
    </w:p>
    <w:p>
      <w:pPr>
        <w:spacing w:after="0" w:line="21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 Internal-Use Software (Subtopic 350-40)</w:t>
      </w:r>
      <w:r>
        <w:rPr>
          <w:rFonts w:ascii="Arial" w:cs="Arial" w:eastAsia="Arial" w:hAnsi="Arial"/>
          <w:sz w:val="18"/>
          <w:szCs w:val="18"/>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This ASU is effective for the Company on January 1, 2020. The Company is currently evaluating the impact of this new guidance.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and Short-Term Investments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accordance with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38"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17" w:lineRule="exact"/>
        <w:rPr>
          <w:rFonts w:ascii="Arial" w:cs="Arial" w:eastAsia="Arial" w:hAnsi="Arial"/>
          <w:sz w:val="18"/>
          <w:szCs w:val="18"/>
          <w:color w:val="auto"/>
        </w:rPr>
      </w:pPr>
    </w:p>
    <w:p>
      <w:pPr>
        <w:jc w:val="both"/>
        <w:ind w:left="1040" w:right="120" w:hanging="519"/>
        <w:spacing w:after="0" w:line="26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carrying amounts of the Company’s financial instruments, including restricted cash, accounts receivable, accounts payable and accrued liabilities approximate their fair values due to their relatively short maturities. The Company’s financial instruments consist of Level I assets. Level I assets consist primarily of highly liquid money market funds, some of which are included in restricted cash, and U.S. government bonds that are included in short-term investments.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 forth the fair value of the Company’s short-term investments subject to fair value measurements on a recurring basis and the level of inputs used in such measurements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September 30, 2018</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Holding Gains</w:t>
            </w:r>
          </w:p>
        </w:tc>
        <w:tc>
          <w:tcPr>
            <w:tcW w:w="20" w:type="dxa"/>
            <w:vAlign w:val="bottom"/>
          </w:tcPr>
          <w:p>
            <w:pPr>
              <w:spacing w:after="0"/>
              <w:rPr>
                <w:sz w:val="14"/>
                <w:szCs w:val="14"/>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Holding 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130,543</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U.S. government bonds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204,990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336,450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336,269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ind w:left="340"/>
              <w:spacing w:after="0"/>
              <w:rPr>
                <w:sz w:val="20"/>
                <w:szCs w:val="20"/>
                <w:color w:val="auto"/>
              </w:rPr>
            </w:pPr>
            <w:r>
              <w:rPr>
                <w:rFonts w:ascii="Arial" w:cs="Arial" w:eastAsia="Arial" w:hAnsi="Arial"/>
                <w:sz w:val="14"/>
                <w:szCs w:val="14"/>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520"/>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Holding Gains</w:t>
            </w:r>
          </w:p>
        </w:tc>
        <w:tc>
          <w:tcPr>
            <w:tcW w:w="20" w:type="dxa"/>
            <w:vAlign w:val="bottom"/>
          </w:tcPr>
          <w:p>
            <w:pPr>
              <w:spacing w:after="0"/>
              <w:rPr>
                <w:sz w:val="14"/>
                <w:szCs w:val="14"/>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Holding Losses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164,440</w:t>
            </w: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164,440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40" w:type="dxa"/>
            <w:vAlign w:val="bottom"/>
            <w:tcBorders>
              <w:left w:val="single" w:sz="8" w:color="CFF0FC"/>
            </w:tcBorders>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ind w:left="120"/>
              <w:spacing w:after="0"/>
              <w:rPr>
                <w:sz w:val="20"/>
                <w:szCs w:val="20"/>
                <w:color w:val="auto"/>
              </w:rPr>
            </w:pPr>
            <w:r>
              <w:rPr>
                <w:rFonts w:ascii="Arial" w:cs="Arial" w:eastAsia="Arial" w:hAnsi="Arial"/>
                <w:sz w:val="18"/>
                <w:szCs w:val="18"/>
                <w:color w:val="auto"/>
              </w:rPr>
              <w:t>U.S. government bonds</w:t>
            </w:r>
          </w:p>
        </w:tc>
        <w:tc>
          <w:tcPr>
            <w:tcW w:w="106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196,629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361,986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361,919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80" w:type="dxa"/>
            <w:vAlign w:val="bottom"/>
            <w:gridSpan w:val="7"/>
          </w:tcPr>
          <w:p>
            <w:pPr>
              <w:spacing w:after="0"/>
              <w:rPr>
                <w:sz w:val="20"/>
                <w:szCs w:val="20"/>
                <w:color w:val="auto"/>
              </w:rPr>
            </w:pPr>
            <w:r>
              <w:rPr>
                <w:rFonts w:ascii="Arial" w:cs="Arial" w:eastAsia="Arial" w:hAnsi="Arial"/>
                <w:sz w:val="18"/>
                <w:szCs w:val="18"/>
                <w:color w:val="auto"/>
                <w:w w:val="91"/>
              </w:rPr>
              <w:t>As of September 30, 2018, no securities have contractual maturities of longer than one year.</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4. Accrued Liabilities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3"/>
          </w:tcPr>
          <w:p>
            <w:pPr>
              <w:spacing w:after="0"/>
              <w:rPr>
                <w:sz w:val="20"/>
                <w:szCs w:val="20"/>
                <w:color w:val="auto"/>
              </w:rPr>
            </w:pPr>
            <w:r>
              <w:rPr>
                <w:rFonts w:ascii="Arial" w:cs="Arial" w:eastAsia="Arial" w:hAnsi="Arial"/>
                <w:sz w:val="18"/>
                <w:szCs w:val="18"/>
                <w:color w:val="auto"/>
                <w:w w:val="95"/>
              </w:rPr>
              <w:t>Accrued liabilities consisted of the following (in thousands):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tcBorders>
              <w:bottom w:val="single" w:sz="8" w:color="CFF0FC"/>
            </w:tcBorders>
          </w:tcPr>
          <w:p>
            <w:pPr>
              <w:spacing w:after="0"/>
              <w:rPr>
                <w:sz w:val="14"/>
                <w:szCs w:val="14"/>
                <w:color w:val="auto"/>
              </w:rPr>
            </w:pPr>
          </w:p>
        </w:tc>
        <w:tc>
          <w:tcPr>
            <w:tcW w:w="10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Research and clinical expenses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14,846</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10,068</w:t>
            </w:r>
          </w:p>
        </w:tc>
        <w:tc>
          <w:tcPr>
            <w:tcW w:w="20" w:type="dxa"/>
            <w:vAlign w:val="bottom"/>
            <w:shd w:val="clear" w:color="auto" w:fill="CFF0FC"/>
          </w:tcPr>
          <w:p>
            <w:pPr>
              <w:spacing w:after="0"/>
              <w:rPr>
                <w:sz w:val="19"/>
                <w:szCs w:val="19"/>
                <w:color w:val="auto"/>
              </w:rPr>
            </w:pPr>
          </w:p>
        </w:tc>
        <w:tc>
          <w:tcPr>
            <w:tcW w:w="14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w w:val="84"/>
              </w:rPr>
              <w:t>4,823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 expenses</w:t>
            </w: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84"/>
              </w:rPr>
              <w:t>1,328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20" w:type="dxa"/>
            <w:vAlign w:val="bottom"/>
            <w:shd w:val="clear" w:color="auto" w:fill="CFF0FC"/>
          </w:tcPr>
          <w:p>
            <w:pPr>
              <w:spacing w:after="0"/>
              <w:rPr>
                <w:sz w:val="19"/>
                <w:szCs w:val="19"/>
                <w:color w:val="auto"/>
              </w:rPr>
            </w:pPr>
          </w:p>
        </w:tc>
        <w:tc>
          <w:tcPr>
            <w:tcW w:w="14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0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7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21,416</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16,382</w:t>
            </w: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left w:val="single" w:sz="8" w:color="CFF0FC"/>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Research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April 2016, the Company and AbbVie entered into two agreements, a CD71 Co-Development and Licensing Agreement (the “CD71 Agreement”) and a Discovery Collaboration and Licensing Agreement (the “Discovery Agreement” and together with the CD71 Agreement the “AbbVie Agreements”). Under the terms of the CD71 Agreement, the Company and AbbVie will co-develop a Probody Drug Conjugates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AbbVie will have sole right and responsibility for the further development, manufacturing and commercialization of such CD71 PDC.</w:t>
      </w: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if the Company participates in the co-development of the CD71 Licensed Product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the PDC targeting CD71. As a result, the Company achieved the IND success criteria under the CD71 Agreement and received a $21.0 million milestone payment (net of the payment of an associated sublicense fee of $4.0 million to SGEN). The Company commenced enrollment of our Phase 1/2 clinical trial and dosed the first patient in a clinical trial at the end of the second quarter of 2018.</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may receive an additional payment upon the selection by AbbVie of the second target and the satisfaction of certain success criteria under the CD71 Agreement. AbbVie has not selected the second target, but the success criteria under the CD71 Agreement were met in September 2016. The Company is also eligible to receive up to $275.0 million in target nomination, development, regulatory and commercial milestone payments and royalties in the high single to low teens from commercial sales of any resulting PDCs.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has determined that the CD71 and Discovery Agreements with AbbVie should be combined and evaluated as a single arrangement in determining revenue recognition, because both agreements were concurrently negotiated and executed.</w:t>
      </w:r>
    </w:p>
    <w:p>
      <w:pPr>
        <w:spacing w:after="0" w:line="19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Company identified the following performance obligations at the inception of the AbbVie Agreements: (1) the research, development and commercialization license for CD71 Probody therapeutic, (2) the research services related to CD71 Probody therapeutic, (3) the obligation to participate in the CD71 Agreement joint research committee, (4) the research services related to the first discovery target (5) the research, development and commercialization license for the first discovery target, and (6) the obligation to participate in the Discovery Agreement joint research committee. The Company concluded that, at the inception of the agreement, AbbVie’s option for the second discovery target is not a material right and is therefore not a performance obligation.</w:t>
      </w:r>
    </w:p>
    <w:p>
      <w:pPr>
        <w:spacing w:after="0" w:line="2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 CD71 Agreement performance obligation consisting of the CD71 Agreement research, development and commercialization license, related research service and participation in the joint research committee, and the Discovery Agreement performance obligation consisting of the Discovery Agreement research, development and commercialization license, related research service and participation in the joint research committee.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total transaction price upon adoption of ASC 606 on January 1, 2018 of $39.8 million consists of $30.0 million in upfront payments, $14.0 million milestone payment received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estimated sublicense fees are allocated to the CD71 Agreement performance obligation as they are directly related to the development of the CD71 Probody therapeutic. In May 2018, the Company earned a $21.0 million milestone payment (net of the payment of an associated sublicense fee of $4.0 million to SGEN). The $21.0 million milestone payment was included as part of the transaction price in May 2018 and a revenue adjustment of $9.9 million was recognized in the second quarter of 2018 reflecting the percentage completed to-date on the project related to this milestone. The Company determined that the remaining potential milestone payments are probable of significant revenue reversal as their achievement is highly dependent on factors outside the Company’s control. Therefore, these payments have been fully constrained and were not included in the transaction price as of September 30, 2018. Under the UCSB Agreement, the Company is obligated to make royalty payments to UCSB equal to 5% of certain sublicense revenue payments owed to or received by the Company. As of September 30, 2018 and December 31, 2017, the Company accrued sublicense fees of $1.0 million and $0.5 million, respectively, under the CD71 Agreement. The Company recognized the initial transaction price upon adoption of ASC 606 on January 1, 2018 of $29.8 million allocated to the CD71 Agreement performance obligation using a cost-based input measure. In applying the cost-based input method of revenue recognition, the Company uses actual full-time employee (“FTE”) hours incurred relative to total estimated FTE hours expected to be incurred for the combined performance obligation. Revenue is recognized based on actual FTE hours incurred as a percentage of total estimated FTE hours as the Company completes its performance obligation over the five-year service period. As the Discovery Agreement performance obligation represents an obligation to continuously make the Company’s Probody therapeutic technology platform available to AbbVie, the initial transaction price of $10.0 million allocated to this performance obligation is recognized over the common measure of progress for the entire performance obligation over the estimated research service period of five years.</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recognized revenue of $2.8 million and $15.4 million for the three months ended September 30, 2018 and 2017, respectively, and $16.3 million and $18.1 million for the nine months ended September 30, 2018 and 2017, respectively, related to the AbbVie Agreements. As of September 30, 2018 and December 31, 2017, deferred revenue related to the CD71 Agreement performance obligation was $25.4 million and $11.2 million, respectively, and deferred revenue related to the Discovery Agreement performance obligation was $5.2 million and $6.8 million, respectively. As of both September 30, 2018 and December 31, 2017, no amount was due from AbbVie under the CD71 and Discovery Agreements.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par value $0.00001 per share,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Under the terms of the Amgen Agreement, the Company and Amgen will co-develop a Probody T-cell engaging bi-specific therapeutic targeting EGFR (“EGFR Products”). The Company is responsible for early-stage development of EGFR Products and all related costs (up to certain pre-set costs and certain limits based on clinical study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U.S. and royalties in the low-double-digit to mid-teen percentage of commercial sales outside of the 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a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 (1) the research, development and commercialization license, (2) the research and development services for the EGFR Products and the Amgen Other Product, and (3) the obligation to participate in the joint steering committee (“JSC”) and the joint research committee (“JRC”). 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w:t>
      </w:r>
    </w:p>
    <w:p>
      <w:pPr>
        <w:spacing w:after="0" w:line="1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Concurrent with the execution of the Amgen Agreement, the Company entered into a sublicense agreement whereby the Company granted Amgen a sublicense of its rights to one patent family that it co-owns with the Regents of the University of California, acting through its Santa Barbara campus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the Company is obligated to make a royalty payment to UCSB equal to 15% of certain sublicense revenue payments owed to or received by the Company. The Company determined that the calculation of the sublicense fee is not specifically addressed in the sublicense agreement when the Company simultaneously licenses the UCSB technology along with the technology the Company has developed internally. As of December 31, 2017, the Company recorded a liability of $2.1 million, which represents the Company’s best estimate of the amount to be remitted to UCSB. As of September 30, 2018, the Company determined that the estimated liability of $2.1 million was still appropriate.</w:t>
      </w:r>
    </w:p>
    <w:p>
      <w:pPr>
        <w:spacing w:after="0" w:line="21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total transaction price of $51.2 million, consisting of the $40.0 million upfront payment, an estimated fair value of $10.7 million for the CytomX Product and $0.5 million of premium on the sale of the Company’s common stock, was allocated between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September 30, 2018. The Company recognizes the transaction price of $45.8 million allocated to the EGFR Products performance obligation using a cost-based input measure. In applying the cost-based input method of revenue recognition, the Company uses actual costs incurred relative to budgeted costs expected to be incurred for the combined performance obligation. These costs consist primarily of internal FTE effort and third-party contract costs. Revenue is recognized based on actual costs incurred as a percentage of total budgeted costs as the Company completes its performance obligation over the six-year service period. As the Amgen Other Product performance obligation represents an obligation to continuously make the Probody therapeutic technology platform available to Amgen, the initial transaction price of $4.7 million allocated to this performance obligation is recognized over the common measure of progress for the entire performance obligation over the estimated research service period of six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color w:val="auto"/>
        </w:rPr>
        <w:t>The Company recognized revenue of $1.5 million and $4.4 million for the three and nine months ended September 30, 2018, respectively, related to the Amgen Agreement. There were no amounts recognized during the three and nine months ended September 30, 2017. As of September 30, 2018 and December 31, 2017, deferred revenue related to the EGFR Products performance obligation was $41.0 million and $45.3 million, respectively. As of September 30, 2018 and December 31, 2017, deferred revenue related to the Amgen Other Products performance obligation was $4.0 million and $4.6 million, respectively. As of September 30, 2018, no amount was due from Amgen under the Amgen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On May 23, 2014, the Company and Bristol-Myers Squibb Company (“BMS”)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terms of the BMS Agreement, the Company granted BMS exclusive worldwide rights to develop and commercialize Probody therapeutics for up to four oncology targets. BMS had additional rights to substitute up to two collaboration targets within three years of the effective date of the BMS Agreement. These rights expired in May 2017. Each collaboration target has a two-year research term and the two additional targets must be nominated by BMS within five years of the effective date of the BMS Agreement. The research term for each collaboration target can be extended in one year increments up to three times.</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BMS Agreement, the financial consideration from BMS was comprised of an upfront payment of $50.0 million and the Company was initially entitled to receive contingent payments of up to an aggregate of $1,217.0 million as follows: (i) up to $25.0 million for additional targets; (ii) up to</w:t>
      </w:r>
    </w:p>
    <w:p>
      <w:pPr>
        <w:spacing w:after="0"/>
        <w:rPr>
          <w:sz w:val="20"/>
          <w:szCs w:val="20"/>
          <w:color w:val="auto"/>
        </w:rPr>
      </w:pPr>
      <w:r>
        <w:rPr>
          <w:rFonts w:ascii="Arial" w:cs="Arial" w:eastAsia="Arial" w:hAnsi="Arial"/>
          <w:sz w:val="16"/>
          <w:szCs w:val="16"/>
          <w:color w:val="auto"/>
        </w:rPr>
        <w:t>$114.0 million in development milestone payments per research target program or up to $456.0 million if the maximum of four research targets are selected;</w:t>
      </w:r>
    </w:p>
    <w:p>
      <w:pPr>
        <w:spacing w:after="0" w:line="32" w:lineRule="exact"/>
        <w:rPr>
          <w:sz w:val="20"/>
          <w:szCs w:val="20"/>
          <w:color w:val="auto"/>
        </w:rPr>
      </w:pPr>
    </w:p>
    <w:p>
      <w:pPr>
        <w:ind w:right="20" w:firstLine="8"/>
        <w:spacing w:after="0" w:line="253"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$124.0 million in milestone payments for the first commercial sale in various territories for up to three indications per research target program or up to $496.0 million if the maximum of four research targets are selected, and (iv) up to $60.0 million in sales milestones payments per research target program or up to $240.0 million if maximum of four research targets are selected. The Company is entitled to royalty payments in the mid-single digits to low double-digit percentages from potential future sales. The Company also receives research and development service fees based on a prescribed FTE rate that is capped.</w:t>
      </w:r>
    </w:p>
    <w:p>
      <w:pPr>
        <w:spacing w:after="0" w:line="2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identified the following performance obligations at the inception of the BMS Agreement: (1) the exclusive research, development and commercialization license, (2) the research and development services and (3) the obligation to participate in the joint research committee. 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BMS’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separate performance obligations and concluded that all targets should be accounted for as one combined performance obligation.</w:t>
      </w:r>
    </w:p>
    <w:p>
      <w:pPr>
        <w:spacing w:after="0" w:line="19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received an upfront payment of $50.0 million from BMS in July 2014. In January and December 2016, BMS selected the third and fourth targets, respectively, and paid the Company $10.0 million and $15.0 million, respectively, pursuant to the terms of the BMS Agreement. In December 2016, BMS selected a clinical candidate pursuant to the BMS Agreement, which triggered a $2.0 million pre-clinical milestone payment to the Company. In November 2017, the Company recognized a $10.0 million milestone payment from BMS upon approval of the investigational new drug application for the CTLA-4-directed Probody therapeutic.</w:t>
      </w:r>
    </w:p>
    <w:p>
      <w:pPr>
        <w:spacing w:after="0" w:line="22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March 17, 2017, the Company and BMS entered into Amendment Number 1 to Extend Collaboration and License Agreement (the “Amendment”). The Amendment grants BMS exclusive worldwide rights to develop and commercialize Probody therapeutics for up to six additional oncology targets and two non-oncology targets. The effective date of the Amendment was April 25, 2017 (“Amendment Effective Date”).</w:t>
      </w:r>
    </w:p>
    <w:p>
      <w:pPr>
        <w:spacing w:after="0" w:line="206"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Under the terms of the Amendment, the Company continues to collaborate with BMS to discover and conduct preclinical development of Probody therapeutics against targets selected by BMS under the terms of the Amendment.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Pursuant to the Amendment, the financial consideration from BMS is comprised of an upfront payment of $200.0 million and the Company is eligible to receive up to an aggregate of $3,586.0 million as follows: (i) up to $116.0 million in development milestone payments per target or up to $928.0 million if the maximum of eight targets are selected for the first product modality; (ii) up to $124.0 million in milestone payments for the first commercial sale in various territories for up to three indications per target program or up to $992.0 million if the maximum of eight targets are selected for the first product modality; (iii) up to $60.0 million in sales milestone payments per target or up to $480.0 million if maximum of eight targets are selected for the first product modality; and</w:t>
      </w:r>
    </w:p>
    <w:p>
      <w:pPr>
        <w:spacing w:after="0" w:line="2" w:lineRule="exact"/>
        <w:rPr>
          <w:sz w:val="20"/>
          <w:szCs w:val="20"/>
          <w:color w:val="auto"/>
        </w:rPr>
      </w:pPr>
    </w:p>
    <w:p>
      <w:pPr>
        <w:ind w:right="40" w:firstLine="8"/>
        <w:spacing w:after="0" w:line="281" w:lineRule="auto"/>
        <w:tabs>
          <w:tab w:leader="none" w:pos="305" w:val="left"/>
        </w:tabs>
        <w:numPr>
          <w:ilvl w:val="0"/>
          <w:numId w:val="8"/>
        </w:numPr>
        <w:rPr>
          <w:rFonts w:ascii="Arial" w:cs="Arial" w:eastAsia="Arial" w:hAnsi="Arial"/>
          <w:sz w:val="16"/>
          <w:szCs w:val="16"/>
          <w:color w:val="auto"/>
        </w:rPr>
      </w:pPr>
      <w:r>
        <w:rPr>
          <w:rFonts w:ascii="Arial" w:cs="Arial" w:eastAsia="Arial" w:hAnsi="Arial"/>
          <w:sz w:val="16"/>
          <w:szCs w:val="16"/>
          <w:color w:val="auto"/>
        </w:rPr>
        <w:t>up to $56.3 million in development milestone payments or up to $450.0 million if the maximum of eight targets are selected for the second product modality; (v) up to $62.0 million in milestone payments for the first commercial sale in various territories for up to three indications per target program or up to $496.0 million if the maximum of eight targets are selected for the second product modality; (vi) up to $30.0 million in sales milestone payments per target or up to $240.0 million if maximum of eight targets are selected for the second product modality. The Company is also entitled to tiered mid-single to low double-digit percentage royalties from potential future sales. The Amendment does not change the term of the BMS’s royalty obligation under the BMS Agreement. BMS’s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expiration of any applicable regulatory, pediatric, orphan drug or data exclusivity with respect to such product.</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initial transaction price is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as of September 30, 2018. The BMS Agreement represents an obligation to continuously make the Probody therapeutic technology platform available to BMS. Therefore, the initial transaction price is recognized over the estimated research service period, which ends on April 25, 2023.</w:t>
      </w:r>
    </w:p>
    <w:p>
      <w:pPr>
        <w:spacing w:after="0" w:line="23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recognized revenue of $8.2 million during each of the three months ended September 30, 2018 and 2017, respectively, and $24.6 million and $18.4 million for the nine months ended September 30, 2018 and 2017, respectively. As of September 30, 2018 and December 31, 2017, deferred revenue related to the BMS Agreement was $213.8 million and $235.0 million, respectively. The amount due from BMS under the BMS Agreement was $56,000 and $10.1 million as of September 30, 2018 and December 31, 2017,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 In February 2017, ImmunoGen exercised its first option to obtain a development and commercialization license for one of the two targets. Substitution rights for this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and continues research work on this program.</w:t>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terms of the ImmunoGen Research Agreement, both the Company and ImmunoGen performed research activities on behalf of the other party for no monetary consideration through January 2018 and the arrangement was extended to June 2018, as discussed below. Each party is solely responsible for the development, manufacturing and commercialization of any products resulting from the exclusive development and commercialization license obtained by such party under the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consideration for the ImmunoGen 2017 License, the Company is entitled to receive up to $30.0 million in development and regulatory milestone payments, up to $50.0 million in sales milestone payments and royalties in the mid-single digits on the commercial sales of any resulting product. For the CX-2009 License, the Company is obligated to pay ImmunoGen up to $60.0 million in development and regulatory milestone payments and up to $100.0 million in sales milestone payments and royalties in the mid to high single digits on the commercial sales of any resulting product. In August 2017, the Company made a milestone payment of $1.0 million to ImmunoGen for the first patient dosing with CX-2009. No milestone payments have been accrued to the Company under the ImmunoGen 2017 License.</w:t>
      </w:r>
    </w:p>
    <w:p>
      <w:pPr>
        <w:spacing w:after="0" w:line="2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accounted for the ImmunoGen Research Agreement based on the fair value of the assets and services exchanged. The Company identified the following performance obligations at the inception of the ImmunoGen Research Agreement: (1) the research license, (2) the research services, (3) the obligation to participate in the joint research committee, (4) the exclusive research, development and commercialization license and (5) the obligation to provide future technology improvements, when available. The Company determined that the research license, participation in the joint steering committee, the research services, and the technology improvements are not distinct from the development and commercialization license and therefore those performance obligations were combined into one combined performance obligation. The Company considered factors such the limited economic benefits to ImmunoGen if the development and commercialization license was not obtained and the lack of sublicensing rights in the research license.</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estimated total fair value of the consideration of $13.2 million was recorded as deferred revenue at the inception of the ImmunoGen Research Agreement. In December 2017, the Company entered into the ImmunoGen 2017 License and extended the Company’s obligation to provide research services under the ImmunoGen Research Agreement to June 30, 2018. The fair value of the consideration for the combined performance obligation was recognized as revenue over the research period that ended on June 30, 2018. As of June 30, 2018, neither company has further research obligations under the ImmunoGen Research Agreement.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estimated fair value of assets and services received was also $13.2 million, of which $12.7 million was allocated to the licenses received and was charged to research and development expense, with the remaining amount of $0.5 million allocated to the research services, joint research committee participation and technology improvements, which was expensed over the period of services provided.</w:t>
      </w:r>
    </w:p>
    <w:p>
      <w:pPr>
        <w:spacing w:after="0" w:line="20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recognized revenue of $0 and $83,000 for the three months ended September 30, 2018 and 2017, respectively and $1.5 million and $6.6 million for the nine months ended September 30, 2018 and 2017, respectively. As of September 30, 2018 and December 31, 2017, deferred revenue relating to the ImmunoGen Research Agreement was $0 and $0.7 million, respectively. As of both September 30, 2018 and December 31, 2017, no amount was due from ImmunoGen under the ImmunoGen Research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MD Anderson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November 2015, the Company entered into a research collaboration agreement with MD Anderson to research Probody-enabled chimeric antigen receptor killer (CAR-NK) cell therapies, known as ProCAR-NK cell therapies. Under this collaboration, MD Anderson will use the Company’s Probody technology to conduct research of ProCAR-NK cell therapies against certain targets selected by the Company in cancer immunotherapy. Under the research collaboration agreement, the Company had the right to exercise an option, during the option period expiring on November 2, 2019 and upon payment of an option exercise fee, to negotiate and acquire a worldwide, exclusive, sublicensable license from MD Anderson for development and commercialization of products directed against any of the selected targets. The research collaboration agreement continued in effect until the earlier of (i) the date that the Company exercises the option to acquire the license from MD Anderson and (ii) the expiration of the option period. The expenses related to this agreement were not material to the financial statements for the three and nine months ended September 30, 2018 and 2017. The Company decided not to exercise the option to extend the agreement and allowed it to expire on November 1, 2018.</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Inc.</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2013, the Company and Pfizer Inc. (“Pfizer”) entered into a Research Collaboration, Option and License Agreement (the “Pfizer Agreement”) to collaborate on the discovery and preclinical research activities related to Probody therapeutics, and PDCs for research project targets nominated by Pfizer. Pfizer nominated two research targets in 2013 and, pursuant to the Pfizer Agreement, had the option of nominating two additional research targets. In December 2014, Pfizer selected an additional research target and paid the Company $1.5 million. The option to select a fourth target lapsed in May 2016. Pfizer discontinued the epidermal growth factor receptor (“EGFR”) program and decided to terminate the remaining two targets in February and March 2018. In March 2018, Pfizer terminated the Pfizer Agreement. As such, the Company had no further performance obligations under this agreement following the termination of the Pfizer Agreement and recognized the remaining deferred revenue of $1.1 million during the three months ended March 31, 2018.</w:t>
      </w:r>
    </w:p>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Pfizer Agreement, the Company received an upfront payment of $6.0 million and research and development service fees based on a prescribed FTE rate per year that is capped. The Company identified the following performance obligations at the inception of the Pfizer Agreement: (1) the research license, (2) the research services and (3) the obligation to participate in the joint research committee. The Company determined that the research license was not distinct from the research services and participation in the joint research committee due to the specialized nature of the research services to be provided by the Company, and accordingly, this deliverable was combined with the research services and participation in the joint research committee as a combined performance obligation. The Company concluded that, at the inception of the agreement, Pfizer’s options to obtain an exclusive development and commercialization license for each research project target did not represent a material right and were not performance obligations.</w:t>
      </w:r>
    </w:p>
    <w:p>
      <w:pPr>
        <w:spacing w:after="0" w:line="1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the combined performance obligation represented an obligation to continuously make the Probody therapeutic technology platform available to Pfizer, the initial transaction price was recognized over the common measure of progress for the entire performance obligation over the estimated research service period of five and a half years.</w:t>
      </w:r>
    </w:p>
    <w:p>
      <w:pPr>
        <w:spacing w:after="0" w:line="22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recognized revenue of $0 and $0.5 million for the three months ended September 30, 2018 and 2017, respectively, and $1.4 million both the nine months ended September 30, 2018 and 2017. As of September 30, 2018 and December 31, 2017, deferred revenue relating to the Pfizer Agreement was $0 and $1.6 million, respectively. The amount due from Pfizer under the Pfizer Agreement was $0 and $13,000 as of September 30, 2018 and December 31, 2017,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Company’s total contract assets and liabilities during the nine months ended September 30, 2018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786"/>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Adjustment</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1"/>
                <w:szCs w:val="11"/>
                <w:color w:val="auto"/>
              </w:rPr>
            </w:pPr>
          </w:p>
        </w:tc>
        <w:tc>
          <w:tcPr>
            <w:tcW w:w="1060" w:type="dxa"/>
            <w:vAlign w:val="bottom"/>
          </w:tcPr>
          <w:p>
            <w:pPr>
              <w:jc w:val="center"/>
              <w:ind w:right="46"/>
              <w:spacing w:after="0" w:line="133"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from Amounts</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from an</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Included in</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64"/>
              <w:spacing w:after="0"/>
              <w:rPr>
                <w:sz w:val="20"/>
                <w:szCs w:val="20"/>
                <w:color w:val="auto"/>
              </w:rPr>
            </w:pPr>
            <w:r>
              <w:rPr>
                <w:rFonts w:ascii="Arial" w:cs="Arial" w:eastAsia="Arial" w:hAnsi="Arial"/>
                <w:sz w:val="14"/>
                <w:szCs w:val="14"/>
                <w:b w:val="1"/>
                <w:bCs w:val="1"/>
                <w:color w:val="auto"/>
                <w:w w:val="94"/>
              </w:rPr>
              <w:t>ASC 606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from</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Adjustment to</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Contract</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Transaction</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Liability at the</w:t>
            </w:r>
          </w:p>
        </w:tc>
        <w:tc>
          <w:tcPr>
            <w:tcW w:w="16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Adoption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Obligation</w:t>
            </w: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During</w:t>
            </w:r>
          </w:p>
        </w:tc>
        <w:tc>
          <w:tcPr>
            <w:tcW w:w="10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12/31/2017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Satisfied</w:t>
            </w: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the Period</w:t>
            </w:r>
          </w:p>
        </w:tc>
        <w:tc>
          <w:tcPr>
            <w:tcW w:w="1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the Period</w:t>
            </w:r>
          </w:p>
        </w:tc>
        <w:tc>
          <w:tcPr>
            <w:tcW w:w="160" w:type="dxa"/>
            <w:vAlign w:val="bottom"/>
          </w:tcPr>
          <w:p>
            <w:pPr>
              <w:spacing w:after="0"/>
              <w:rPr>
                <w:sz w:val="14"/>
                <w:szCs w:val="14"/>
                <w:color w:val="auto"/>
              </w:rPr>
            </w:pPr>
          </w:p>
        </w:tc>
        <w:tc>
          <w:tcPr>
            <w:tcW w:w="1000" w:type="dxa"/>
            <w:vAlign w:val="bottom"/>
          </w:tcPr>
          <w:p>
            <w:pPr>
              <w:jc w:val="right"/>
              <w:ind w:right="222"/>
              <w:spacing w:after="0"/>
              <w:rPr>
                <w:sz w:val="20"/>
                <w:szCs w:val="20"/>
                <w:color w:val="auto"/>
              </w:rPr>
            </w:pPr>
            <w:r>
              <w:rPr>
                <w:rFonts w:ascii="Arial" w:cs="Arial" w:eastAsia="Arial" w:hAnsi="Arial"/>
                <w:sz w:val="14"/>
                <w:szCs w:val="14"/>
                <w:b w:val="1"/>
                <w:bCs w:val="1"/>
                <w:color w:val="auto"/>
              </w:rPr>
              <w:t>9/30/2018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40" w:type="dxa"/>
            <w:vAlign w:val="bottom"/>
            <w:tcBorders>
              <w:top w:val="single" w:sz="8" w:color="CFF0FC"/>
            </w:tcBorders>
            <w:shd w:val="clear" w:color="auto" w:fill="CFF0FC"/>
          </w:tcPr>
          <w:p>
            <w:pPr>
              <w:jc w:val="center"/>
              <w:ind w:right="1950"/>
              <w:spacing w:after="0"/>
              <w:rPr>
                <w:sz w:val="20"/>
                <w:szCs w:val="20"/>
                <w:color w:val="auto"/>
              </w:rPr>
            </w:pPr>
            <w:r>
              <w:rPr>
                <w:rFonts w:ascii="Arial" w:cs="Arial" w:eastAsia="Arial" w:hAnsi="Arial"/>
                <w:sz w:val="18"/>
                <w:szCs w:val="18"/>
                <w:b w:val="1"/>
                <w:bCs w:val="1"/>
                <w:color w:val="auto"/>
                <w:w w:val="92"/>
              </w:rPr>
              <w:t>Contract liabilities:</w:t>
            </w: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jc w:val="center"/>
              <w:ind w:right="1930"/>
              <w:spacing w:after="0"/>
              <w:rPr>
                <w:sz w:val="20"/>
                <w:szCs w:val="20"/>
                <w:color w:val="auto"/>
              </w:rPr>
            </w:pPr>
            <w:r>
              <w:rPr>
                <w:rFonts w:ascii="Arial" w:cs="Arial" w:eastAsia="Arial" w:hAnsi="Arial"/>
                <w:sz w:val="18"/>
                <w:szCs w:val="18"/>
                <w:color w:val="auto"/>
                <w:w w:val="88"/>
              </w:rPr>
              <w:t>Deferred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305,263</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21,000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(10,799)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(37,014)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289,362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Additions of $31.9 million consists of the ASC 606 adoption adjustment of $10.9 million and $21.0 million earned (net of the payment of an associated sublicense fee of $4.0 million to SGEN) resulting from the achievement of the IND milestone under the CD71 Agreement. The $21.0 million milestone payment is included in the transaction price and is being recognized over the research period of the CD71 Agreement. Of the $21.0 million, $10.8 million was recognized as revenue during the nine months ended September 30, 2018 based on the estimated percentage completed to-date of the CD71 project. Deductions also includes $37.0 million of revenue recognized during the nine months ended September 30, 2018 that was included in the contract liability balance at the beginning of the period.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estimates that the $289.4 million of deferred revenue related to the following contracts as of September 30, 2018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900" w:right="300" w:hanging="514"/>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$25.4 million of deferred revenue related to the CD71 Agreement as of September 30, 2018 is expected to be recognized based on actual FTE effort and program progress until approximately April 2021.</w:t>
      </w:r>
    </w:p>
    <w:p>
      <w:pPr>
        <w:spacing w:after="0" w:line="62" w:lineRule="exact"/>
        <w:rPr>
          <w:rFonts w:ascii="Arial" w:cs="Arial" w:eastAsia="Arial" w:hAnsi="Arial"/>
          <w:sz w:val="18"/>
          <w:szCs w:val="18"/>
          <w:color w:val="auto"/>
        </w:rPr>
      </w:pPr>
    </w:p>
    <w:p>
      <w:pPr>
        <w:ind w:left="900" w:right="280" w:hanging="514"/>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$5.2 million of deferred revenue related to the Discovery Agreement as of September 30, 2018 is expected to be recognized ratably until approximately April 2021.</w:t>
      </w:r>
    </w:p>
    <w:p>
      <w:pPr>
        <w:spacing w:after="0" w:line="62" w:lineRule="exact"/>
        <w:rPr>
          <w:rFonts w:ascii="Arial" w:cs="Arial" w:eastAsia="Arial" w:hAnsi="Arial"/>
          <w:sz w:val="18"/>
          <w:szCs w:val="18"/>
          <w:color w:val="auto"/>
        </w:rPr>
      </w:pPr>
    </w:p>
    <w:p>
      <w:pPr>
        <w:ind w:left="900" w:right="340" w:hanging="514"/>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$41.0 million of deferred revenue related to the Amgen EGFR Products as of September 30, 2018 is expected to be recognized based on actual FTE effort and program progress until approximately September 2023.</w:t>
      </w:r>
    </w:p>
    <w:p>
      <w:pPr>
        <w:spacing w:after="0" w:line="62" w:lineRule="exact"/>
        <w:rPr>
          <w:rFonts w:ascii="Arial" w:cs="Arial" w:eastAsia="Arial" w:hAnsi="Arial"/>
          <w:sz w:val="18"/>
          <w:szCs w:val="18"/>
          <w:color w:val="auto"/>
        </w:rPr>
      </w:pPr>
    </w:p>
    <w:p>
      <w:pPr>
        <w:ind w:left="900" w:right="200" w:hanging="514"/>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$4.0 million of deferred revenue related to the Amgen Other Products as of September 30, 2018 is expected to be recognized ratably until approximately September 2023.</w:t>
      </w:r>
    </w:p>
    <w:p>
      <w:pPr>
        <w:spacing w:after="0" w:line="62" w:lineRule="exact"/>
        <w:rPr>
          <w:rFonts w:ascii="Arial" w:cs="Arial" w:eastAsia="Arial" w:hAnsi="Arial"/>
          <w:sz w:val="18"/>
          <w:szCs w:val="18"/>
          <w:color w:val="auto"/>
        </w:rPr>
      </w:pPr>
    </w:p>
    <w:p>
      <w:pPr>
        <w:ind w:left="900" w:right="460" w:hanging="514"/>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$213.8 million of deferred revenue related to the BMS Agreement as of September 30, 2018 is expected to be recognized ratably until approximately April 2025.</w:t>
      </w:r>
    </w:p>
    <w:p>
      <w:pPr>
        <w:spacing w:after="0" w:line="274"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has an exclusive, worldwide license agreement (the “UCSB Agreement”) with UCSB, relating to the use of certain patents and technology relating to its core technology, including its therapeutic antibodies, and to certain patent rights the Company co-owns with UCSB covering Probody antibodies and other pro-proteins.</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w:t>
      </w:r>
    </w:p>
    <w:p>
      <w:pPr>
        <w:spacing w:after="0" w:line="22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sublicenses. In exchange for this amendment, the Company issued to UCSB 157,332 shares of its common stock. The UCSB Agreement, as amended, remains in effect until the expiration or abandonment of the last to expire of the licensed patents.</w:t>
      </w:r>
    </w:p>
    <w:p>
      <w:pPr>
        <w:spacing w:after="0" w:line="19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incurred expenses of $0.1 million and $1.7 million for the three months ended September 30, 2018 and 2017, respectively, and $0.6 million and $12.0 million for the nine months ended September 30, 2018 and 2017, respectively, to UCSB under the provisions of the UCSB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obligations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annual minimum royalty obligations of $150,000 under the terms of certain exclusive licensed patent rights. The royalty obligations are cancellable any time by giving notice to the licensor, with the termination being effective 60 days after giving notice.</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nine months ended September 30, 2018 were as follows: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200" w:type="dxa"/>
            <w:vAlign w:val="bottom"/>
            <w:gridSpan w:val="6"/>
          </w:tcPr>
          <w:p>
            <w:pPr>
              <w:ind w:left="90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33"/>
        </w:trPr>
        <w:tc>
          <w:tcPr>
            <w:tcW w:w="7080" w:type="dxa"/>
            <w:vAlign w:val="bottom"/>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17"/>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71"/>
        </w:trPr>
        <w:tc>
          <w:tcPr>
            <w:tcW w:w="708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2017</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6,503,458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1,921,900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Options exercised</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(631,539)</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40"/>
              <w:spacing w:after="0"/>
              <w:rPr>
                <w:sz w:val="20"/>
                <w:szCs w:val="20"/>
                <w:color w:val="auto"/>
              </w:rPr>
            </w:pPr>
            <w:r>
              <w:rPr>
                <w:rFonts w:ascii="Arial" w:cs="Arial" w:eastAsia="Arial" w:hAnsi="Arial"/>
                <w:sz w:val="18"/>
                <w:szCs w:val="18"/>
                <w:color w:val="auto"/>
              </w:rPr>
              <w:t>Option forfeited/expired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(111,764)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2018</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7,682,055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September 30, 2018</w:t>
            </w: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4,183,476</w:t>
            </w:r>
          </w:p>
        </w:tc>
        <w:tc>
          <w:tcPr>
            <w:tcW w:w="24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Total stock-based compensation recorded related to options granted to employees and non-employees and employee stock purchase plan was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80" w:type="dxa"/>
            <w:vAlign w:val="bottom"/>
            <w:tcBorders>
              <w:bottom w:val="single" w:sz="8" w:color="CFF0FC"/>
            </w:tcBorders>
          </w:tcPr>
          <w:p>
            <w:pPr>
              <w:spacing w:after="0"/>
              <w:rPr>
                <w:sz w:val="13"/>
                <w:szCs w:val="13"/>
                <w:color w:val="auto"/>
              </w:rPr>
            </w:pPr>
          </w:p>
        </w:tc>
        <w:tc>
          <w:tcPr>
            <w:tcW w:w="9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2,131</w:t>
            </w:r>
          </w:p>
        </w:tc>
        <w:tc>
          <w:tcPr>
            <w:tcW w:w="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1,267</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5,989</w:t>
            </w:r>
          </w:p>
        </w:tc>
        <w:tc>
          <w:tcPr>
            <w:tcW w:w="20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3,813</w:t>
            </w:r>
          </w:p>
        </w:tc>
        <w:tc>
          <w:tcPr>
            <w:tcW w:w="12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4,724</w:t>
            </w:r>
          </w:p>
        </w:tc>
        <w:tc>
          <w:tcPr>
            <w:tcW w:w="120" w:type="dxa"/>
            <w:vAlign w:val="bottom"/>
            <w:shd w:val="clear" w:color="auto" w:fill="CFF0FC"/>
          </w:tcPr>
          <w:p>
            <w:pPr>
              <w:spacing w:after="0"/>
              <w:rPr>
                <w:sz w:val="19"/>
                <w:szCs w:val="19"/>
                <w:color w:val="auto"/>
              </w:rPr>
            </w:pPr>
          </w:p>
        </w:tc>
      </w:tr>
      <w:tr>
        <w:trPr>
          <w:trHeight w:val="223"/>
        </w:trPr>
        <w:tc>
          <w:tcPr>
            <w:tcW w:w="438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2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2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3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September 30,</w:t>
            </w:r>
          </w:p>
        </w:tc>
      </w:tr>
      <w:tr>
        <w:trPr>
          <w:trHeight w:val="156"/>
        </w:trPr>
        <w:tc>
          <w:tcPr>
            <w:tcW w:w="538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01"/>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7,292,701</w:t>
            </w:r>
          </w:p>
        </w:tc>
        <w:tc>
          <w:tcPr>
            <w:tcW w:w="2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6,713,038</w:t>
            </w:r>
          </w:p>
        </w:tc>
        <w:tc>
          <w:tcPr>
            <w:tcW w:w="2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7,434,862</w:t>
            </w:r>
          </w:p>
        </w:tc>
        <w:tc>
          <w:tcPr>
            <w:tcW w:w="22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6,976,470</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Pr>
          <w:p>
            <w:pPr>
              <w:ind w:left="2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7,292,701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6,713,038</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7,434,862</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6,976,470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 Expense</w:t>
      </w:r>
    </w:p>
    <w:p>
      <w:pPr>
        <w:spacing w:after="0" w:line="13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recorded a provision for income taxes of $2.5 million and $5.4 million during the three and nine months ended September 30, 2018, respectively. The income tax expense was generated as a result of a timing difference in the recognition of revenue between tax and U.S. GAAP purposes, primarily related to the upfront payment received from the BMS Agreement and the Amgen Agreement in 2017. This timing difference will be recognized as revenue for tax purposes in 2018, which will generate taxable income and therefore, tax expense. The Company’s effective tax rate was (12.0)% and 0.2% for the three months ended September 30, 2018 and 2017, respectively, and (11.5)% and 0.0% for the nine months ended September 30, 2018 and 2017, respectively. Income tax expense for the three and nine months ended September 30, 2018 was accrued based on the newly-enacted statutory federal tax rate of 21%, which was effective for tax years starting on January 1, 2018. As of September 30, 2018, the Company maintained a full valuation allowance against its net deferred tax assets due to its history of losses.</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the Tax Act of 2017 was signed into law making significant changes to the Internal Revenue Code. The Tax Act contains significant changes to corporate income tax, including among other things, a reduction to the corporate income tax rate from a top marginal rate of 35% to a flat rate of 21%. Since further guidance, interpretations and rulings are expected in the 12 months following enactment, the Company has made certain provisional estimates, as permitted by SAB 118 and continues to analyze the impact of the Tax Act. As of September 30, 2018, the Company had not completed its accounting for all of the effects of the Tax Act due to pending guidance, interpretations and rulings to be issued. The Company did not make any adjustments during the three and nine months ended September 30, 2018 to its tax amounts recorded during the year ended December 31, 2017. As the Company collects and prepares the necessary data and obtains further guidance or interpretation of the Tax Act, it may make adjustments to the provisional amounts that it has recorded that may materially impact the provision for income taxes in the period in which the adjustments are made. The Company will complete its accounting analysis when the interpretations, guidance and rulings are finalized by the various tax and standard-setting bodies, which is expected by the end of December 2018.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2017, included in our Annual Report on Forms 10-K and 10-K/A, as filed with the U.S. Securities and Exchange Commission (“SEC”) on March 7, 2018 and March 14,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CytomX Therapeutics is a clinical-stage oncology-focused biopharmaceutical company pioneering a novel class of investigational antibody therapeutics based on its Probody™ therapeutic technology platform. Probody therapeutics are designed to exploit unique conditions of the tumor microenvironment to more effectively localize antibody binding and activity while limiting activity in healthy tissues. The Company’s pipeline includes cancer immunotherapies against clinically-validated targets, including a PD-L1-targeting Probody therapeutic wholly owned by CytomX (CX-072), a PD-1-targeting Probody therapeutic wholly owned by CytomX (CX-188) and a CTLA-4-targeting Probody therapeutic partnered with Bristol Myers Squibb (BMS-986249). The pipeline also includes first-in-class Probody drug conjugates against highly attractive targets including a CD166-targeting Probody drug conjugate wholly owned by CytomX (CX-2009), and a CD71-targeting Probody drug conjugate partnered with AbbVie (CX-2029), which are among cancer targets that have been considered to be inaccessible to conventional antibody drug conjugates due to their presence on many healthy tissues. CytomX and its partners have four programs in the clinic. In addition to its wholly owned programs, CytomX has strategic collaborations with AbbVie Ireland Unlimited Company (“AbbVie”), Amgen Inc. (“Amgen”), Bristol-Myers Squibb Company (“BMS”), ImmunoGen, Inc (“Immunogen”), and others. Our two lead wholly owned programs, CX-072, a PD-L1-targeting Probody therapeutic and CX-2009, a CD166-targeting Probody drug conjugate, are both currently being evaluated in Phase 1/2 clinical trials known as PROCLAIM (Probody Clinical Assessment in Man) (“PROCLAIM”), an international umbrella clinical trial program that provides clinical trial sites with access to our novel therapies under one central protocol.</w:t>
      </w:r>
    </w:p>
    <w:p>
      <w:pPr>
        <w:spacing w:after="0" w:line="2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announced initial clinical data regarding CX-072 from our PROCLAIM-CX-072 clinical trial on June 4, 2018 at the 2018 Annual Meeting of the American Society of Clinical Oncology in Chicago, Illinois and on October 22, 2018 at the 2018 Annual Meeting of the European Society of Medical Oncology in Munich, Germany. We expect to disclose initial clinical data regarding CX-2009 from our PROCLAIM-CX-2009 clinical trial in the first half of 2019. In October 2018, we filed an IND for CX-188, our wholly owned PD-1-targeting Probody therapeutic.</w:t>
      </w:r>
    </w:p>
    <w:p>
      <w:pPr>
        <w:spacing w:after="0" w:line="21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two most advanced collaboration programs are a Probody therapeutic directed against CTLA-4, partnered with BMS, and CX-2029, a CD71 directed Probody Drug Conjugate partnered with AbbVie. BMS is currently evaluating the CTLA-4-directed Probody therapeutic, BMS-986249, in a Phase 1/2 clinical trial that it initiated in January 2018. In the second quarter of 2018, we commenced enrollment of our Phase 1/2 clinical trial for CX-2029, our partnered program with AbbVie. We have also extended our Probody platform to the T-cell engaging bispecific modality. Our most advanced program in that modality is an Epidermal Growth Factor Receptor-CD3 (“EGFR-CD3”) T-cell bispecific, which is currently in lead optimization stage, and which we are developing in partnership with Amgen.</w:t>
      </w:r>
    </w:p>
    <w:p>
      <w:pPr>
        <w:spacing w:after="0" w:line="234"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We currently have three product candidates enrolling patients in clinical trials that we are conducting and one product candidate enrolling patients in clinical trials which our partner, BMS, is conducting, but 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$23.4 million and $52.4 million for the three and nine months ended September 30, 2018, respectively. As of September 30, 2018, we had an accumulated deficit of $282.7 million. We expect to continue to incur significant losses for the foreseeable future.</w:t>
      </w:r>
    </w:p>
    <w:p>
      <w:pPr>
        <w:spacing w:after="0" w:line="19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Regulatory agencies, including the U.S. Food and Drug Administration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2018 and beyond.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2017. Other than the adoption of ASC 606, there have been no material changes to our critical accounting policies and estimates during the nine months ended September 30, 2018.</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January 1, 2018, we adopted Auditing Standards Update, or ASU, No. 2014-09, Revenue from Contracts with Customers (ASC 606) using the cumulative effect transition method.</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recognize revenue when our customer obtains control of the promised goods or services, in an amount that reflects the consideration which we have received or expect to receive in exchange for those goods or services.</w:t>
      </w:r>
    </w:p>
    <w:p>
      <w:pPr>
        <w:spacing w:after="0" w:line="19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revenues are primarily derived through our license, research, development and commercialization agreements. The terms of these types of agreements may include (i) licenses for our technology or programs, (ii) research and development services,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to us for the achievement of defined collaboration objectives and certain preclinical, clinical, regulatory and sales-based events, as well as royalties on sales of any commercialized products. In certain agreements, the collaboration partner is solely responsible for meeting the defined collaboration objectives that trigger the contingent payment.</w:t>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assess whether the promises in these arrangements are considered distinct performance obligations that should be accounted for separately. Judgment is required to determine whether the license to our Probody therapeutic technology platform is distinct from the research and development services or participation on development committees.</w:t>
      </w:r>
    </w:p>
    <w:p>
      <w:pPr>
        <w:spacing w:after="0" w:line="2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transaction price in each arrangement is allocated to the identified performance obligations based on the standalone selling price (“SSP”) of each distinct performance obligation. Judgment is required to determine SSP.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the research and development services and committee participation as one performance obligation. In these cases,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We evaluate the measure of progress each reporting period and, if necessary, adjust the measure of performance and related revenue recognition.</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collaboration and license agreements may include contingent payments related to specified research, development and regulatory milestones and sales-based milestones. Such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upon receipt of actual marketing approvals of a covered product or for additional indications, or upon the first commercial sale of a covered product. Sales-based milestones are typically payable when annual sales of a covered product reach specified levels. At the inception of each agreement that includes such milestone payments, we evaluate whether the milestones are considered probable of being reached and estimate the amount to be included in the transaction price by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The transaction price is then allocated to each performance obligation based on a relative SSP basis. At the end of each subsequent reporting period, we re-evaluate the probability or achievement of each such milestone and any related constraint, and if necessary, adjusts its estimate of the overall transaction price.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BMS and Pfizer for research and development costs incurred under our research, collaboration and license agreements with them are classified as revenue.</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BMS, ImmunoGen and any other collaboration partners, and as a result of the fluctuations in the research and development expenses we incur in the performance of assigned activities under these agreements.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clinical development including activities with third parties, such as clinical research organizations (“CROs”) and contract manufacturing organizations (“CMOs”), manufacture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2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For example, we commenced enrollment of our Phase 1/2 clinical trial of CX-072, our candidate directed against PD-L1, for cancer and treated our first patient in January 2017, and our Phase 1/2 clinical trial of CX-2009, our PDC candidate directed against CD-166, for cancer in June 2017. In June 2018, we commenced enrollment of our Phase 1/2 clinical trial for CX-2029, our CD71 Probody Drug Conjugate being developed in collaboration with AbbVie. Furthermore, we filed an IND for CX-188, our wholly owned PD-1-targeting Probody therapeutic, in October 2018; however, the clearance of such IND with the FDA and the initiation of clinical enrollment for CX-188 is subject to the satisfaction of certain conditions.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the Sarbanes-Oxley Act of 2002 and those of any national securities exchange on which our securities are traded, additional insurance expenses, investor relations activities and other administrative and professional services. We also expect to increase our administrative headcount to operate as a public company and as we advance our product candidates through clinical development, which will also increase our general and administrative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short-term investments, and accretion of discounts or amortization of premiums on our short-term investments.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gains and losses from changes in currency exchange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and Nine Months Ended September 30, 2018 and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2"/>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7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79"/>
              <w:spacing w:after="0" w:line="155"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25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12,509</w:t>
            </w:r>
          </w:p>
        </w:tc>
        <w:tc>
          <w:tcPr>
            <w:tcW w:w="52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(11,635)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48,031</w:t>
            </w:r>
          </w:p>
        </w:tc>
        <w:tc>
          <w:tcPr>
            <w:tcW w:w="520" w:type="dxa"/>
            <w:vAlign w:val="bottom"/>
            <w:shd w:val="clear" w:color="auto" w:fill="CFF0FC"/>
          </w:tcPr>
          <w:p>
            <w:pPr>
              <w:jc w:val="right"/>
              <w:ind w:right="182"/>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3,481</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Revenue decreased by $11.6 million during the three months ended September 30, 2018 and increased by $3.5 million during the nine months ended September 30, 2018, compared to the corresponding periods in 2017. The following table summarizes our revenue by collaboration partner during the respective periods: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3"/>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2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17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2,827</w:t>
            </w:r>
          </w:p>
        </w:tc>
        <w:tc>
          <w:tcPr>
            <w:tcW w:w="44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(12,549)</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16,261</w:t>
            </w:r>
          </w:p>
        </w:tc>
        <w:tc>
          <w:tcPr>
            <w:tcW w:w="4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18,133</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(1,872)</w:t>
            </w: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Amgen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4,372</w:t>
            </w:r>
          </w:p>
        </w:tc>
        <w:tc>
          <w:tcPr>
            <w:tcW w:w="100" w:type="dxa"/>
            <w:vAlign w:val="bottom"/>
          </w:tcPr>
          <w:p>
            <w:pPr>
              <w:spacing w:after="0"/>
              <w:rPr>
                <w:sz w:val="19"/>
                <w:szCs w:val="19"/>
                <w:color w:val="auto"/>
              </w:rPr>
            </w:pP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BMS</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6,203</w:t>
            </w:r>
          </w:p>
        </w:tc>
        <w:tc>
          <w:tcPr>
            <w:tcW w:w="100" w:type="dxa"/>
            <w:vAlign w:val="bottom"/>
            <w:shd w:val="clear" w:color="auto" w:fill="CFF0FC"/>
          </w:tcPr>
          <w:p>
            <w:pPr>
              <w:spacing w:after="0"/>
              <w:rPr>
                <w:sz w:val="19"/>
                <w:szCs w:val="19"/>
                <w:color w:val="auto"/>
              </w:rPr>
            </w:pPr>
          </w:p>
        </w:tc>
      </w:tr>
      <w:tr>
        <w:trPr>
          <w:trHeight w:val="230"/>
        </w:trPr>
        <w:tc>
          <w:tcPr>
            <w:tcW w:w="2640" w:type="dxa"/>
            <w:vAlign w:val="bottom"/>
          </w:tcPr>
          <w:p>
            <w:pPr>
              <w:ind w:left="260"/>
              <w:spacing w:after="0"/>
              <w:rPr>
                <w:sz w:val="20"/>
                <w:szCs w:val="20"/>
                <w:color w:val="auto"/>
              </w:rPr>
            </w:pPr>
            <w:r>
              <w:rPr>
                <w:rFonts w:ascii="Arial" w:cs="Arial" w:eastAsia="Arial" w:hAnsi="Arial"/>
                <w:sz w:val="18"/>
                <w:szCs w:val="18"/>
                <w:color w:val="auto"/>
              </w:rPr>
              <w:t>ImmunoGen</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6,620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(5,149)</w:t>
            </w:r>
          </w:p>
        </w:tc>
      </w:tr>
      <w:tr>
        <w:trPr>
          <w:trHeight w:val="230"/>
        </w:trPr>
        <w:tc>
          <w:tcPr>
            <w:tcW w:w="2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Pfizer</w:t>
            </w: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 Revenue</w:t>
            </w: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(11,635)</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48,031</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44,550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100" w:type="dxa"/>
            <w:vAlign w:val="bottom"/>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variances in revenue for the three and nine months ended September 30, 2018 compared to the comparable periods in 2017 were partially due to the adoption of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total revenue for the three and nine months ended September 30, 2018 would have been $10.9 million and $55.9 million, respectively, under Accounting Standards Codification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 The difference between the amount of revenue recognized under ASC 606 and the amount that would have been recognized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ASC 605 for the nine months ended September 30, 2018 was primarily a result of the difference in how revenue is recognized related to the $21.0 million (net of the payment of an associated sublicense fee of $4.0 million to SGEN under the Seattle Genetics Agreement) CD71 milestone payment. Under ASC 606, the milestone payment is included in the transaction price and recognized based on the total estimated percentage completed to-date. Under ASC 605, the entire $21.0 million (net of the payment of an associated sublicense fee of $4.0 million to SGEN) would have been recognized in income upon satisfaction of the performance criteria.</w:t>
      </w:r>
    </w:p>
    <w:p>
      <w:pPr>
        <w:spacing w:after="0" w:line="238"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The decrease in revenue from AbbVie of $12.5 million for the three months ended September 30, 2018 compared to the corresponding period in 2017 was primarily due to the recognition during the third quarter of 2017, in full in accordance with ASC 605, of $14.0 million (net of the payment of an associated sublicense fee of $1.0 million to SGEN) in revenue as a result of meeting certain milestones to begin GLP toxicology studies under the CD71 Agreement, offset by an increase of $1.5 million in revenue resulting from the change in the method of revenue recognition for the CD71 Agreement from straight-line under ASC 605 to percentage-of-completion under ASC 606, which we adopted on January 1, 2018.</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decrease in revenue from AbbVie of $1.9 million for the nine months ended September 30, 2018 compared to the corresponding period in 2017 was primarily due to the recognition during the third quarter of 2017 of $14.0 million (net of the payment of an associated license fee of $1.0 million to SGEN) in revenue as a result of meeting certain milestones required to be met to begin GLP toxicology studies under the CD71 Agreement, which amount was partially offset by the recognition of $10.8 million of revenue recorded to-date (reflecting the percentage completed to-date on the project) of the $21.0 million milestone earned (net of the payment of an associated sublicense fee of $4.0 million to SGEN) and added to the transaction price in May 2018 for the achievement of the IND filing success criteria under the CD71 Agreement; and an increase of $1.3 million in revenue resulting from the change in the method of revenue recognition for the CD71 Agreement from straight-line under ASC 605 to percentage-of-completion under ASC 606, which we adopted on January 1, 2018.</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jc w:val="both"/>
        <w:ind w:right="120"/>
        <w:spacing w:after="0" w:line="264" w:lineRule="auto"/>
        <w:rPr>
          <w:sz w:val="20"/>
          <w:szCs w:val="20"/>
          <w:color w:val="auto"/>
        </w:rPr>
      </w:pPr>
      <w:r>
        <w:rPr>
          <w:rFonts w:ascii="Arial" w:cs="Arial" w:eastAsia="Arial" w:hAnsi="Arial"/>
          <w:sz w:val="18"/>
          <w:szCs w:val="18"/>
          <w:color w:val="auto"/>
        </w:rPr>
        <w:t>Revenue from Amgen increased by $1.5 million and $4.4 million for the three and nine months ended September 30, 2018, respectively. We entered into our Collaboration and License Agreement with Amgen in September 2017 (the “Amgen Agreement”). As such, no revenue was recognized during the three and nine months ended September 30, 2017.</w:t>
      </w:r>
    </w:p>
    <w:p>
      <w:pPr>
        <w:spacing w:after="0" w:line="2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increase in revenue from BMS of $6.2 million for the nine months ended September 30, 2018 compared to the corresponding period in 2017 was primarily due to an increase of $7.9 million in amortization of deferred revenue related to the $200.0 million of upfront payment we received as a result of the BMS Amendment, which amount was partially offset by a decrease of $1.4 million in amortization of deferred revenue resulting from an increase in the estimated length of the research terms during late April 2017, which caused monthly amortization subsequent to April 2017 to be less than amounts reported in previous periods and a decrease in service revenue of $0.3 million for the nine months ended September 30, 2018 compared to the corresponding period in 2017.</w:t>
      </w:r>
    </w:p>
    <w:p>
      <w:pPr>
        <w:spacing w:after="0" w:line="2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decrease in revenue from ImmunoGen of $5.1 million for the nine months ended September 30, 2018 compared to the corresponding period in 2017 was the result of the recognition of $6.5 million in revenue related to the delivery of a Development and Commercialization License to ImmunoGen in connection with the Immunogen Research Agreement during the nine months ended September 30, 2017, which amount was partially offset by an increase of $1.4 million in revenue during the nine months ended September 30, 2018 resulting from the extension of the research term under the ImmunoGen Research Agreement to June 2018.</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decrease in revenue from Pfizer of $0.5 million for the three months ended September 30, 2018 compared to the corresponding period in 2017 was a result of the termination of our Research Collaboration, Option and License Agreement with Pfizer in March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9"/>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499"/>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499"/>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27,549</w:t>
            </w: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(1,371)</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75,560</w:t>
            </w:r>
          </w:p>
        </w:tc>
        <w:tc>
          <w:tcPr>
            <w:tcW w:w="4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71,573</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Research and development expenses decreased by $1.4 million during the three months ended September 30, 2018 compared to the corresponding period in 2017. The decrease was attributable to the recognition during the third quarter of 2017 of $10.7 million of non-cash research and development expense related to the estimated fair value of the CytomX Product under the Amgen agreement and $1.2 million of sublicense fee payable to UCSB as a result of the Amgen Agreement. The decrease was partially offset by an increase of $3.2 million in personnel-related expenses and allocation of information technology and facilities-related expenses resulting from an increase in headcount, an increase of $2.7 million in lab contracts and services primarily related to CX-2009 Phase1/2 clinical development, an increase in clinical trial expenses of $4.0 million primarily related to CX-072, CX-2009 and CX-2029, and an increase in lab supplies of $0.6 million.</w:t>
      </w:r>
    </w:p>
    <w:p>
      <w:pPr>
        <w:spacing w:after="0" w:line="23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Research and development expenses increased by $4.0 million during the nine months ended September 30, 2018 compared to the corresponding period in 2017. The increase was attributable to an increase of $17.0 million in lab contracts and services and clinical trial expenses related to CX-072, CX-2009 and CX-2029 Phase 1/2 clinical development and to the ramp up for IND filing and clinical trial preparation for CX-188, an increase of $8.5 million in personnel-related expenses and allocation of information technology and facilities-related expenses resulting from an increase in headcount, an increase of $1.1 million in consulting expenses and an increase of $0.6 million in lab supplies. These increases were partially offset by a $10.0 million sublicense fee payment made to UCSB in 2017, which was triggered by the $200 million upfront payment made by BMS in connection with our expanded collaboration, a $1.0 million sublicense payment to ImmunoGen upon the commencement of enrollment of Phase 1/2 and first patient dosing in the clinical trial for CX-2009 during the second quarter of 2017, and $10.7 million of non-cash research and development expense recognized in 2017 related to the estimated fair value of the CytomX Product under the Amgen agreement and a $1.2 million sublicense fee payable to UCSB recognized as a result of the Amgen agreement in 2017.</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80" w:type="dxa"/>
            <w:vAlign w:val="bottom"/>
            <w:vMerge w:val="restart"/>
          </w:tcPr>
          <w:p>
            <w:pPr>
              <w:spacing w:after="0"/>
              <w:rPr>
                <w:sz w:val="20"/>
                <w:szCs w:val="20"/>
                <w:color w:val="auto"/>
              </w:rPr>
            </w:pPr>
            <w:r>
              <w:rPr>
                <w:rFonts w:ascii="Arial" w:cs="Arial" w:eastAsia="Arial" w:hAnsi="Arial"/>
                <w:sz w:val="14"/>
                <w:szCs w:val="14"/>
                <w:b w:val="1"/>
                <w:bCs w:val="1"/>
                <w:color w:val="auto"/>
              </w:rPr>
              <w:t>External costs incurred by product candidate (target):</w:t>
            </w:r>
          </w:p>
        </w:tc>
        <w:tc>
          <w:tcPr>
            <w:tcW w:w="6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CX-072 (PD-L1)</w:t>
            </w:r>
          </w:p>
        </w:tc>
        <w:tc>
          <w:tcPr>
            <w:tcW w:w="8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13,747</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CX-2009 (CD166)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CX-2029 (CD71)</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CX-188 (PD-1)</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Other wholly owned and partnered programs</w:t>
            </w: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12,870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(12,147)</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General research and development expenses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2,084</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(8,616)</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18,484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23,055</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49,785</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53,816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Internal Costs</w:t>
            </w:r>
          </w:p>
        </w:tc>
        <w:tc>
          <w:tcPr>
            <w:tcW w:w="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9,065</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5,865</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25,775</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research and development expenses</w:t>
            </w:r>
          </w:p>
        </w:tc>
        <w:tc>
          <w:tcPr>
            <w:tcW w:w="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27,549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28,920</w:t>
            </w:r>
          </w:p>
        </w:tc>
        <w:tc>
          <w:tcPr>
            <w:tcW w:w="2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75,560</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71,573</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decreases in “other wholly owned and partnered programs” for both the three and nine months ended September 30, 2018 compared to the corresponding periods in 2017 were primarily due to the $10.7 million of research and development expense recognized during the three months ended September 30, 2017 related to the estimated fair value of the CytomX Product under the Amgen agreement. The decrease in “general research and development expenses” for the nine months ended September 30, 2018 compared to the corresponding period in 2017 was primarily due to a payment of $10.0 million in sublicense fee to UCSB under the UCSB Agreement. Increases in other categories of external costs for the three and nine months ended September 30, 2018 were due primarily to increases in lab contracts and services and clinical trial expenses related to CX-072, CX-2009 and CX-2029 Phase 1/2 clinical development and to the ramp up for IND filing and clinical trial preparation for CX-188. Increases in internal costs for the three and nine months ended September 30, 2018 were primarily due to increases in personnel-related expenses and allocation of information technology and facilities-related expenses resulting from an increase in headcount.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9"/>
              <w:spacing w:after="0" w:line="155"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39"/>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499"/>
              <w:spacing w:after="0" w:line="155" w:lineRule="exact"/>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3"/>
          </w:tcPr>
          <w:p>
            <w:pPr>
              <w:jc w:val="right"/>
              <w:ind w:right="499"/>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8,137</w:t>
            </w: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24,535</w:t>
            </w:r>
          </w:p>
        </w:tc>
        <w:tc>
          <w:tcPr>
            <w:tcW w:w="4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17,989</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General and administrative expenses increased by $1.9 million during the three months ended September 30, 2018 compared to the corresponding period in 2017. The increase was attributable to an increase of $2.1 million in personnel-related expenses due to an increase in headcount, partially offset by a decrease of $0.3 million in legal fees.</w:t>
      </w:r>
    </w:p>
    <w:p>
      <w:pPr>
        <w:spacing w:after="0" w:line="22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General and administrative expenses increased by $6.5 million during the nine months ended September 30, 2018 compared to the corresponding period in 2017. The increase was attributable to an increase of $4.7 million in personnel-related expenses due to an increase in headcount, and an increase of $1.6 million in consulting expenses related to strategic planning, tax compliance, legal compliance and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3"/>
          </w:tcPr>
          <w:p>
            <w:pPr>
              <w:ind w:left="380"/>
              <w:spacing w:after="0" w:line="155"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494"/>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2,219</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806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5,134</w:t>
            </w:r>
          </w:p>
        </w:tc>
        <w:tc>
          <w:tcPr>
            <w:tcW w:w="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and other income</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3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Interest income increased by $1.4 million during the three months ended September 30, 2018 compared to the corresponding period in 2017. The increase was primarily attributable to an increase in interest income earned on our short-term investments and an increase in our overall cash and cash equivalents position resulting from the common stock offering completed in July 2018.</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Interest income increased by $3.7 million during the nine months ended September 30, 2018 compared to the corresponding period in 2017. The increase was primarily attributable to an increase in interest income earned on our short-term investments and an increase in our overall cash and cash equivalents position resulting from the common stock offering completed in July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remain relatively flat for the three and nine months ended September 30, 2018 compared to the corresponding period in 2017.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auto"/>
            </w:tcBorders>
          </w:tcPr>
          <w:p>
            <w:pPr>
              <w:jc w:val="center"/>
              <w:ind w:left="404"/>
              <w:spacing w:after="0" w:line="155"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center"/>
              <w:ind w:left="304"/>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jc w:val="right"/>
              <w:ind w:right="224"/>
              <w:spacing w:after="0" w:line="155"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right"/>
              <w:ind w:right="304"/>
              <w:spacing w:after="0" w:line="155"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2,502</w:t>
            </w:r>
          </w:p>
        </w:tc>
        <w:tc>
          <w:tcPr>
            <w:tcW w:w="840" w:type="dxa"/>
            <w:vAlign w:val="bottom"/>
            <w:shd w:val="clear" w:color="auto" w:fill="CFF0FC"/>
          </w:tcPr>
          <w:p>
            <w:pPr>
              <w:jc w:val="right"/>
              <w:ind w:right="464"/>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(19)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5,391</w:t>
            </w:r>
          </w:p>
        </w:tc>
        <w:tc>
          <w:tcPr>
            <w:tcW w:w="900" w:type="dxa"/>
            <w:vAlign w:val="bottom"/>
            <w:shd w:val="clear" w:color="auto" w:fill="CFF0FC"/>
          </w:tcPr>
          <w:p>
            <w:pPr>
              <w:jc w:val="right"/>
              <w:ind w:right="544"/>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5,384</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Provision for income taxes increased by $2.5 million during the three months ended September 30, 2018 compared to the corresponding period in 2017. The income tax expense was generated as a result of a timing difference in the recognition of revenue under tax and U.S. GAAP requirements, primarily related to the upfront payments received pursuant to the BMS Amendment entered into in March 2017 and the Amgen Agreement entered into in September 2017. This timing difference will be recognized as revenue for tax purposes in 2018, which will generate taxable income and therefore, tax expense.</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Provision for income taxes increased by $5.4 million during the nine months ended September 30, 2018 compared to the corresponding period in 2017. The income tax expense was generated as a result of a timing difference in the recognition of revenue under tax and U.S. GAAP requirements, primarily related to the upfront payments received pursuant to the BMS Amendment entered into in March 2017 and the Amgen Agreement entered into in September 2017. This timing difference will be recognized as revenue for tax purposes in 2018, which will generate taxable income and therefore, tax expense.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of September 30, 2018, we had cash, cash equivalents and short-term investments of $464.6 million and an accumulated deficit of $282.7 million, compared to cash and cash equivalents of $374.1 million and an accumulated deficit of $219.5 million as of December 31, 2017. To date, we have financed our operations primarily through sales of our common stock in conjunction with the IPO and a subsequent stock offering, sales of our convertible preferred securities prior to our IPO and payments received under our collaboration agreements. In July 2018, we issued 5,867,347 shares of our common stock at a price of $24.50 per share, which included 765,306 shares issued pursuant to the underwriters’ exercise of their option to purchase additional shares of common stock, for net proceeds of $134.6 million.</w:t>
      </w:r>
    </w:p>
    <w:p>
      <w:pPr>
        <w:spacing w:after="0" w:line="23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Based upon our current operating plan, we expect our existing capital resources will be sufficient to fund operations for at least the next 12 months. However, if the anticipated operating results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CX-2029 and CX-188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a more promising product candidate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left="419"/>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3"/>
                <w:szCs w:val="13"/>
                <w:color w:val="auto"/>
              </w:rPr>
            </w:pPr>
          </w:p>
        </w:tc>
      </w:tr>
      <w:tr>
        <w:trPr>
          <w:trHeight w:val="156"/>
        </w:trPr>
        <w:tc>
          <w:tcPr>
            <w:tcW w:w="45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4"/>
          </w:tcPr>
          <w:p>
            <w:pPr>
              <w:jc w:val="center"/>
              <w:ind w:left="399"/>
              <w:spacing w:after="0" w:line="155" w:lineRule="exact"/>
              <w:rPr>
                <w:sz w:val="20"/>
                <w:szCs w:val="20"/>
                <w:color w:val="auto"/>
              </w:rPr>
            </w:pPr>
            <w:r>
              <w:rPr>
                <w:rFonts w:ascii="Arial" w:cs="Arial" w:eastAsia="Arial" w:hAnsi="Arial"/>
                <w:sz w:val="14"/>
                <w:szCs w:val="14"/>
                <w:b w:val="1"/>
                <w:bCs w:val="1"/>
                <w:i w:val="1"/>
                <w:iCs w:val="1"/>
                <w:color w:val="auto"/>
                <w:w w:val="89"/>
              </w:rPr>
              <w:t>(in thousands)</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1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(46,779)</w:t>
            </w:r>
          </w:p>
        </w:tc>
        <w:tc>
          <w:tcPr>
            <w:tcW w:w="38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148,371</w:t>
            </w:r>
          </w:p>
        </w:tc>
        <w:tc>
          <w:tcPr>
            <w:tcW w:w="6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(9,916)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28,492</w:t>
            </w:r>
          </w:p>
        </w:tc>
        <w:tc>
          <w:tcPr>
            <w:tcW w:w="60" w:type="dxa"/>
            <w:vAlign w:val="bottom"/>
          </w:tcPr>
          <w:p>
            <w:pPr>
              <w:spacing w:after="0"/>
              <w:rPr>
                <w:sz w:val="19"/>
                <w:szCs w:val="19"/>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60" w:type="dxa"/>
            <w:vAlign w:val="bottom"/>
            <w:shd w:val="clear" w:color="auto" w:fill="CFF0FC"/>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179,580</w:t>
            </w:r>
          </w:p>
        </w:tc>
        <w:tc>
          <w:tcPr>
            <w:tcW w:w="6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nine months ended September 30, 2018, cash used in operating activities was $46.8 million, which consisted of a net loss of $52.4 million, adjusted by non-cash charges of $12.5 million and a net decrease of $6.9 million in our operating assets and liabilities. The non-cash charges primarily consisted of $12.3 million in stock-based compensation and $1.4 million in depreciation and amortization, partially offset by $1.1 million in accretion of discounts on our short-term investments. The change in our operating assets and liabilities was primarily attributable to a net decrease in deferred revenue of $26.8 million resulting from the recognition of $47.8 million in upfront fees and milestone payments under ASC 606 pursuant to our collaboration agreements, offset by the $21.0 million (net of the payment of an associated sublicense fee of $4.0 million to SGEN) of adjustment to deferred revenue resulting from the AbbVie CD71 milestone payment earned and a decrease of $3.5 million in prepaid expenses and other current assets. These decreases were partially offset by an increase in cash flows from accounts receivable of $10.1 million resulting primarily from the $10.0 million we received from BMS for the IND filing of BMS-986249, an increase of $10.6 million in accrued liabilities, income tax payable and other long-term liabilities resulting primarily from a $5.0 million increase in income tax payable, a $2.9 million in accrued liabilities driven by increases in lab services and UCSB sublicense fee accrual and a $2.0 million in accrued CRO expenses relating to clinical trial activities; and an increase in accounts payable of $2.8 million.</w:t>
      </w: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nine months ended September 30, 2017, cash provided by operating activities was $148.4 million, which consisted of a net loss of $43.7 million, adjusted by non-cash charges of $20.9 million and a net increase of $171.2 million in our operating assets and liabilities. The non-cash charges primarily consisted of $8.5 million in stock-based compensation, $10.7 million in non-cash acquisition of in-process research and development expense, $1.2 million in depreciation and amortization and $0.4 million in amortization premiums on our short-term investments. The change in our operating assets and liabilities was primarily attributable to an increase of $169.6 million in deferred revenue, which was primarily due to a $200.0 million upfront payment from BMS in connection with the BMS Amendment entered into in March 2017, partially offset by the recognition of upfront fees of $23.9 million under certain of our collaboration agreements and $6.5 million in recognized revenue from our delivery of a Development and Commercialization License to ImmunoGen in connection with our collaboration agreement; an increase in accrued liabilities of $4.1 million due primarily to the accrual of the $1.2 million of sublicense fee payable to UCSB, $2.2 million increase in clinical expense accrual, and a $1.2 million increase in long-term accrued liabilities resulting from deferred rent recorded on the new headquarter office; and an increase of $2.1 million in accounts receivable. These increases were partially offset by an increase of $1.0 million in prepaid expenses and other current assets, and a decrease of $3.5 million in accounts payable.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nine months ended September 30, 2018, cash used in investing activities was $9.9 million, which consisted of $161.7 million used in purchases of short-term investments and $2.7 million of capital expenditures used to purchase property and equipment. Such decreases were offset by $154.5 million in proceeds received upon the maturity of marketable securities.</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nine months ended September 30, 2017, cash provided by investing activities was $28.5 million, which consisted of $84.0 million in proceeds received upon the maturity of marketable securities. Such increase was offset by $54.2 million used in the purchase of short-term investments and $1.3 million of capital expenditures used to purchase property and equipment.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During the nine months ended September 30, 2018, cash provided by financing activities primarily consisted of proceeds from our common stock public offering of $134.6 million (net of underwriting discounts and stock issuance costs of $9.2 million) and proceeds from the exercise of stock options and employee stock purchases under the employee stock purchase plan of $4.3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ind w:right="620"/>
        <w:spacing w:after="0" w:line="277" w:lineRule="auto"/>
        <w:rPr>
          <w:sz w:val="20"/>
          <w:szCs w:val="20"/>
          <w:color w:val="auto"/>
        </w:rPr>
      </w:pPr>
      <w:r>
        <w:rPr>
          <w:rFonts w:ascii="Arial" w:cs="Arial" w:eastAsia="Arial" w:hAnsi="Arial"/>
          <w:sz w:val="18"/>
          <w:szCs w:val="18"/>
          <w:color w:val="auto"/>
        </w:rPr>
        <w:t>During the nine months ended September 30, 2017, cash provided by financing activities consisted of proceeds from the exercise of stock options and employee stock purchases under the employee stock purchase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were no material changes in contractual obligations from the amounts disclosed in our Annual Report on Form 10-K for the year ended December 31, 2017. Refer to our Annual Report on Form 10-K for the year ended December 31, 2017 filed with the SEC on March 7, 2018 and amended on March 14,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We also rely on other exemptions provided by the JOBS Act, including without limitation, providing an auditor’s attestation report on our system of internal controls over financial reporting pursuant to Section 404(b) of the Sarbanes-Oxley Act. Based on our public float at June 30, 2018, we will cease to be an emerging growth company at December 31, 2018 and, accordingly, we will be required to comply with the auditor attestation requirements of Section 404 to include an opinion from our independent registered public accounting firm on the effectiveness of our internal controls over financial reporting for our 2018 Annual Report on Form 10-K.</w:t>
      </w:r>
    </w:p>
    <w:p>
      <w:pPr>
        <w:spacing w:after="0" w:line="30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 risks. We had cash, cash equivalents and short-term investments of $464.6 million as of September 30, 2018 and cash, cash equivalents and short-term investments of $374.1 million as of December 31, 2017, which consists of bank deposits, money market funds and U.S. government bonds. Such interest-bearing instruments carry a degree of interest rate risk; however, historical fluctuations of interest income have not been significant. Our market risks have not changed materially from those disclosed in Item 7A of our Annual Report on Form 10-K for the year ended December 31, 2017.</w:t>
      </w:r>
    </w:p>
    <w:p>
      <w:pPr>
        <w:spacing w:after="0" w:line="21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September 30, 2018, a hypothetical 100 basis point change in interest rates would not have material effect in the fair value of the portfolio. Any changes would only be realized if we sold the investments prior to maturity.</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spacing w:after="0" w:line="276" w:lineRule="auto"/>
        <w:rPr>
          <w:sz w:val="20"/>
          <w:szCs w:val="20"/>
          <w:color w:val="auto"/>
        </w:rPr>
      </w:pPr>
      <w:r>
        <w:rPr>
          <w:rFonts w:ascii="Arial" w:cs="Arial" w:eastAsia="Arial" w:hAnsi="Arial"/>
          <w:sz w:val="17"/>
          <w:szCs w:val="17"/>
          <w:color w:val="auto"/>
        </w:rPr>
        <w:t xml:space="preserve">Our management, with the participation of our Chief Executive Officer and Chief Financial Officer, has evaluated the effectiveness of our disclosure controls and procedures as of September 30, 2018, the end of the period covered by this Quarterly Report on Form 10-Q. Management’s assessment of internal control over financial reporting was conducted using the criteria defined in the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13a-15(f) and 15d-15(f) under the Exchange Act) that occurred during our most recent fiscal quarter that has materially affected, or is reasonably likely to materially affect, our internal control over financial reporting.</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September 30, 2018 and December 31, 2017, we had an accumulated deficit of $282.7 million and $219.5 million, respectively. Substantially all of our losses have resulted from expenses incurred in connection with our research and development programs and from general and administrative costs associated with our operations.</w:t>
      </w:r>
    </w:p>
    <w:p>
      <w:pPr>
        <w:spacing w:after="0" w:line="21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continue to enroll patients in our ongoing Phase 1/2 clinical trials of CX-072, our candidate directed against PD-L1, CX-2009, our PDC candidate directed against CD-166, CX-2029, and our PDC candidate directed against CD71 in collaboration with AbbVie Inc., as we prepare for and begin clinical trials for CX-188, our wholly owned PD-1-targeting Probody therapeutic and as we advance into later trials and new trials for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5" w:name="page36"/>
    <w:bookmarkEnd w:id="35"/>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9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As of September 30, 2018, we had $464.6 million in cash, cash equivalents and short-term investments. We believe that our existing capital resources will be sufficient to fund our planned operations for at least the next 12 months.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continue to enroll patients in our ongoing Phase 1/2 clinical trials of CX-072, CX-2009, and CX-2029, as we prepare for and begin clinical trials for CX-188 and as we advance into later trials and new trials for other programs.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1040" w:right="5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following regulatory approval and commercial launch of any product candidates.</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Amgen in September 2017.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36" w:name="page37"/>
    <w:bookmarkEnd w:id="36"/>
    <w:p>
      <w:pPr>
        <w:ind w:right="260"/>
        <w:spacing w:after="0" w:line="297" w:lineRule="auto"/>
        <w:rPr>
          <w:sz w:val="20"/>
          <w:szCs w:val="20"/>
          <w:color w:val="auto"/>
        </w:rPr>
      </w:pPr>
      <w:r>
        <w:rPr>
          <w:rFonts w:ascii="Arial" w:cs="Arial" w:eastAsia="Arial" w:hAnsi="Arial"/>
          <w:sz w:val="16"/>
          <w:szCs w:val="16"/>
          <w:color w:val="auto"/>
        </w:rPr>
        <w:t>economic and other factors, many of which are beyond our control.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is the case with all oncology drugs, our product candidates in clinical development or preclinical development have a high risk of failure. We commenced enrollment of our Phase 1/2 clinical trial of CX-072, our candidate directed against PD-L1, for cancer and treated our first patient in January 2017. We also initiated our Phase 1/2 clinical trial of CX-2009, our PDC candidate directed against CD-166, for cancer in June 2017 and our Phase 1/2 clinical trial of CX-2029, our PDC candidate directed against CD71 in collaboration with AbbVie, for cancer and treated our first patient in June 2018. In addition, Bristol-Myers Squibb Company (“BMS”) commenced enrollment of a Phase 1/2 clinical trial for BMS-986249, a Probody therapeutic directed against CTLA-4, in 2018.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and BMS-986249 is subject to finalizing the trial design and filing an IND or similar filing with the FDA or similar foreign regulatory authority. We recently filed an IND application for CX-188, our wholly owned PD-1-targeting Probody therapeutic; however, the clearance of such IND and the initiation of clinical enrollment is subject to the satisfaction of certain conditions.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 expensive and can take many years to complete, and its outcome is inherently uncertain. Failure can occur at any time during the development process.</w:t>
      </w:r>
    </w:p>
    <w:p>
      <w:pPr>
        <w:spacing w:after="0" w:line="22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Further, we or our collaborators may also experience delays in completing ongoing clinical trials, completing preclinical studies or initiating further clinical trials of our product candidates.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be delayed for a variety of reasons, including delays related to:</w:t>
      </w:r>
    </w:p>
    <w:p>
      <w:pPr>
        <w:spacing w:after="0" w:line="50" w:lineRule="exact"/>
        <w:rPr>
          <w:sz w:val="20"/>
          <w:szCs w:val="20"/>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37" w:name="page38"/>
    <w:bookmarkEnd w:id="37"/>
    <w:p>
      <w:pPr>
        <w:jc w:val="both"/>
        <w:ind w:right="20"/>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32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very early in our development efforts, with only three product candidates, CX-072, CX-2009 and CX-2029, currently in early stage clinical development. In addition, BMS is currently evaluating BMS-986249, a CTLA-4-directed Probody therapeutic in a Phase 1/2 clinical trial that it initiated in January 2018. We filed an IND on CX-188 in October 2018, but have not initiated patient enrollment in the clinical trial yet.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205"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1040" w:right="10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5" w:lineRule="exact"/>
        <w:rPr>
          <w:rFonts w:ascii="Arial" w:cs="Arial" w:eastAsia="Arial" w:hAnsi="Arial"/>
          <w:sz w:val="16"/>
          <w:szCs w:val="16"/>
          <w:color w:val="auto"/>
        </w:rPr>
      </w:pPr>
    </w:p>
    <w:p>
      <w:pPr>
        <w:ind w:left="1040" w:right="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imposed by the United States Food and Drug Administration (“FDA”) or comparable foreign authorities regarding the scope or design of our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clinical trials or the clinical trials of our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could find that the therapeutics we or our collaborators pursue are not safe or efficacious or that the safety.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contract research organizations (“CROs”) and clinical trial sites to ensure proper and timely conduct of our clinical trials and while we expect to enter into agreements governing their committed activities, we have limited influence over their actual performance.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8" w:name="page39"/>
    <w:bookmarkEnd w:id="38"/>
    <w:p>
      <w:pPr>
        <w:ind w:right="20"/>
        <w:spacing w:after="0" w:line="254" w:lineRule="auto"/>
        <w:rPr>
          <w:sz w:val="20"/>
          <w:szCs w:val="20"/>
          <w:color w:val="auto"/>
        </w:rPr>
      </w:pPr>
      <w:r>
        <w:rPr>
          <w:rFonts w:ascii="Arial" w:cs="Arial" w:eastAsia="Arial" w:hAnsi="Arial"/>
          <w:sz w:val="18"/>
          <w:szCs w:val="18"/>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32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CX-2029 and CX-</w:t>
      </w:r>
    </w:p>
    <w:p>
      <w:pPr>
        <w:spacing w:after="0" w:line="285" w:lineRule="auto"/>
        <w:rPr>
          <w:sz w:val="20"/>
          <w:szCs w:val="20"/>
          <w:color w:val="auto"/>
        </w:rPr>
      </w:pPr>
      <w:r>
        <w:rPr>
          <w:rFonts w:ascii="Arial" w:cs="Arial" w:eastAsia="Arial" w:hAnsi="Arial"/>
          <w:sz w:val="16"/>
          <w:szCs w:val="16"/>
          <w:color w:val="auto"/>
        </w:rPr>
        <w:t>188). For example, we announced clinical data regarding CX-072 from our PROCLAIM-CX-072 clinical trial on June 4, 2018 at the 2018 Annual Meeting of the American Society of Clinical Oncology in Chicago, Illinois. While CX-072 has generally been well tolerated to date, there can be no guaranty that unexpected adverse events will not occur later in this trial or in other trials involving our product candidates or the product candidates of our collaborators. The data described at ASCO show that the administration of monotherapy CX-072 was well tolerated with the majority of treatment-related adverse events (“TRAEs”) as Grade 1/2. However, Grade 3/4 TRAEs were reported in two patients (neutropenia and thrombocytopenia in a patient with thymic cancer (3 mg/kg) and transaminase elevation in a patient with breast cancer (30 mg/kg)) but both events were successfully managed with therapeutic intervention including steroids and discontinuation of CX-072. In addition, the results showed that the administration of CX-072 in combination with ipilimumab was well tolerated with the majority of TRAEs as Grade 1/2. Of the 16 treated patients, five (31%) reported a Grade 3/4 TRAE, a rate similar to that reported previously for 3 mg/kg ipilimumab monotherapy. These events included: Grade 3 colitis (n=1), Grade 3 dyspnea/pneumonitis (n=1), Grade 3 headache/Grade 3 hyponatremia (n=1), and Grade 3 amylase/Grade 4 lipase (n=1). A Grade 3 TRAE in one patient was designated as non-treatment related post data cutoff. A dose limiting toxicity of Grade 3 dyspnea was reported in one patient. On October 22, 2018, we presented follow-up data at the 2018 Annual Meeting of the European Society of Medical Oncology in Munich, Germany. In this presentation, we also disclosed initial data on immune related adverse events (irAE) and infusion related reactions (IRR). Of the 46 patients treated, 3 (7%) developed Grade 3/4 irAEs and 2 (4%) developed Grade 3/4 IRRs. Of the 20 patients treated in the combination with ipilimumab, 2 (10%) developed Grade 3/4 irAEs and 0 (0%) developed Grade 3/4 IRRs.</w:t>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results of our future clinical trials or the clinical trials of our collaborators could reveal a high and unacceptable severity of adverse side effects and it is possible that patients enrolled in such clinical trials could respond in unexpected ways. For instance, our Phase 1/2 clinical trial of CX-072 is being conducted in patients with advanced cancers, including metastatic or locally advanced unresectable solid tumors or lymphomas, who have failed other approved therapies for their disease, and as such, it may be difficult to establish safety and efficacy in this type of patient population. In addition, certain arms of our clinical trial of CX-072 enroll patients with tumor types that are not known to be responsive to PD-L1 agents and therefore may be less likely to show effectiveness. Because certain PD-1 and PD-L1 agents are already approved for the treatment of some tumor types, we cannot test CX-072 on those tumor types and will not be able to obtain clinical information about how CX-072 acts in these tumors. Comparing safety and efficacy of CX-072 against other PD-L1 or PD-1 antibodies (either in development or in the market) may be difficult since our Phase 1/2 study is enrolling a different patient population than other studies. Furthermore, a portion of our Phase 1/2 clinical trial of CX-072 includes the administration of CX-072 in combination with Yervoy (ipilimumab) or Zelboraf (vemurafenib), which could exacerbate immune system related adverse events, cause increased toxicity or otherwise lead to unexpected adverse events. The Phase 1/2 clinical trial of BMS-986249 being conducted by BMS includes the administration of the product candidate at relatively high dosage levels, which could further exacerbate such risks. In our Phase 1/2 clinical trials of CX-2009 and CX-2029, we are targeting CD-166 and CD71, respectively, targets that are broadly expressed on normal tissue, which could create unacceptable toxicity or fail to result in anti-tumor activity. For instance, CD71, which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20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event that our clinical trials or the clinical trials of our collaborators reveal these or other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39" w:name="page40"/>
    <w:bookmarkEnd w:id="39"/>
    <w:p>
      <w:pPr>
        <w:ind w:right="320"/>
        <w:spacing w:after="0" w:line="264" w:lineRule="auto"/>
        <w:rPr>
          <w:sz w:val="20"/>
          <w:szCs w:val="20"/>
          <w:color w:val="auto"/>
        </w:rPr>
      </w:pPr>
      <w:r>
        <w:rPr>
          <w:rFonts w:ascii="Arial" w:cs="Arial" w:eastAsia="Arial" w:hAnsi="Arial"/>
          <w:sz w:val="18"/>
          <w:szCs w:val="18"/>
          <w:color w:val="auto"/>
        </w:rPr>
        <w:t>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3" w:lineRule="exact"/>
        <w:rPr>
          <w:sz w:val="20"/>
          <w:szCs w:val="20"/>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In addition, adverse side effects caused by any drugs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208"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89" w:lineRule="exact"/>
        <w:rPr>
          <w:sz w:val="20"/>
          <w:szCs w:val="20"/>
          <w:color w:val="auto"/>
        </w:rPr>
      </w:pPr>
    </w:p>
    <w:p>
      <w:pPr>
        <w:jc w:val="both"/>
        <w:ind w:right="36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40" w:name="page41"/>
    <w:bookmarkEnd w:id="40"/>
    <w:p>
      <w:pPr>
        <w:spacing w:after="0" w:line="285" w:lineRule="auto"/>
        <w:rPr>
          <w:sz w:val="20"/>
          <w:szCs w:val="20"/>
          <w:color w:val="auto"/>
        </w:rPr>
      </w:pPr>
      <w:r>
        <w:rPr>
          <w:rFonts w:ascii="Arial" w:cs="Arial" w:eastAsia="Arial" w:hAnsi="Arial"/>
          <w:sz w:val="16"/>
          <w:szCs w:val="16"/>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For example, in our Phase 1/2 clinical trial of CX-072, which is directed against PD-L1, we are only permitted to enroll patients with cancer types for which there are no PD inhibitors available for sale. As there are currently several PD-1 and/or PD-L1 agents approved for a growing list of cancer types along with hundreds of clinical trials exploring the use of PD-1 and PD-L1 agents, there can be no assurance that patients will choose to enroll in our clinical trial. In addition, any arms of our Phase 1/2 clinical trial of CX-072 for indications with small population sizes could be particularly difficult to enroll. Enrollment of the CX-188 clinical trial will have similar enrollment considerations. Furthermore, the part of our Phase 1/2 clinical trial of CX-072 in which patients are treated with the combination of CX-072 and vemurafenib can only enroll those patients who do not have access to MEK inhibitors because the emerging standard of care in jurisdictions where MEK inhibitors are available in combination with a BRAF inhibitor (such as vemurafenib), which may have an impact on enrollment in this part of the trial. Our Phase 1/2 clinical trial of CX-2009 studies patients who have one of seven specific tumor types rather than patients suffering from any cancer, which may limit the rate of enrollment of the trial. As with the clinical trials of CX-072, our Phase 1/2 clinical trials of CX-2009 and CX-2029 are also competing with hundreds of clinical trials with alternative anti-cancer drugs in a similar class (e.g. antibody drug conjugates), and certain arms of the clinical trial may be difficult to enroll due to the emerging standard of care for such indications in certain jurisdictions, including the United States. Any clinical trials of our product candidates initiated by our collaborators, including BMS’ ongoing Phase 1/2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00" w:lineRule="exact"/>
        <w:rPr>
          <w:sz w:val="20"/>
          <w:szCs w:val="20"/>
          <w:color w:val="auto"/>
        </w:rPr>
      </w:pPr>
    </w:p>
    <w:p>
      <w:pPr>
        <w:spacing w:after="0" w:line="2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Phase 1/2 clinical trials for CX-072, CX-2009 and CX-2029.</w:t>
      </w:r>
    </w:p>
    <w:p>
      <w:pPr>
        <w:spacing w:after="0" w:line="185"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may ultimately discover that our Probody platform and any product candidates resulting from it do not possess certain properties required for therapeutic effectiveness or protection from toxicity. For example, when Probodies are administered to human subjects, protease levels in the tumor may not be sufficient and the peptide mask may not be cleaved, which would limit the potential efficacy of the antibody and reduce the potential to limit the toxicity of the anti-cancer agent. In addition, if the peptide mask is inappropriately released, for example, due to an inflammatory disease, it may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Probodies, that is, the precise manner and sequence in which they are activated and behave in vivo, is incomplete. Probodies are complex biological molecules and we are evaluating the performance of this new technology in cancer patients for the first time. Many specific elements of Probody therapeutic function may contribute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no direct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that inhibit the ability of the antibody to reach the target tissue, cause adverse side effects in humans or cause hypersensitivity reactions.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jc w:val="both"/>
        <w:ind w:right="180"/>
        <w:spacing w:after="0" w:line="312"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in both healthy and diseased tissues is still developing. As a result, we cannot provide any assurance that we will be able to successfully identify and advance any product candidates to target novel, difficult to drug targets.</w:t>
      </w:r>
    </w:p>
    <w:p>
      <w:pPr>
        <w:spacing w:after="0" w:line="17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products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would have little, if any, value, which would have a material and adverse effect on our business, financial condition, results of operations and prospects.</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CX-188, and BMS-986249) for which there are existing approved therapies, such as approved agents targeting PD-L1, PD-1, or CTLA-4. Market acceptance of our product candidates will depend on, among other factors:</w:t>
      </w:r>
    </w:p>
    <w:p>
      <w:pPr>
        <w:spacing w:after="0" w:line="71"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2" w:name="page43"/>
    <w:bookmarkEnd w:id="42"/>
    <w:p>
      <w:pPr>
        <w:ind w:right="32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Since 2013, we have entered into collaborations with AbbVie, Amgen, BMS, ImmunoGen and Pfizer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1040" w:right="9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BMS, BMS-986249;</w:t>
      </w:r>
    </w:p>
    <w:p>
      <w:pPr>
        <w:spacing w:after="0" w:line="62" w:lineRule="exact"/>
        <w:rPr>
          <w:rFonts w:ascii="Arial" w:cs="Arial" w:eastAsia="Arial" w:hAnsi="Arial"/>
          <w:sz w:val="18"/>
          <w:szCs w:val="18"/>
          <w:color w:val="auto"/>
        </w:rPr>
      </w:pPr>
    </w:p>
    <w:p>
      <w:pPr>
        <w:jc w:val="both"/>
        <w:ind w:left="1040" w:hanging="519"/>
        <w:spacing w:after="0" w:line="286"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57"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have significant discretion in designing any clinical trials they operate pursuant to our collaboration agreements, including BMS’ ongoing Phase 1/2 clinical trial of BMS-986249, and may release data from such clinical trials, including with respect to our Probody therapeutics, without consulting us;</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3"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17"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1040" w:right="11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43" w:name="page44"/>
    <w:bookmarkEnd w:id="43"/>
    <w:p>
      <w:pPr>
        <w:ind w:right="20"/>
        <w:spacing w:after="0" w:line="259" w:lineRule="auto"/>
        <w:rPr>
          <w:sz w:val="20"/>
          <w:szCs w:val="20"/>
          <w:color w:val="auto"/>
        </w:rPr>
      </w:pPr>
      <w:r>
        <w:rPr>
          <w:rFonts w:ascii="Arial" w:cs="Arial" w:eastAsia="Arial" w:hAnsi="Arial"/>
          <w:sz w:val="18"/>
          <w:szCs w:val="18"/>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95"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Substantially all of our revenue to date has been derived from our existing collaboration agreements, including, most recently, the Amgen Agreement that we entered into with Amgen in September 2017,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we are unable to successfully advance the development of our product candidates or achieve milestones, revenue and cash resources from milestone payments under our collaboration agreements will be substantially less than expected.</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Any of the foregoing could result in a change to our business plan and have a material adverse effect on our business, financial condition, results of operations and prospects. If a collaboration is terminated, we would not be eligible to receive the milestone, royalty or other payments that would have been payable under the collaboration agreement.</w:t>
      </w:r>
    </w:p>
    <w:p>
      <w:pPr>
        <w:spacing w:after="0" w:line="2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70"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3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ind w:right="200"/>
        <w:spacing w:after="0" w:line="375"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commencing operations, we have entered into several collaboration agreements, including, most recently, the Amgen Agreement that we entered into with Amgen in September 2017.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7"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3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2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Because we rely on third-party manufacturing and supply partners, our supply of research and development, preclinical and clinical development materials may become limited or interrupted or may not be of satisfactory quantity or quality.</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rely on third-party contract manufacturers to manufacture our clinical trial and preclinical study product supplies. For certain products, such as CX-2009 and CX-2029, our manufacturing supply chain includes several contract manufacturers, and failure by any of these manufacturers could result in interruptions of our clinical studies. We do not own manufacturing facilities for producing such supplies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are dependent on ImmunoGen under our collaboration for certain steps in the manufacturing of clinical quantities of CX-2009. However, contract manufacturing is not ImmunoGen’s primary business and ImmunoGen may not have sufficient resources to commit to manufacturing for third parties. In February 2018, ImmunoGen announced the closure of their clinical manufacturing facility in Norwood, MA at the end of 2018. This site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To date, the manufacturing transfer process is still ongoing and has not yet been completed. However, there can be no assurances that we will not experience a disruption to the supply of CX-2009 in connection with such transfer or that the transfer will be successful.</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 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81"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Phase 1/2 clinical trials for CX-072, CX-2009, CX-2029 and CX-188, we will need to manufacture them in large quantities. We, or any manufacturing partners, may be unable to successfully increase the manufacturing capacity for any of our product candidates in a timely or cost-effective manner, or at all, although to date we have been able to successfully manufacture clinical quantities of CX-072, CX-2009, CX-2029 and CX-188. In particular, we are dependent on ImmunoGen under our collaboration for certain steps in the manufacturing of clinical quantities of CX-2009. However, contract manufacturing is not ImmunoGen’s primary business and ImmunoGen may not have sufficient resources to commit to manufacturing for third parties. In addition, quality issues may arise during scale-up activities. In February 2018, ImmunoGen announced the closure of their clinical manufacturing facility in Norwood, Massachusetts at the end of 2018, which provided clinical manufacturing support for the CX-2009 program. We have initiated the transfer of the drug substance manufacturing process from ImmunoGen to a contract manufacturer, where we have an existing relationship and with expertise in the manufacture of antibody drug conjugates at a clinical and commercial scale. However, there can be no assurances that we will not experience a disruption to the supply of CX-2009 in connection with such transfer. To date, the manufacturing transfer process is still ongoing and has not yet been completed.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17"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380"/>
        <w:spacing w:after="0" w:line="342" w:lineRule="auto"/>
        <w:rPr>
          <w:sz w:val="20"/>
          <w:szCs w:val="20"/>
          <w:color w:val="auto"/>
        </w:rPr>
      </w:pPr>
      <w:r>
        <w:rPr>
          <w:rFonts w:ascii="Arial" w:cs="Arial" w:eastAsia="Arial" w:hAnsi="Arial"/>
          <w:sz w:val="16"/>
          <w:szCs w:val="16"/>
          <w:color w:val="auto"/>
        </w:rPr>
        <w:t>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2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 We may encounter unexpected difficulties, or incur unexpected costs, in connection with transition activities and integration efforts, which include:</w:t>
      </w:r>
    </w:p>
    <w:p>
      <w:pPr>
        <w:spacing w:after="0" w:line="16"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including CX-072, CX-2009, CX-2029 and CX-188.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will need to grow our organization substantially to continue development and pursue the potential commercialization of CX-072, CX-2009, CX-2029, CX-188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8" w:name="page49"/>
    <w:bookmarkEnd w:id="48"/>
    <w:p>
      <w:pPr>
        <w:ind w:right="40"/>
        <w:spacing w:after="0" w:line="342" w:lineRule="auto"/>
        <w:rPr>
          <w:sz w:val="20"/>
          <w:szCs w:val="20"/>
          <w:color w:val="auto"/>
        </w:rPr>
      </w:pPr>
      <w:r>
        <w:rPr>
          <w:rFonts w:ascii="Arial" w:cs="Arial" w:eastAsia="Arial" w:hAnsi="Arial"/>
          <w:sz w:val="16"/>
          <w:szCs w:val="16"/>
          <w:color w:val="auto"/>
        </w:rPr>
        <w:t>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3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3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For instance,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CX-072, CX-2009, CX-2029 and CX-188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face substantial competition from pharmaceutical companies developing products in immuno-oncology, including companies, such as Amgen, AstraZeneca PLC, BMS, Celgene, GlaxoSmithKline plc, Merck &amp; Co., Inc. Novartis AG, Pfizer, Roche Holding Ltd. and Sanofi SA. Many large and mid-sized biotech companies, including BeiGene, Incyte, TESARO, Inc., Nektar, and Alkermes have ongoing efforts in cancer immunotherapy. Finally, numerous small companies are also working in the space. Several companies, including Akriveia, Amgen, Amunix, BioAtla, Halozyme, Maverick Therapeutics, Revitope, Roche, and Seattle Genetics are exploring antibody masking and/or conditional activation strategies, which could compete with our Probody Platform. We are also aware of several companies that are developing ADCs, such as Abbvie, Immunomedics, Pfizer, Roche Holding Ltd. and Taekda. In addition, two mid-sized companies, ImmunoGen and Seattle Genetics, Inc. are also leaders in the development of ADCs and we are aware of numerous small companies with ongoing efforts in this field. Furthermore, several large pharmaceutical companies, including Amgen, Novartis AG and Roche Holding Ltd., are developing T-cell 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8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president and chief executive officer, W. Michael Kavanaugh, M.D., our chief scientific officer and Rachel W. Humphrey, M.D., our chief medical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exposed to significant product liability risks inherent in the development, testing, manufacturing and marketing of therapeutic treatments, including as a result of the clinical testing of CX-072, CX-2009, CX-2029, CX-188 and BMS-986249 and any other product candidates we or our collaborators may conduct clinical trials for.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9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1" w:name="page52"/>
    <w:bookmarkEnd w:id="51"/>
    <w:p>
      <w:pPr>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we may utilize, may fail or suffer security breaches, which could result in a material disruption of our product development programs.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we may utilize,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 studies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product candidates could be delayed.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including as the result of cybersecurity incidents that could disrupt our operations. A significant disruption in the availability of our information technology and other internal infrastructure systems could cause interruptions and delays in our research and development work.</w:t>
      </w:r>
    </w:p>
    <w:p>
      <w:pPr>
        <w:spacing w:after="0" w:line="29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Cybersecurity breaches could expose us to liability, damage our reputation, compromise our confidential information or otherwise adversely affect our business.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sensitive company data on our computer networks, including our intellectual property and proprietary business information. We face a number of threats to our networks from unauthorized access, security breaches and other system disruptions. Despite our security measures, our infrastructure may be vulnerable to attacks by hackers or other disruptive problems. Any such security breach may compromise information stored on our networks and may result in significant data losses or theft of our intellectual property or proprietary business information. A cybersecurity breach could adversely affect our reputation and could result in other negative consequences, including disruption of our internal operations, increased cyber security protection costs, lost revenues or litigation.</w:t>
      </w:r>
    </w:p>
    <w:p>
      <w:pPr>
        <w:spacing w:after="0" w:line="301"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2" w:name="page53"/>
    <w:bookmarkEnd w:id="52"/>
    <w:p>
      <w:pPr>
        <w:ind w:right="20"/>
        <w:spacing w:after="0" w:line="288" w:lineRule="auto"/>
        <w:rPr>
          <w:sz w:val="20"/>
          <w:szCs w:val="20"/>
          <w:color w:val="auto"/>
        </w:rPr>
      </w:pPr>
      <w:r>
        <w:rPr>
          <w:rFonts w:ascii="Arial" w:cs="Arial" w:eastAsia="Arial" w:hAnsi="Arial"/>
          <w:sz w:val="16"/>
          <w:szCs w:val="16"/>
          <w:color w:val="auto"/>
        </w:rPr>
        <w:t>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Securities and Exchange Commission.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In May 2014, the FASB issued Accounting Standards 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have evaluated the impact of ASU 2014-09 on our financial statements. Adoption of the standard had a significant impact on our financial statements and retroactively affected the accounting treatment of transactions completed before adoption. See “Note 2 – Basis of Presentation and Summary of Significant Accounting Policies” for additional discussion of the accounting changes and the impact of this accounting standard upon adoption.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 California has similar rules. We have performed an IRC Section 382 analysis and determined there was an ownership change in 2017. As a result, the federal and state carryforwards associated with the net operating loss and credit deferred tax assets were reduced by the amount of tax attributes estimated to expire during their respective carryforward periods. We may experience ownership changes in the future as a result of shifts in our stock ownership, some of which are outside our control. As of December 31, 2017, we had federal and state net operating loss carryforwards of approximately $105.6 million and $58.5 million, respectively, and our ability to utilize those net operating loss carryforwards could be limited by an “ownership change” as described above, which could result in increased tax liability to our company.</w:t>
      </w:r>
    </w:p>
    <w:p>
      <w:pPr>
        <w:spacing w:after="0" w:line="2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34%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more than 60 issued patents (8 of which are co-owned with a third party), and more than 245 pending patent applications (14 of which are co-owned with a third party) covering our Probody platforms and products as well as methods of use and production thereof; we have exclusively licensed UCSB’s interest in the patent family co-owned with UCSB (currently comprising 6 issued patents and 7 pending applications) that covers Probody and other pro-protein technology in the fields of therapeutics,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diagnostics and prophylactics. In addition, we have exclusively licensed a patent portfolio of three patent families from UCSB that includes 23 issued patents and eight pending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9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6"/>
          <w:szCs w:val="16"/>
          <w:i w:val="1"/>
          <w:iCs w:val="1"/>
          <w:color w:val="auto"/>
        </w:rPr>
        <w:t>Association for Molecular Pathology v. Myriad Genetics, Inc</w:t>
      </w:r>
      <w:r>
        <w:rPr>
          <w:rFonts w:ascii="Arial" w:cs="Arial" w:eastAsia="Arial" w:hAnsi="Arial"/>
          <w:sz w:val="16"/>
          <w:szCs w:val="16"/>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4" w:name="page55"/>
    <w:bookmarkEnd w:id="54"/>
    <w:p>
      <w:pPr>
        <w:spacing w:after="0" w:line="302" w:lineRule="auto"/>
        <w:rPr>
          <w:sz w:val="20"/>
          <w:szCs w:val="20"/>
          <w:color w:val="auto"/>
        </w:rPr>
      </w:pPr>
      <w:r>
        <w:rPr>
          <w:rFonts w:ascii="Arial" w:cs="Arial" w:eastAsia="Arial" w:hAnsi="Arial"/>
          <w:sz w:val="16"/>
          <w:szCs w:val="16"/>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46" w:lineRule="exact"/>
        <w:rPr>
          <w:sz w:val="20"/>
          <w:szCs w:val="20"/>
          <w:color w:val="auto"/>
        </w:rPr>
      </w:pPr>
    </w:p>
    <w:p>
      <w:pPr>
        <w:ind w:left="1040" w:right="36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7" w:lineRule="exact"/>
        <w:rPr>
          <w:rFonts w:ascii="Arial" w:cs="Arial" w:eastAsia="Arial" w:hAnsi="Arial"/>
          <w:sz w:val="18"/>
          <w:szCs w:val="18"/>
          <w:color w:val="auto"/>
        </w:rPr>
      </w:pPr>
    </w:p>
    <w:p>
      <w:pPr>
        <w:ind w:left="1040" w:right="7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1040" w:right="140" w:hanging="519"/>
        <w:spacing w:after="0" w:line="30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6"/>
          <w:szCs w:val="16"/>
          <w:i w:val="1"/>
          <w:iCs w:val="1"/>
          <w:color w:val="auto"/>
        </w:rPr>
        <w:t>inter alia</w:t>
      </w:r>
      <w:r>
        <w:rPr>
          <w:rFonts w:ascii="Arial" w:cs="Arial" w:eastAsia="Arial" w:hAnsi="Arial"/>
          <w:sz w:val="16"/>
          <w:szCs w:val="16"/>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8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6" w:name="page57"/>
    <w:bookmarkEnd w:id="56"/>
    <w:p>
      <w:pPr>
        <w:ind w:right="20"/>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spacing w:after="0" w:line="2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78"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and adverse effect on our ability to compete in the marketplace.</w:t>
      </w:r>
    </w:p>
    <w:p>
      <w:pPr>
        <w:spacing w:after="0" w:line="29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3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205" w:lineRule="exact"/>
        <w:rPr>
          <w:sz w:val="20"/>
          <w:szCs w:val="20"/>
          <w:color w:val="auto"/>
        </w:rPr>
      </w:pPr>
    </w:p>
    <w:p>
      <w:pPr>
        <w:jc w:val="both"/>
        <w:ind w:right="20"/>
        <w:spacing w:after="0" w:line="220" w:lineRule="exact"/>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6"/>
          <w:szCs w:val="16"/>
          <w:color w:val="auto"/>
        </w:rPr>
        <w:t>‑</w:t>
      </w:r>
      <w:r>
        <w:rPr>
          <w:rFonts w:ascii="Arial" w:cs="Arial" w:eastAsia="Arial" w:hAnsi="Arial"/>
          <w:sz w:val="16"/>
          <w:szCs w:val="16"/>
          <w:color w:val="auto"/>
        </w:rPr>
        <w:t>executing or may be breached, and we may be forced to bring claims against third parties, or defend claims they may bring against us, to determine the ownership of what we regard as our intellectual property.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301"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U.S. or foreign regulatory approval and, as a result, unable to commercialize our product candidates.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It is possible that none of the product candidates we may develop will obtain the regulatory approvals necessary for us or our existing or future collaborators to begin selling them.</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9" w:name="page60"/>
    <w:bookmarkEnd w:id="59"/>
    <w:p>
      <w:pPr>
        <w:ind w:right="60"/>
        <w:spacing w:after="0" w:line="269" w:lineRule="auto"/>
        <w:rPr>
          <w:sz w:val="20"/>
          <w:szCs w:val="20"/>
          <w:color w:val="auto"/>
        </w:rPr>
      </w:pPr>
      <w:r>
        <w:rPr>
          <w:rFonts w:ascii="Arial" w:cs="Arial" w:eastAsia="Arial" w:hAnsi="Arial"/>
          <w:sz w:val="17"/>
          <w:szCs w:val="17"/>
          <w:color w:val="auto"/>
        </w:rPr>
        <w:t>Because the product candidates we are developing may represent a new class of therapeutic biologics, the FDA and its foreign counterparts have not yet established any definitive policies, practices or guidelines in relation to these product candidates. While we believe the product candidates that we are currently developing are regulated as therapeutic biologics that are subject to requirements for review and approval of a BLA by the FDA’s Center for Drug Evaluation and Research (“CDER”), the FDA could decide to regulate them as drugs that are subject to requirements for review and approval of an NDA by CDER or as biological products that are subject to requirements for review and approval of a BLA by the FDA’s Center for Biologics Evaluation and Research (“CBER”). The lack of policies, practices or guidelines may hinder or slow review by the FDA of any regulatory filings that we may submit. Moreover, the FDA may respond to these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risk evaluation and mitigation strategies (“REMS”) plan as part of an NDA or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4" w:lineRule="exact"/>
        <w:rPr>
          <w:sz w:val="20"/>
          <w:szCs w:val="20"/>
          <w:color w:val="auto"/>
        </w:rPr>
      </w:pPr>
    </w:p>
    <w:p>
      <w:pPr>
        <w:ind w:left="1040" w:right="28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0" w:name="page61"/>
    <w:bookmarkEnd w:id="60"/>
    <w:p>
      <w:pPr>
        <w:ind w:right="180"/>
        <w:spacing w:after="0" w:line="297"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biologics and to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will be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Since its enactment, there have been judicial and Congressional challenges to certain aspects of the ACA, and we expect there will be additional challenges and amendments to the ACA in the future. The current Presidential Administration and U.S. Congress will likely continue to seek to modify, repeal, or otherwise invalidate all, or certain provisions of, the ACA. Since taking office, President Trump has continued to support the repeal of all or portions of the ACA. On October 12, 2017, President Trump issued an executive order that expands the use of association health plans and allows anyone to purchase short-term health plans that provide temporary, limited insurance. This executive order also calls for the halt of federal payments to health insurers for cost-sharing reductions previously available to lower-income Americans to afford coverage. There is still uncertainty with respect to the impact this executive order could have on coverage and reimbursement for healthcare items and services covered by plans that were authorized by the ACA. In addition, the Tax Cuts and Jobs Act was enacted, which, among other things, removes penalties for not complying with the Affordable Care Act’s individual mandate to carry health insurance. On January 22, 2018, President Trump signed a continuing resolution on appropriations for fiscal year 2018 that delayed the implementation of certain mandated fees under the Affordable Care Act, including the so-called “Cadillac” tax on certain high cost employer-sponsored insurance plans, the annual fee imposed on certain health insurance providers based on market share, and the medical device excise tax on non-exempt medical devices. Congress may consider other legislation to repeal or replace other elements of the Affordable Care Act. It is uncertain the extent to which any such changes may impact our business or financial condition.</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1" w:name="page62"/>
    <w:bookmarkEnd w:id="61"/>
    <w:p>
      <w:pPr>
        <w:spacing w:after="0" w:line="269" w:lineRule="auto"/>
        <w:rPr>
          <w:sz w:val="20"/>
          <w:szCs w:val="20"/>
          <w:color w:val="auto"/>
        </w:rPr>
      </w:pPr>
      <w:r>
        <w:rPr>
          <w:rFonts w:ascii="Arial" w:cs="Arial" w:eastAsia="Arial" w:hAnsi="Arial"/>
          <w:sz w:val="17"/>
          <w:szCs w:val="17"/>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and, beginning in 2018, CMS will pay for clinical laboratory services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288"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1" w:lineRule="exact"/>
        <w:rPr>
          <w:sz w:val="20"/>
          <w:szCs w:val="20"/>
          <w:color w:val="auto"/>
        </w:rPr>
      </w:pPr>
    </w:p>
    <w:p>
      <w:pPr>
        <w:ind w:left="1040" w:right="80" w:hanging="519"/>
        <w:spacing w:after="0" w:line="25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80" w:lineRule="exact"/>
        <w:rPr>
          <w:rFonts w:ascii="Arial" w:cs="Arial" w:eastAsia="Arial" w:hAnsi="Arial"/>
          <w:sz w:val="18"/>
          <w:szCs w:val="18"/>
          <w:color w:val="auto"/>
        </w:rPr>
      </w:pPr>
    </w:p>
    <w:p>
      <w:pPr>
        <w:ind w:left="1040" w:right="40" w:hanging="519"/>
        <w:spacing w:after="0" w:line="255"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2" w:name="page63"/>
    <w:bookmarkEnd w:id="62"/>
    <w:p>
      <w:pPr>
        <w:ind w:left="1040" w:right="40" w:hanging="519"/>
        <w:spacing w:after="0" w:line="276"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4" w:lineRule="exact"/>
        <w:rPr>
          <w:rFonts w:ascii="Arial" w:cs="Arial" w:eastAsia="Arial" w:hAnsi="Arial"/>
          <w:sz w:val="17"/>
          <w:szCs w:val="17"/>
          <w:color w:val="auto"/>
        </w:rPr>
      </w:pPr>
    </w:p>
    <w:p>
      <w:pPr>
        <w:ind w:left="1040" w:right="100" w:hanging="519"/>
        <w:spacing w:after="0" w:line="276"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(“HITECH”), which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64" w:lineRule="exact"/>
        <w:rPr>
          <w:rFonts w:ascii="Arial" w:cs="Arial" w:eastAsia="Arial" w:hAnsi="Arial"/>
          <w:sz w:val="17"/>
          <w:szCs w:val="17"/>
          <w:color w:val="auto"/>
        </w:rPr>
      </w:pPr>
    </w:p>
    <w:p>
      <w:pPr>
        <w:ind w:left="1040" w:right="80" w:hanging="519"/>
        <w:spacing w:after="0" w:line="25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new EU General Data Protection Regulation (“GDPR”) which came into effect on May 25, 2018 and imposes obligations and restrictions on how we collect and use personal data relating to individuals located in the EU (including health data), and introduces fines of up to 4% total worldwide annual turnover or up to €20 million (whichever is higher) for non-compliance with its requirements. The GDPR also provides that EU member states may make their own further laws and regulations limiting the processing of special categories of personal data such as genetic, biometric or health data;</w:t>
      </w:r>
    </w:p>
    <w:p>
      <w:pPr>
        <w:spacing w:after="0" w:line="80" w:lineRule="exact"/>
        <w:rPr>
          <w:rFonts w:ascii="Arial" w:cs="Arial" w:eastAsia="Arial" w:hAnsi="Arial"/>
          <w:sz w:val="18"/>
          <w:szCs w:val="18"/>
          <w:color w:val="auto"/>
        </w:rPr>
      </w:pPr>
    </w:p>
    <w:p>
      <w:pPr>
        <w:ind w:left="1040" w:hanging="519"/>
        <w:spacing w:after="0" w:line="276"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and teaching hospitals, as well as ownership and investment interests held by the physicians described above and their immediate family members; and</w:t>
      </w:r>
    </w:p>
    <w:p>
      <w:pPr>
        <w:spacing w:after="0" w:line="64" w:lineRule="exact"/>
        <w:rPr>
          <w:rFonts w:ascii="Arial" w:cs="Arial" w:eastAsia="Arial" w:hAnsi="Arial"/>
          <w:sz w:val="17"/>
          <w:szCs w:val="17"/>
          <w:color w:val="auto"/>
        </w:rPr>
      </w:pPr>
    </w:p>
    <w:p>
      <w:pPr>
        <w:ind w:left="1040" w:right="120" w:hanging="519"/>
        <w:spacing w:after="0" w:line="272"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Ensuring that our future business arrangements with third-parties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 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3"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3" w:name="page64"/>
    <w:bookmarkEnd w:id="63"/>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General Data Protection Regulation, or GDPR, became effective, implementing more stringent requirements in relation to our use of personal data relating to individuals located in the E.U. (and E.E.A.). The GDPR repeals the Data Protection Directive (95/46/EC) and is directly applicable in all E.U. member states. The GDPR significantly increased fining levels to up to 4% total worldwide annual turnover or up to €20 million (whichever is higher) for non-compliance with its requirements.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based data subjects (regardless of whether involving our E.U. based subsidiary or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4" w:name="page65"/>
    <w:bookmarkEnd w:id="64"/>
    <w:p>
      <w:pPr>
        <w:ind w:right="40"/>
        <w:spacing w:after="0" w:line="287"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E.U. 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member states reframe their national legislation to harmonize with the GDPR, we will need to monitor compliance with all relevant E.U. member states' laws and regulations, including where permitted derogations from the GDPR are introduced.</w:t>
      </w:r>
    </w:p>
    <w:p>
      <w:pPr>
        <w:spacing w:after="0" w:line="1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will also be subject to evolving E.U. laws on data export, where we transfer data outside the E.U. (or E.E.A.) to group companies or third parties. The GDPR only permits exports of data outside the E.U. (and E.E.A.) where there is a suitable data transfer solution in place to safeguard personal data (e.g., the EU Commission approved Standard Contractual Clauses). Some of the approved current data transfer mechanisms are under review in the E.U. courts and by the E.U. Commission and therefore we need to monitor this space for any future changes.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and commentators now expect it to be adopted during the middle or second half of 2019. The current draft of the ePrivacy Regulation imposes strict opt-in e-marketing rules with limited exceptions to business to business communications and significantly increases fining powers to the same levels as GDPR (see above).</w:t>
      </w:r>
    </w:p>
    <w:p>
      <w:pPr>
        <w:spacing w:after="0" w:line="18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introduction of the GDPR, and any resultant changes in E.U. member states’ national laws and regulations and the ePrivacy Regulation, will increase our compliance obligations and will necessitate the review and implementation of policies and processes relating to our collection and use of data. This increase in compliance obligations could also lead to an increase in compliance costs which may have an adverse impact on our business, financial condition or results of operations.</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27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b w:val="1"/>
          <w:bCs w:val="1"/>
          <w:i w:val="1"/>
          <w:iCs w:val="1"/>
          <w:color w:val="auto"/>
        </w:rPr>
        <w:t>A Breakthrough Therapy Designation by the FDA for any of our product candidates may not lead to a faster development or regulatory review or approval process, and it does not increase the likelihood that our product candidates will receive marketing approval.</w:t>
      </w:r>
    </w:p>
    <w:p>
      <w:pPr>
        <w:spacing w:after="0" w:line="1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may seek a Breakthrough Therapy Designation for some of our product candidates. A breakthrough therapy is defined as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For products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can also be eligible for accelerated approval.</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and rescind the breakthrough designation.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b w:val="1"/>
          <w:bCs w:val="1"/>
          <w:i w:val="1"/>
          <w:iCs w:val="1"/>
          <w:color w:val="auto"/>
        </w:rPr>
        <w:t>A Fast Track Designation by the FDA for any of our product candidates may not actually lead to a faster development or regulatory review or approval process.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may seek Fast Track Designation for some of our product candidates. If a product is intended for the treatment of a serious or life-threatening condition and the product demonstrates the potential to address unmet medical needs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0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NDA or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 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recent tax reform legislation, which was signed into law on December 22,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40" w:right="2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7" w:name="page68"/>
    <w:bookmarkEnd w:id="67"/>
    <w:p>
      <w:pPr>
        <w:ind w:left="1040" w:right="16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stock price is volatile. From October 8, 2015, the first day of trading our common stock, through November 2, 2018, our stock had high and low sales prices in the range of $9.01 and $35.00 per share. The market price for our common stock may be influenced by many factors, including the other risks described in this section titled “Risk Factors” and the following:</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1040" w:right="18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449" w:right="399" w:bottom="1440" w:gutter="0" w:footer="0" w:header="0"/>
        </w:sectPr>
      </w:pPr>
    </w:p>
    <w:bookmarkStart w:id="68" w:name="page69"/>
    <w:bookmarkEnd w:id="68"/>
    <w:p>
      <w:pPr>
        <w:ind w:left="1040" w:right="3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Each of our executive officers is entitled to receive a lump sum payment equal to nine months or one year of his or her base salary as well as continued medical and dental coverage for a period of nine months or one year following his or her termination of employment due to good reason or without cause. In the event of a change in control and a termination of employment without cause or due to good reason, each of our executive officers would similarly receive nine months or one year of his or her base salary as well as continued medical and dental coverage for a period of nine months or one year, as well as an additional lump sum payment equal to three-fourths or 100%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9" w:name="page70"/>
    <w:bookmarkEnd w:id="69"/>
    <w:p>
      <w:pPr>
        <w:ind w:right="4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3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2018, our executive officers, directors, holders of 5% or more of our capital stock based on publicly available filings made with the SEC and their respective affiliates beneficially owned approximately 33.6%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301"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1040" w:right="60" w:hanging="519"/>
        <w:spacing w:after="0" w:line="25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 the request of the stockholders holding of record, in the aggregate, shares entitled to cast not less than ten percent of the votes at a meeting of the stockholders (assuming all shares entitled to vote at such meeting were present and voted);</w:t>
      </w:r>
    </w:p>
    <w:p>
      <w:pPr>
        <w:spacing w:after="0" w:line="80"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0" w:name="page71"/>
    <w:bookmarkEnd w:id="70"/>
    <w:p>
      <w:pPr>
        <w:ind w:right="40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As a public company, and particularly after we are no longer an emerging growth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not able to implement the requirements of Section 404 of the Sarbanes-Oxley Act of 2002 in a timely manner or with adequate compliance, we may be subject to sanctions by regulatory authorities.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will be evaluating our internal controls systems to allow management to report on, and eventually our independent auditors will attest to, the effectiveness of the operation of our internal controls. We will be performing the system and process evaluation and testing (and any necessary remediation) required to comply with the management certification and eventual auditor attestation requirements of Section 404 of the Sarbanes-Oxley Act of 2002. Based on our market capitalization at June 30, 2018, we will cease to be an emerging growth company at December 31, 2018 and, accordingly, we will be required to comply with the auditor attestation requirements of Section 404 to include an opinion from our independent registered public accounting firm on the effectiveness of our internal controls over financial reporting for our 2018 Annual Report.</w:t>
      </w:r>
    </w:p>
    <w:p>
      <w:pPr>
        <w:spacing w:after="0" w:line="18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cannot be certain as to the timing of completion of our evaluation, testing and remediation action or the impact of the same on our operations. If we are not able to comply with the requirements of Section 404 in a timely manner,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1"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we could incur substantial costs defending the lawsuit. The lawsuit could also divert the time and attention of our management.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6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260" w:type="dxa"/>
            <w:vAlign w:val="bottom"/>
            <w:gridSpan w:val="24"/>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58"/>
        </w:trPr>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20" w:type="dxa"/>
            <w:vAlign w:val="bottom"/>
            <w:gridSpan w:val="19"/>
            <w:vMerge w:val="restart"/>
          </w:tcPr>
          <w:p>
            <w:pPr>
              <w:ind w:left="6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3740" w:type="dxa"/>
            <w:vAlign w:val="bottom"/>
            <w:tcBorders>
              <w:bottom w:val="single" w:sz="8" w:color="0000EE"/>
            </w:tcBorders>
            <w:gridSpan w:val="10"/>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Amended and Restated Certificate of Incorporation.</w:t>
              </w:r>
            </w:hyperlink>
          </w:p>
        </w:tc>
        <w:tc>
          <w:tcPr>
            <w:tcW w:w="14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300" w:type="dxa"/>
            <w:vAlign w:val="bottom"/>
            <w:tcBorders>
              <w:bottom w:val="single" w:sz="8" w:color="0000EE"/>
            </w:tcBorders>
            <w:gridSpan w:val="5"/>
          </w:tcPr>
          <w:p>
            <w:pPr>
              <w:spacing w:after="0"/>
              <w:rPr>
                <w:rFonts w:ascii="Arial" w:cs="Arial" w:eastAsia="Arial" w:hAnsi="Arial"/>
                <w:sz w:val="18"/>
                <w:szCs w:val="18"/>
                <w:color w:val="0000EE"/>
                <w:w w:val="88"/>
              </w:rPr>
            </w:pPr>
            <w:hyperlink r:id="rId92">
              <w:r>
                <w:rPr>
                  <w:rFonts w:ascii="Arial" w:cs="Arial" w:eastAsia="Arial" w:hAnsi="Arial"/>
                  <w:sz w:val="18"/>
                  <w:szCs w:val="18"/>
                  <w:color w:val="0000EE"/>
                  <w:w w:val="88"/>
                </w:rPr>
                <w:t>Amended and Restated Bylaws.</w:t>
              </w:r>
            </w:hyperlink>
          </w:p>
        </w:tc>
        <w:tc>
          <w:tcPr>
            <w:tcW w:w="28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5140" w:type="dxa"/>
            <w:vAlign w:val="bottom"/>
            <w:gridSpan w:val="23"/>
          </w:tcPr>
          <w:p>
            <w:pPr>
              <w:spacing w:after="0"/>
              <w:rPr>
                <w:sz w:val="20"/>
                <w:szCs w:val="20"/>
                <w:color w:val="auto"/>
              </w:rPr>
            </w:pPr>
            <w:r>
              <w:rPr>
                <w:rFonts w:ascii="Arial" w:cs="Arial" w:eastAsia="Arial" w:hAnsi="Arial"/>
                <w:sz w:val="18"/>
                <w:szCs w:val="18"/>
                <w:color w:val="auto"/>
              </w:rPr>
              <w:t>Reference is made to Exhibits 3.1 through 3.2.</w:t>
            </w:r>
          </w:p>
        </w:tc>
        <w:tc>
          <w:tcPr>
            <w:tcW w:w="0" w:type="dxa"/>
            <w:vAlign w:val="bottom"/>
          </w:tcPr>
          <w:p>
            <w:pPr>
              <w:spacing w:after="0"/>
              <w:rPr>
                <w:sz w:val="1"/>
                <w:szCs w:val="1"/>
                <w:color w:val="auto"/>
              </w:rPr>
            </w:pPr>
          </w:p>
        </w:tc>
      </w:tr>
      <w:tr>
        <w:trPr>
          <w:trHeight w:val="39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5140" w:type="dxa"/>
            <w:vAlign w:val="bottom"/>
            <w:gridSpan w:val="23"/>
          </w:tcPr>
          <w:p>
            <w:pPr>
              <w:spacing w:after="0"/>
              <w:rPr>
                <w:rFonts w:ascii="Arial" w:cs="Arial" w:eastAsia="Arial" w:hAnsi="Arial"/>
                <w:sz w:val="18"/>
                <w:szCs w:val="18"/>
                <w:color w:val="0000EE"/>
              </w:rPr>
            </w:pPr>
            <w:hyperlink r:id="rId93">
              <w:r>
                <w:rPr>
                  <w:rFonts w:ascii="Arial" w:cs="Arial" w:eastAsia="Arial" w:hAnsi="Arial"/>
                  <w:sz w:val="18"/>
                  <w:szCs w:val="18"/>
                  <w:color w:val="0000EE"/>
                </w:rPr>
                <w:t>Specimen Common Stock Certificate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5000" w:type="dxa"/>
            <w:vAlign w:val="bottom"/>
            <w:tcBorders>
              <w:bottom w:val="single" w:sz="8" w:color="0000EE"/>
            </w:tcBorders>
            <w:gridSpan w:val="19"/>
          </w:tcPr>
          <w:p>
            <w:pPr>
              <w:spacing w:after="0"/>
              <w:rPr>
                <w:rFonts w:ascii="Arial" w:cs="Arial" w:eastAsia="Arial" w:hAnsi="Arial"/>
                <w:sz w:val="18"/>
                <w:szCs w:val="18"/>
                <w:color w:val="0000EE"/>
                <w:w w:val="89"/>
              </w:rPr>
            </w:pPr>
            <w:hyperlink r:id="rId94">
              <w:r>
                <w:rPr>
                  <w:rFonts w:ascii="Arial" w:cs="Arial" w:eastAsia="Arial" w:hAnsi="Arial"/>
                  <w:sz w:val="18"/>
                  <w:szCs w:val="18"/>
                  <w:color w:val="0000EE"/>
                  <w:w w:val="89"/>
                </w:rPr>
                <w:t>Amended and Restated Investors’ Rights Agreement dated as of June</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12, 2015, by and among CytomX Therapeutics, Inc. and the investors</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named therein.</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5140" w:type="dxa"/>
            <w:vAlign w:val="bottom"/>
            <w:gridSpan w:val="2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First Amendment to the CD71 Co-Development and License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Agreement by and between CytomX Therapeutics, Inc. and AbbVie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Ireland Unlimited Company, dated as of October 5, 2016.</w:t>
              </w:r>
            </w:hyperlink>
          </w:p>
        </w:tc>
        <w:tc>
          <w:tcPr>
            <w:tcW w:w="740" w:type="dxa"/>
            <w:vAlign w:val="bottom"/>
            <w:tcBorders>
              <w:top w:val="single" w:sz="8" w:color="0000EE"/>
            </w:tcBorders>
            <w:gridSpan w:val="5"/>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5140" w:type="dxa"/>
            <w:vAlign w:val="bottom"/>
            <w:gridSpan w:val="23"/>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Second Amendment to the CD71 Co-Development and License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Agreement by and between CytomX Therapeutics, Inc. and AbbVie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Ireland Unlimited Company, dated as of March 31, 2017.</w:t>
              </w:r>
            </w:hyperlink>
          </w:p>
        </w:tc>
        <w:tc>
          <w:tcPr>
            <w:tcW w:w="760" w:type="dxa"/>
            <w:vAlign w:val="bottom"/>
            <w:tcBorders>
              <w:top w:val="single" w:sz="8" w:color="0000EE"/>
            </w:tcBorders>
            <w:gridSpan w:val="6"/>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446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83">
              <w:r>
                <w:rPr>
                  <w:rFonts w:ascii="Arial" w:cs="Arial" w:eastAsia="Arial" w:hAnsi="Arial"/>
                  <w:sz w:val="18"/>
                  <w:szCs w:val="18"/>
                  <w:color w:val="0000EE"/>
                  <w:w w:val="91"/>
                </w:rPr>
                <w:t>Third Amendment to the CD71 Co-Development and License</w:t>
              </w:r>
            </w:hyperlink>
          </w:p>
        </w:tc>
        <w:tc>
          <w:tcPr>
            <w:tcW w:w="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w w:val="95"/>
              </w:rPr>
            </w:pPr>
            <w:hyperlink w:anchor="page83">
              <w:r>
                <w:rPr>
                  <w:rFonts w:ascii="Arial" w:cs="Arial" w:eastAsia="Arial" w:hAnsi="Arial"/>
                  <w:sz w:val="18"/>
                  <w:szCs w:val="18"/>
                  <w:color w:val="0000EE"/>
                  <w:w w:val="95"/>
                </w:rPr>
                <w:t>Agreement by and between CytomX Therapeutics, Inc. and AbbVie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Ireland Unlimited Company, dated as of January 3, 2018.</w:t>
              </w:r>
            </w:hyperlink>
          </w:p>
        </w:tc>
        <w:tc>
          <w:tcPr>
            <w:tcW w:w="760" w:type="dxa"/>
            <w:vAlign w:val="bottom"/>
            <w:tcBorders>
              <w:top w:val="single" w:sz="8" w:color="0000EE"/>
            </w:tcBorders>
            <w:gridSpan w:val="6"/>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5140" w:type="dxa"/>
            <w:vAlign w:val="bottom"/>
            <w:gridSpan w:val="23"/>
          </w:tcPr>
          <w:p>
            <w:pPr>
              <w:spacing w:after="0"/>
              <w:rPr>
                <w:rFonts w:ascii="Arial" w:cs="Arial" w:eastAsia="Arial" w:hAnsi="Arial"/>
                <w:sz w:val="18"/>
                <w:szCs w:val="18"/>
                <w:color w:val="0000EE"/>
                <w:w w:val="94"/>
              </w:rPr>
            </w:pPr>
            <w:hyperlink w:anchor="page86">
              <w:r>
                <w:rPr>
                  <w:rFonts w:ascii="Arial" w:cs="Arial" w:eastAsia="Arial" w:hAnsi="Arial"/>
                  <w:sz w:val="18"/>
                  <w:szCs w:val="18"/>
                  <w:color w:val="0000EE"/>
                  <w:w w:val="94"/>
                </w:rPr>
                <w:t>License Agreement by and between CytomX Therapeutics, Inc. and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ImmunoGen Inc., dated as of February 12,2016.</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4"/>
                <w:szCs w:val="24"/>
                <w:color w:val="auto"/>
              </w:rPr>
            </w:pPr>
          </w:p>
        </w:tc>
        <w:tc>
          <w:tcPr>
            <w:tcW w:w="5140" w:type="dxa"/>
            <w:vAlign w:val="bottom"/>
            <w:gridSpan w:val="23"/>
          </w:tcPr>
          <w:p>
            <w:pPr>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Second Amendment to the Research Collaboration Agreement by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gridSpan w:val="8"/>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between CytomX Therapeutics, Inc. and ImmunoGen Inc., dated as of</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February 12,2016.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88"/>
              </w:rPr>
              <w:t>10.6†</w:t>
            </w:r>
          </w:p>
        </w:tc>
        <w:tc>
          <w:tcPr>
            <w:tcW w:w="120" w:type="dxa"/>
            <w:vAlign w:val="bottom"/>
          </w:tcPr>
          <w:p>
            <w:pPr>
              <w:spacing w:after="0"/>
              <w:rPr>
                <w:sz w:val="24"/>
                <w:szCs w:val="24"/>
                <w:color w:val="auto"/>
              </w:rPr>
            </w:pPr>
          </w:p>
        </w:tc>
        <w:tc>
          <w:tcPr>
            <w:tcW w:w="49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64">
              <w:r>
                <w:rPr>
                  <w:rFonts w:ascii="Arial" w:cs="Arial" w:eastAsia="Arial" w:hAnsi="Arial"/>
                  <w:sz w:val="18"/>
                  <w:szCs w:val="18"/>
                  <w:color w:val="0000EE"/>
                  <w:w w:val="90"/>
                </w:rPr>
                <w:t>Third Amendment to the Research Collaboration Agreement by and</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between CytomX Therapeutics, Inc. and ImmunoGen Inc., dated as of</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64">
              <w:r>
                <w:rPr>
                  <w:rFonts w:ascii="Arial" w:cs="Arial" w:eastAsia="Arial" w:hAnsi="Arial"/>
                  <w:sz w:val="18"/>
                  <w:szCs w:val="18"/>
                  <w:color w:val="0000EE"/>
                  <w:w w:val="89"/>
                </w:rPr>
                <w:t>March 3, 2017.</w:t>
              </w:r>
            </w:hyperlink>
          </w:p>
        </w:tc>
        <w:tc>
          <w:tcPr>
            <w:tcW w:w="40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5140" w:type="dxa"/>
            <w:vAlign w:val="bottom"/>
            <w:gridSpan w:val="23"/>
          </w:tcPr>
          <w:p>
            <w:pPr>
              <w:spacing w:after="0"/>
              <w:rPr>
                <w:rFonts w:ascii="Arial" w:cs="Arial" w:eastAsia="Arial" w:hAnsi="Arial"/>
                <w:sz w:val="18"/>
                <w:szCs w:val="18"/>
                <w:color w:val="0000EE"/>
                <w:w w:val="94"/>
              </w:rPr>
            </w:pPr>
            <w:hyperlink w:anchor="page166">
              <w:r>
                <w:rPr>
                  <w:rFonts w:ascii="Arial" w:cs="Arial" w:eastAsia="Arial" w:hAnsi="Arial"/>
                  <w:sz w:val="18"/>
                  <w:szCs w:val="18"/>
                  <w:color w:val="0000EE"/>
                  <w:w w:val="94"/>
                </w:rPr>
                <w:t>Certification of Chief Executive Officer required by Rule 13a-14(a) or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Rule 15d-14(a).</w:t>
              </w:r>
            </w:hyperlink>
          </w:p>
        </w:tc>
        <w:tc>
          <w:tcPr>
            <w:tcW w:w="3920" w:type="dxa"/>
            <w:vAlign w:val="bottom"/>
            <w:tcBorders>
              <w:top w:val="single" w:sz="8" w:color="0000EE"/>
            </w:tcBorders>
            <w:gridSpan w:val="18"/>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50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67">
              <w:r>
                <w:rPr>
                  <w:rFonts w:ascii="Arial" w:cs="Arial" w:eastAsia="Arial" w:hAnsi="Arial"/>
                  <w:sz w:val="18"/>
                  <w:szCs w:val="18"/>
                  <w:color w:val="0000EE"/>
                  <w:w w:val="92"/>
                </w:rPr>
                <w:t>Certification of Chief Financial Officer required by Rule 13a-14(a) or</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7">
              <w:r>
                <w:rPr>
                  <w:rFonts w:ascii="Arial" w:cs="Arial" w:eastAsia="Arial" w:hAnsi="Arial"/>
                  <w:sz w:val="18"/>
                  <w:szCs w:val="18"/>
                  <w:color w:val="0000EE"/>
                  <w:w w:val="89"/>
                </w:rPr>
                <w:t>Rule 15d-14(a).</w:t>
              </w:r>
            </w:hyperlink>
          </w:p>
        </w:tc>
        <w:tc>
          <w:tcPr>
            <w:tcW w:w="40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120" w:type="dxa"/>
            <w:vAlign w:val="bottom"/>
          </w:tcPr>
          <w:p>
            <w:pPr>
              <w:spacing w:after="0"/>
              <w:rPr>
                <w:sz w:val="24"/>
                <w:szCs w:val="24"/>
                <w:color w:val="auto"/>
              </w:rPr>
            </w:pPr>
          </w:p>
        </w:tc>
        <w:tc>
          <w:tcPr>
            <w:tcW w:w="5080" w:type="dxa"/>
            <w:vAlign w:val="bottom"/>
            <w:tcBorders>
              <w:bottom w:val="single" w:sz="8" w:color="0000EE"/>
            </w:tcBorders>
            <w:gridSpan w:val="22"/>
          </w:tcPr>
          <w:p>
            <w:pPr>
              <w:spacing w:after="0"/>
              <w:rPr>
                <w:rFonts w:ascii="Arial" w:cs="Arial" w:eastAsia="Arial" w:hAnsi="Arial"/>
                <w:sz w:val="18"/>
                <w:szCs w:val="18"/>
                <w:color w:val="0000EE"/>
                <w:w w:val="92"/>
              </w:rPr>
            </w:pPr>
            <w:hyperlink w:anchor="page168">
              <w:r>
                <w:rPr>
                  <w:rFonts w:ascii="Arial" w:cs="Arial" w:eastAsia="Arial" w:hAnsi="Arial"/>
                  <w:sz w:val="18"/>
                  <w:szCs w:val="18"/>
                  <w:color w:val="0000EE"/>
                  <w:w w:val="92"/>
                </w:rPr>
                <w:t>Certification of Chief Executive Officer required by Rule 13a-14(b) or</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gridSpan w:val="23"/>
          </w:tcPr>
          <w:p>
            <w:pPr>
              <w:spacing w:after="0" w:line="196" w:lineRule="exact"/>
              <w:rPr>
                <w:rFonts w:ascii="Arial" w:cs="Arial" w:eastAsia="Arial" w:hAnsi="Arial"/>
                <w:sz w:val="18"/>
                <w:szCs w:val="18"/>
                <w:color w:val="0000EE"/>
                <w:w w:val="99"/>
              </w:rPr>
            </w:pPr>
            <w:hyperlink w:anchor="page168">
              <w:r>
                <w:rPr>
                  <w:rFonts w:ascii="Arial" w:cs="Arial" w:eastAsia="Arial" w:hAnsi="Arial"/>
                  <w:sz w:val="18"/>
                  <w:szCs w:val="18"/>
                  <w:color w:val="0000EE"/>
                  <w:w w:val="99"/>
                </w:rPr>
                <w:t>Rule 15d-14(b) and Section 1350 of Chapter 63 of Title 18 of the</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68">
              <w:r>
                <w:rPr>
                  <w:rFonts w:ascii="Arial" w:cs="Arial" w:eastAsia="Arial" w:hAnsi="Arial"/>
                  <w:sz w:val="18"/>
                  <w:szCs w:val="18"/>
                  <w:color w:val="0000EE"/>
                  <w:w w:val="89"/>
                </w:rPr>
                <w:t>United States Code (18 U.S.C. §1350).</w:t>
              </w:r>
            </w:hyperlink>
          </w:p>
        </w:tc>
        <w:tc>
          <w:tcPr>
            <w:tcW w:w="1860" w:type="dxa"/>
            <w:vAlign w:val="bottom"/>
            <w:tcBorders>
              <w:top w:val="single" w:sz="8" w:color="0000EE"/>
            </w:tcBorders>
            <w:gridSpan w:val="8"/>
          </w:tcPr>
          <w:p>
            <w:pPr>
              <w:spacing w:after="0"/>
              <w:rPr>
                <w:sz w:val="17"/>
                <w:szCs w:val="17"/>
                <w:color w:val="auto"/>
              </w:rPr>
            </w:pPr>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120" w:type="dxa"/>
            <w:vAlign w:val="bottom"/>
          </w:tcPr>
          <w:p>
            <w:pPr>
              <w:spacing w:after="0"/>
              <w:rPr>
                <w:sz w:val="24"/>
                <w:szCs w:val="24"/>
                <w:color w:val="auto"/>
              </w:rPr>
            </w:pPr>
          </w:p>
        </w:tc>
        <w:tc>
          <w:tcPr>
            <w:tcW w:w="5140" w:type="dxa"/>
            <w:vAlign w:val="bottom"/>
            <w:gridSpan w:val="23"/>
          </w:tcPr>
          <w:p>
            <w:pPr>
              <w:spacing w:after="0"/>
              <w:rPr>
                <w:rFonts w:ascii="Arial" w:cs="Arial" w:eastAsia="Arial" w:hAnsi="Arial"/>
                <w:sz w:val="18"/>
                <w:szCs w:val="18"/>
                <w:color w:val="0000EE"/>
                <w:w w:val="95"/>
              </w:rPr>
            </w:pPr>
            <w:hyperlink w:anchor="page169">
              <w:r>
                <w:rPr>
                  <w:rFonts w:ascii="Arial" w:cs="Arial" w:eastAsia="Arial" w:hAnsi="Arial"/>
                  <w:sz w:val="18"/>
                  <w:szCs w:val="18"/>
                  <w:color w:val="0000EE"/>
                  <w:w w:val="95"/>
                </w:rPr>
                <w:t>Certification of Chief Financial Officer required by Rule 13a-14(b) or</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top w:val="single" w:sz="8" w:color="0000EE"/>
            </w:tcBorders>
            <w:gridSpan w:val="20"/>
          </w:tcPr>
          <w:p>
            <w:pPr>
              <w:spacing w:after="0" w:line="196" w:lineRule="exact"/>
              <w:rPr>
                <w:rFonts w:ascii="Arial" w:cs="Arial" w:eastAsia="Arial" w:hAnsi="Arial"/>
                <w:sz w:val="18"/>
                <w:szCs w:val="18"/>
                <w:color w:val="0000EE"/>
                <w:w w:val="97"/>
              </w:rPr>
            </w:pPr>
            <w:hyperlink w:anchor="page169">
              <w:r>
                <w:rPr>
                  <w:rFonts w:ascii="Arial" w:cs="Arial" w:eastAsia="Arial" w:hAnsi="Arial"/>
                  <w:sz w:val="18"/>
                  <w:szCs w:val="18"/>
                  <w:color w:val="0000EE"/>
                  <w:w w:val="97"/>
                </w:rPr>
                <w:t>Rule 15d-14(b) and Section 1350 of Chapter 63 of Title 18 of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United States Code (18 U.S.C. §1350).</w:t>
              </w:r>
            </w:hyperlink>
          </w:p>
        </w:tc>
        <w:tc>
          <w:tcPr>
            <w:tcW w:w="4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28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XBRL Instance Document.</w:t>
            </w:r>
          </w:p>
        </w:tc>
        <w:tc>
          <w:tcPr>
            <w:tcW w:w="23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4700" w:type="dxa"/>
            <w:vAlign w:val="bottom"/>
            <w:gridSpan w:val="16"/>
          </w:tcPr>
          <w:p>
            <w:pPr>
              <w:jc w:val="right"/>
              <w:ind w:right="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6"/>
              </w:rPr>
              <w:t>Incorporated by Reference</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90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rPr>
              <w:t>Form</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240" w:type="dxa"/>
            <w:vAlign w:val="bottom"/>
            <w:vMerge w:val="restart"/>
          </w:tcPr>
          <w:p>
            <w:pPr>
              <w:spacing w:after="0"/>
              <w:rPr>
                <w:sz w:val="10"/>
                <w:szCs w:val="10"/>
                <w:color w:val="auto"/>
              </w:rPr>
            </w:pPr>
          </w:p>
        </w:tc>
        <w:tc>
          <w:tcPr>
            <w:tcW w:w="9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900" w:type="dxa"/>
            <w:vAlign w:val="bottom"/>
          </w:tcPr>
          <w:p>
            <w:pPr>
              <w:jc w:val="center"/>
              <w:ind w:left="174"/>
              <w:spacing w:after="0"/>
              <w:rPr>
                <w:sz w:val="20"/>
                <w:szCs w:val="20"/>
                <w:color w:val="auto"/>
              </w:rPr>
            </w:pPr>
            <w:r>
              <w:rPr>
                <w:rFonts w:ascii="Arial" w:cs="Arial" w:eastAsia="Arial" w:hAnsi="Arial"/>
                <w:sz w:val="18"/>
                <w:szCs w:val="18"/>
                <w:color w:val="auto"/>
                <w:w w:val="99"/>
              </w:rPr>
              <w:t>8-K</w:t>
            </w: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10/19/2015</w:t>
            </w:r>
          </w:p>
        </w:tc>
        <w:tc>
          <w:tcPr>
            <w:tcW w:w="240" w:type="dxa"/>
            <w:vAlign w:val="bottom"/>
          </w:tcPr>
          <w:p>
            <w:pPr>
              <w:spacing w:after="0"/>
              <w:rPr>
                <w:sz w:val="24"/>
                <w:szCs w:val="24"/>
                <w:color w:val="auto"/>
              </w:rPr>
            </w:pPr>
          </w:p>
        </w:tc>
        <w:tc>
          <w:tcPr>
            <w:tcW w:w="900" w:type="dxa"/>
            <w:vAlign w:val="bottom"/>
          </w:tcPr>
          <w:p>
            <w:pPr>
              <w:jc w:val="center"/>
              <w:ind w:right="154"/>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0" w:type="dxa"/>
            <w:vAlign w:val="bottom"/>
          </w:tcPr>
          <w:p>
            <w:pPr>
              <w:jc w:val="center"/>
              <w:ind w:left="174"/>
              <w:spacing w:after="0"/>
              <w:rPr>
                <w:sz w:val="20"/>
                <w:szCs w:val="20"/>
                <w:color w:val="auto"/>
              </w:rPr>
            </w:pPr>
            <w:r>
              <w:rPr>
                <w:rFonts w:ascii="Arial" w:cs="Arial" w:eastAsia="Arial" w:hAnsi="Arial"/>
                <w:sz w:val="18"/>
                <w:szCs w:val="18"/>
                <w:color w:val="auto"/>
                <w:w w:val="99"/>
              </w:rPr>
              <w:t>8-K</w:t>
            </w: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10/19/2015</w:t>
            </w:r>
          </w:p>
        </w:tc>
        <w:tc>
          <w:tcPr>
            <w:tcW w:w="240" w:type="dxa"/>
            <w:vAlign w:val="bottom"/>
          </w:tcPr>
          <w:p>
            <w:pPr>
              <w:spacing w:after="0"/>
              <w:rPr>
                <w:sz w:val="24"/>
                <w:szCs w:val="24"/>
                <w:color w:val="auto"/>
              </w:rPr>
            </w:pPr>
          </w:p>
        </w:tc>
        <w:tc>
          <w:tcPr>
            <w:tcW w:w="900" w:type="dxa"/>
            <w:vAlign w:val="bottom"/>
          </w:tcPr>
          <w:p>
            <w:pPr>
              <w:jc w:val="center"/>
              <w:ind w:right="154"/>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4"/>
        </w:trPr>
        <w:tc>
          <w:tcPr>
            <w:tcW w:w="900" w:type="dxa"/>
            <w:vAlign w:val="bottom"/>
          </w:tcPr>
          <w:p>
            <w:pPr>
              <w:jc w:val="center"/>
              <w:ind w:left="174"/>
              <w:spacing w:after="0"/>
              <w:rPr>
                <w:sz w:val="20"/>
                <w:szCs w:val="20"/>
                <w:color w:val="auto"/>
              </w:rPr>
            </w:pPr>
            <w:r>
              <w:rPr>
                <w:rFonts w:ascii="Arial" w:cs="Arial" w:eastAsia="Arial" w:hAnsi="Arial"/>
                <w:sz w:val="18"/>
                <w:szCs w:val="18"/>
                <w:color w:val="auto"/>
                <w:w w:val="97"/>
              </w:rPr>
              <w:t>S-1/A</w:t>
            </w: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9/28/2015</w:t>
            </w:r>
          </w:p>
        </w:tc>
        <w:tc>
          <w:tcPr>
            <w:tcW w:w="240" w:type="dxa"/>
            <w:vAlign w:val="bottom"/>
          </w:tcPr>
          <w:p>
            <w:pPr>
              <w:spacing w:after="0"/>
              <w:rPr>
                <w:sz w:val="24"/>
                <w:szCs w:val="24"/>
                <w:color w:val="auto"/>
              </w:rPr>
            </w:pPr>
          </w:p>
        </w:tc>
        <w:tc>
          <w:tcPr>
            <w:tcW w:w="900" w:type="dxa"/>
            <w:vAlign w:val="bottom"/>
          </w:tcPr>
          <w:p>
            <w:pPr>
              <w:jc w:val="center"/>
              <w:ind w:right="154"/>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00" w:type="dxa"/>
            <w:vAlign w:val="bottom"/>
          </w:tcPr>
          <w:p>
            <w:pPr>
              <w:jc w:val="center"/>
              <w:ind w:left="174"/>
              <w:spacing w:after="0"/>
              <w:rPr>
                <w:sz w:val="20"/>
                <w:szCs w:val="20"/>
                <w:color w:val="auto"/>
              </w:rPr>
            </w:pPr>
            <w:r>
              <w:rPr>
                <w:rFonts w:ascii="Arial" w:cs="Arial" w:eastAsia="Arial" w:hAnsi="Arial"/>
                <w:sz w:val="18"/>
                <w:szCs w:val="18"/>
                <w:color w:val="auto"/>
                <w:w w:val="85"/>
              </w:rPr>
              <w:t>S-1</w:t>
            </w:r>
          </w:p>
        </w:tc>
        <w:tc>
          <w:tcPr>
            <w:tcW w:w="1600" w:type="dxa"/>
            <w:vAlign w:val="bottom"/>
            <w:gridSpan w:val="4"/>
          </w:tcPr>
          <w:p>
            <w:pPr>
              <w:jc w:val="right"/>
              <w:ind w:right="100"/>
              <w:spacing w:after="0"/>
              <w:rPr>
                <w:sz w:val="20"/>
                <w:szCs w:val="20"/>
                <w:color w:val="auto"/>
              </w:rPr>
            </w:pPr>
            <w:r>
              <w:rPr>
                <w:rFonts w:ascii="Arial" w:cs="Arial" w:eastAsia="Arial" w:hAnsi="Arial"/>
                <w:sz w:val="18"/>
                <w:szCs w:val="18"/>
                <w:color w:val="auto"/>
              </w:rPr>
              <w:t>8/28/2015</w:t>
            </w:r>
          </w:p>
        </w:tc>
        <w:tc>
          <w:tcPr>
            <w:tcW w:w="240" w:type="dxa"/>
            <w:vAlign w:val="bottom"/>
          </w:tcPr>
          <w:p>
            <w:pPr>
              <w:spacing w:after="0"/>
              <w:rPr>
                <w:sz w:val="24"/>
                <w:szCs w:val="24"/>
                <w:color w:val="auto"/>
              </w:rPr>
            </w:pPr>
          </w:p>
        </w:tc>
        <w:tc>
          <w:tcPr>
            <w:tcW w:w="900" w:type="dxa"/>
            <w:vAlign w:val="bottom"/>
          </w:tcPr>
          <w:p>
            <w:pPr>
              <w:jc w:val="center"/>
              <w:ind w:right="154"/>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420" w:space="120"/>
            <w:col w:w="4880"/>
          </w:cols>
          <w:pgMar w:left="240" w:top="337"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5"/>
        </w:trPr>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Incorporated by Reference</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1280" w:type="dxa"/>
            <w:vAlign w:val="bottom"/>
            <w:gridSpan w:val="2"/>
            <w:vMerge w:val="continue"/>
          </w:tcPr>
          <w:p>
            <w:pPr>
              <w:spacing w:after="0"/>
              <w:rPr>
                <w:sz w:val="10"/>
                <w:szCs w:val="10"/>
                <w:color w:val="auto"/>
              </w:rPr>
            </w:pPr>
          </w:p>
        </w:tc>
        <w:tc>
          <w:tcPr>
            <w:tcW w:w="5260" w:type="dxa"/>
            <w:vAlign w:val="bottom"/>
            <w:gridSpan w:val="2"/>
            <w:vMerge w:val="restart"/>
          </w:tcPr>
          <w:p>
            <w:pPr>
              <w:ind w:left="1960"/>
              <w:spacing w:after="0"/>
              <w:rPr>
                <w:sz w:val="20"/>
                <w:szCs w:val="20"/>
                <w:color w:val="auto"/>
              </w:rPr>
            </w:pPr>
            <w:r>
              <w:rPr>
                <w:rFonts w:ascii="Arial" w:cs="Arial" w:eastAsia="Arial" w:hAnsi="Arial"/>
                <w:sz w:val="14"/>
                <w:szCs w:val="14"/>
                <w:b w:val="1"/>
                <w:bCs w:val="1"/>
                <w:color w:val="auto"/>
              </w:rPr>
              <w:t>Exhibit Description</w:t>
            </w:r>
          </w:p>
        </w:tc>
        <w:tc>
          <w:tcPr>
            <w:tcW w:w="8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Form</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52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4"/>
        </w:trPr>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101.SCH</w:t>
            </w:r>
          </w:p>
        </w:tc>
        <w:tc>
          <w:tcPr>
            <w:tcW w:w="12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1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101.CAL</w:t>
            </w:r>
          </w:p>
        </w:tc>
        <w:tc>
          <w:tcPr>
            <w:tcW w:w="526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101.DEF</w:t>
            </w:r>
          </w:p>
        </w:tc>
        <w:tc>
          <w:tcPr>
            <w:tcW w:w="526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32"/>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101.LAB</w:t>
            </w:r>
          </w:p>
        </w:tc>
        <w:tc>
          <w:tcPr>
            <w:tcW w:w="526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101.PRE</w:t>
            </w:r>
          </w:p>
        </w:tc>
        <w:tc>
          <w:tcPr>
            <w:tcW w:w="526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right="320" w:hanging="512"/>
        <w:spacing w:after="0" w:line="293" w:lineRule="auto"/>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Portions of this exhibit (indicated by asterisks) have been omitted pursuant to a request for confidential treatment filed separately with the Securities and Exchange Commission.</w:t>
      </w:r>
    </w:p>
    <w:p>
      <w:pPr>
        <w:spacing w:after="0" w:line="168" w:lineRule="exact"/>
        <w:rPr>
          <w:sz w:val="20"/>
          <w:szCs w:val="20"/>
          <w:color w:val="auto"/>
        </w:rPr>
      </w:pPr>
    </w:p>
    <w:p>
      <w:pPr>
        <w:ind w:left="520" w:right="280" w:hanging="512"/>
        <w:spacing w:after="0" w:line="259" w:lineRule="auto"/>
        <w:tabs>
          <w:tab w:leader="none" w:pos="520" w:val="left"/>
        </w:tabs>
        <w:numPr>
          <w:ilvl w:val="0"/>
          <w:numId w:val="34"/>
        </w:numPr>
        <w:rPr>
          <w:rFonts w:ascii="Arial" w:cs="Arial" w:eastAsia="Arial" w:hAnsi="Arial"/>
          <w:sz w:val="15"/>
          <w:szCs w:val="15"/>
          <w:color w:val="auto"/>
        </w:rPr>
      </w:pPr>
      <w:r>
        <w:rPr>
          <w:rFonts w:ascii="Arial" w:cs="Arial" w:eastAsia="Arial" w:hAnsi="Arial"/>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280" w:type="dxa"/>
            <w:vAlign w:val="bottom"/>
            <w:gridSpan w:val="2"/>
          </w:tcPr>
          <w:p>
            <w:pPr>
              <w:ind w:left="2340"/>
              <w:spacing w:after="0"/>
              <w:rPr>
                <w:sz w:val="20"/>
                <w:szCs w:val="20"/>
                <w:color w:val="auto"/>
              </w:rPr>
            </w:pPr>
            <w:r>
              <w:rPr>
                <w:rFonts w:ascii="Arial" w:cs="Arial" w:eastAsia="Arial" w:hAnsi="Arial"/>
                <w:sz w:val="18"/>
                <w:szCs w:val="18"/>
                <w:b w:val="1"/>
                <w:bCs w:val="1"/>
                <w:color w:val="auto"/>
              </w:rPr>
              <w:t>CytomX Therapeutics, Inc.</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Date: November 6, 2018</w:t>
            </w:r>
          </w:p>
        </w:tc>
        <w:tc>
          <w:tcPr>
            <w:tcW w:w="2720" w:type="dxa"/>
            <w:vAlign w:val="bottom"/>
          </w:tcPr>
          <w:p>
            <w:pPr>
              <w:ind w:left="23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91"/>
        </w:trPr>
        <w:tc>
          <w:tcPr>
            <w:tcW w:w="4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Sean A. McCarthy, D. Phil.</w:t>
            </w:r>
          </w:p>
        </w:tc>
      </w:tr>
      <w:tr>
        <w:trPr>
          <w:trHeight w:val="220"/>
        </w:trPr>
        <w:tc>
          <w:tcPr>
            <w:tcW w:w="414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Chief Executive Officer and Director</w:t>
            </w:r>
          </w:p>
        </w:tc>
      </w:tr>
      <w:tr>
        <w:trPr>
          <w:trHeight w:val="230"/>
        </w:trPr>
        <w:tc>
          <w:tcPr>
            <w:tcW w:w="4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Date: November 6, 2018</w:t>
            </w:r>
          </w:p>
        </w:tc>
        <w:tc>
          <w:tcPr>
            <w:tcW w:w="2720" w:type="dxa"/>
            <w:vAlign w:val="bottom"/>
          </w:tcPr>
          <w:p>
            <w:pPr>
              <w:ind w:left="23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Debanjan Ray</w:t>
            </w:r>
          </w:p>
        </w:tc>
      </w:tr>
      <w:tr>
        <w:trPr>
          <w:trHeight w:val="191"/>
        </w:trPr>
        <w:tc>
          <w:tcPr>
            <w:tcW w:w="41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5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Debanjan Ray</w:t>
            </w:r>
          </w:p>
        </w:tc>
      </w:tr>
      <w:tr>
        <w:trPr>
          <w:trHeight w:val="234"/>
        </w:trPr>
        <w:tc>
          <w:tcPr>
            <w:tcW w:w="41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6960"/>
        <w:spacing w:after="0"/>
        <w:rPr>
          <w:sz w:val="20"/>
          <w:szCs w:val="20"/>
          <w:color w:val="auto"/>
        </w:rPr>
      </w:pPr>
      <w:r>
        <w:rPr>
          <w:rFonts w:ascii="Arial" w:cs="Arial" w:eastAsia="Arial" w:hAnsi="Arial"/>
          <w:sz w:val="17"/>
          <w:szCs w:val="17"/>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37"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 THE</w:t>
      </w:r>
    </w:p>
    <w:p>
      <w:pPr>
        <w:jc w:val="center"/>
        <w:spacing w:after="0"/>
        <w:rPr>
          <w:sz w:val="20"/>
          <w:szCs w:val="20"/>
          <w:color w:val="auto"/>
        </w:rPr>
      </w:pPr>
      <w:r>
        <w:rPr>
          <w:rFonts w:ascii="Arial" w:cs="Arial" w:eastAsia="Arial" w:hAnsi="Arial"/>
          <w:sz w:val="22"/>
          <w:szCs w:val="22"/>
          <w:b w:val="1"/>
          <w:bCs w:val="1"/>
          <w:color w:val="auto"/>
        </w:rPr>
        <w:t>CD71 CO-DEVELOPMENT AND LICENSE AGREEMENT</w:t>
      </w:r>
    </w:p>
    <w:p>
      <w:pPr>
        <w:spacing w:after="0" w:line="188" w:lineRule="exact"/>
        <w:rPr>
          <w:sz w:val="20"/>
          <w:szCs w:val="20"/>
          <w:color w:val="auto"/>
        </w:rPr>
      </w:pPr>
    </w:p>
    <w:p>
      <w:pPr>
        <w:jc w:val="both"/>
        <w:ind w:firstLine="877"/>
        <w:spacing w:after="0" w:line="287" w:lineRule="auto"/>
        <w:rPr>
          <w:sz w:val="20"/>
          <w:szCs w:val="20"/>
          <w:color w:val="auto"/>
        </w:rPr>
      </w:pPr>
      <w:r>
        <w:rPr>
          <w:rFonts w:ascii="Arial" w:cs="Arial" w:eastAsia="Arial" w:hAnsi="Arial"/>
          <w:sz w:val="19"/>
          <w:szCs w:val="19"/>
          <w:color w:val="auto"/>
        </w:rPr>
        <w:t>This First Amendment (the “Amendment”) to the CD7l Co-Development and License Agreement dated April 21, 2016 (the “Agreement”) by and between CytomX Therapeutics, Inc., a corporation organized under the laws of Delaware (“Licensor”) and AbbVie Ireland Unlimited Company, an unlimited company organized under the laws of Ireland (“AbbVie”) is effective as of October 5, 2016. Licensor and AbbVie are sometimes referred to herein individually as a “Party” and collectively as the “Parties.”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AbbVie and Licensor entered into the Agreement pertaining to the Development and Commercialization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CD71 PDCs and Licensed Products;</w:t>
      </w:r>
    </w:p>
    <w:p>
      <w:pPr>
        <w:spacing w:after="0" w:line="163"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under the Agreement, AbbVie has granted Licensor a sublicense under the SGEN IP to Develop and</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Manufacture certain CD71 PDCs and Licensed Products subject to the terms and conditions of the SGEN Agreement;</w:t>
      </w:r>
    </w:p>
    <w:p>
      <w:pPr>
        <w:spacing w:after="0" w:line="13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under the provisions of the Agreement, AbbVie may amend or modify the SGEN Agreement to permit</w:t>
      </w:r>
      <w:r>
        <w:rPr>
          <w:rFonts w:ascii="Arial" w:cs="Arial" w:eastAsia="Arial" w:hAnsi="Arial"/>
          <w:sz w:val="22"/>
          <w:szCs w:val="22"/>
          <w:b w:val="1"/>
          <w:bCs w:val="1"/>
          <w:color w:val="auto"/>
        </w:rPr>
        <w:t xml:space="preserve"> </w:t>
      </w:r>
      <w:r>
        <w:rPr>
          <w:rFonts w:ascii="Arial" w:cs="Arial" w:eastAsia="Arial" w:hAnsi="Arial"/>
          <w:sz w:val="22"/>
          <w:szCs w:val="22"/>
          <w:color w:val="auto"/>
        </w:rPr>
        <w:t>SGEN to use Restricted CD71 Antibodies conjugated to a payload with a linker for internal research purposes;</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AbbVie and Licensor desire to mutually agree and clarify the activities permitted to SGEN under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11.3.2 of the Agreement; and</w:t>
      </w:r>
    </w:p>
    <w:p>
      <w:pPr>
        <w:spacing w:after="0" w:line="163" w:lineRule="exact"/>
        <w:rPr>
          <w:sz w:val="20"/>
          <w:szCs w:val="20"/>
          <w:color w:val="auto"/>
        </w:rPr>
      </w:pPr>
    </w:p>
    <w:p>
      <w:pPr>
        <w:jc w:val="both"/>
        <w:ind w:firstLine="877"/>
        <w:spacing w:after="0" w:line="28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AbbVie and Licensor also desire to mutually agree and clarify that the SGEN Agreement relates to</w:t>
      </w:r>
      <w:r>
        <w:rPr>
          <w:rFonts w:ascii="Arial" w:cs="Arial" w:eastAsia="Arial" w:hAnsi="Arial"/>
          <w:sz w:val="21"/>
          <w:szCs w:val="21"/>
          <w:b w:val="1"/>
          <w:bCs w:val="1"/>
          <w:color w:val="auto"/>
        </w:rPr>
        <w:t xml:space="preserve"> </w:t>
      </w:r>
      <w:r>
        <w:rPr>
          <w:rFonts w:ascii="Arial" w:cs="Arial" w:eastAsia="Arial" w:hAnsi="Arial"/>
          <w:sz w:val="21"/>
          <w:szCs w:val="21"/>
          <w:color w:val="auto"/>
        </w:rPr>
        <w:t>antibodies directed to selected targets that are conjugated to a payload with a linker, and activities related thereto.</w:t>
      </w:r>
    </w:p>
    <w:p>
      <w:pPr>
        <w:spacing w:after="0" w:line="139"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Parties hereto, intending to be legally bound, hereby agree as follows:</w:t>
      </w:r>
    </w:p>
    <w:p>
      <w:pPr>
        <w:spacing w:after="0" w:line="169" w:lineRule="exact"/>
        <w:rPr>
          <w:sz w:val="20"/>
          <w:szCs w:val="20"/>
          <w:color w:val="auto"/>
        </w:rPr>
      </w:pPr>
    </w:p>
    <w:p>
      <w:pPr>
        <w:ind w:left="820" w:hanging="812"/>
        <w:spacing w:after="0"/>
        <w:tabs>
          <w:tab w:leader="none" w:pos="8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capitalized terms not defined in this Amendment shall have the meanings set forth in the Agreement.</w:t>
      </w:r>
    </w:p>
    <w:p>
      <w:pPr>
        <w:spacing w:after="0" w:line="206" w:lineRule="exact"/>
        <w:rPr>
          <w:rFonts w:ascii="Arial" w:cs="Arial" w:eastAsia="Arial" w:hAnsi="Arial"/>
          <w:sz w:val="22"/>
          <w:szCs w:val="22"/>
          <w:color w:val="auto"/>
        </w:rPr>
      </w:pPr>
    </w:p>
    <w:p>
      <w:pPr>
        <w:ind w:left="820" w:hanging="812"/>
        <w:spacing w:after="0"/>
        <w:tabs>
          <w:tab w:leader="none" w:pos="8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Section 11.3.2 of the Agreement is deleted in its entirety and replaced with the following:</w:t>
      </w:r>
    </w:p>
    <w:p>
      <w:pPr>
        <w:spacing w:after="0" w:line="206" w:lineRule="exact"/>
        <w:rPr>
          <w:sz w:val="20"/>
          <w:szCs w:val="20"/>
          <w:color w:val="auto"/>
        </w:rPr>
      </w:pPr>
    </w:p>
    <w:p>
      <w:pPr>
        <w:jc w:val="both"/>
        <w:ind w:left="880"/>
        <w:spacing w:after="0" w:line="234" w:lineRule="auto"/>
        <w:rPr>
          <w:sz w:val="20"/>
          <w:szCs w:val="20"/>
          <w:color w:val="auto"/>
        </w:rPr>
      </w:pPr>
      <w:r>
        <w:rPr>
          <w:rFonts w:ascii="Arial" w:cs="Arial" w:eastAsia="Arial" w:hAnsi="Arial"/>
          <w:sz w:val="22"/>
          <w:szCs w:val="22"/>
          <w:color w:val="auto"/>
        </w:rPr>
        <w:t>11.3.2 During the Term, neither AbbVie nor any of its Affiliates shall (a) commit any acts or permitting the occurrence of any omissions that would cause the breach or termination of the SGEN Agreement, or (b) amending or otherwise modifying or permitting to be amended or modified, the SGEN Agreement, where such amendment or modification would materially affect the rights granted to Licensor hereunder; provided, however, that the foregoing covenant shall not apply (i) if the Lead First CD71 PDC has not met the Preclinical POC Success Criteria, the CD71 GLP Tox Success Criteria or the CD71 IND Success Criteria, in each case by the applicable deadline, and AbbVie (in its sole discretion)</w:t>
      </w:r>
    </w:p>
    <w:p>
      <w:pPr>
        <w:spacing w:after="0" w:line="198" w:lineRule="exact"/>
        <w:rPr>
          <w:sz w:val="20"/>
          <w:szCs w:val="20"/>
          <w:color w:val="auto"/>
        </w:rPr>
      </w:pPr>
    </w:p>
    <w:p>
      <w:pPr>
        <w:ind w:right="200" w:firstLine="8"/>
        <w:spacing w:after="0" w:line="277" w:lineRule="auto"/>
        <w:tabs>
          <w:tab w:leader="none" w:pos="4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880"/>
        <w:spacing w:after="0" w:line="275" w:lineRule="auto"/>
        <w:rPr>
          <w:sz w:val="20"/>
          <w:szCs w:val="20"/>
          <w:color w:val="auto"/>
        </w:rPr>
      </w:pPr>
      <w:r>
        <w:rPr>
          <w:rFonts w:ascii="Arial" w:cs="Arial" w:eastAsia="Arial" w:hAnsi="Arial"/>
          <w:sz w:val="19"/>
          <w:szCs w:val="19"/>
          <w:color w:val="auto"/>
        </w:rPr>
        <w:t>has not elected to proceed with the Lead First CD71 PDC, or if the Lead First CD71 PDC is otherwise no longer being pursued under this Agreement, or (ii) to any amendment or modification of the SGEN Agreement, or any waiver of any terms or conditions thereto, permitting SGEN or its Affiliates to use Restricted CD71 Antibodies conjugated to a payload with a linker, but solely as control reagents (both positive or negative controls) for (A) assays for research purposes and [***]. As of the Effective Date, none of AbbVie, its Affiliates and, to the best of their Knowledge, any Third Party is in breach of the SGEN Agreement. No party to the SGEN Agreement has threatened to terminate, or has otherwise alleged any material breach under, such agreement. The SGEN Agreement is in full force and effect in accordance with its terms. As of the Effective Date, AbbVie has nominated CD7l as a target under the SGEN Agreement.</w:t>
      </w:r>
    </w:p>
    <w:p>
      <w:pPr>
        <w:spacing w:after="0" w:line="158" w:lineRule="exact"/>
        <w:rPr>
          <w:sz w:val="20"/>
          <w:szCs w:val="20"/>
          <w:color w:val="auto"/>
        </w:rPr>
      </w:pPr>
    </w:p>
    <w:p>
      <w:pPr>
        <w:jc w:val="both"/>
        <w:ind w:firstLine="8"/>
        <w:spacing w:after="0" w:line="274" w:lineRule="auto"/>
        <w:tabs>
          <w:tab w:leader="none" w:pos="810"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Except as specifically modified or amended hereby, the Agreement shall remain in full force and effect and, as modified or amended, is hereby ratified, confirmed and approved. This Amendment may be executed in two (2) or more counterparts, each of which shall be deemed an original, but all of which together shall constitute one (1) and the same instrument. This Amendment may be executed by facsimile or electronically transmitted signatures and such signatures shall be deemed to bind each Party hereto as if they were original signatures. This Amendment is the product of both of the Parties hereto and that, in the event of a dispute over its interpretation, the language of this Amendment will not be construed against one Party in favor of the other. This Amendment together with the Agreement constitutes the entire agreement between such Parties pertaining to the subject matter hereof, and merges all prior negotiations and drafts of the Parties with regard to the transactions contemplated herein. From the date hereof, any reference to the Agreement shall be deemed to refer to the Agreement as amended by this Amendment.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13" w:lineRule="exact"/>
        <w:rPr>
          <w:sz w:val="20"/>
          <w:szCs w:val="20"/>
          <w:color w:val="auto"/>
        </w:rPr>
      </w:pPr>
    </w:p>
    <w:p>
      <w:pPr>
        <w:ind w:right="200" w:firstLine="8"/>
        <w:spacing w:after="0" w:line="277" w:lineRule="auto"/>
        <w:tabs>
          <w:tab w:leader="none" w:pos="4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each of the parties has caused this Amendment to be executed by its authorized representative in its name and on its behalf.</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CYTOMX THERAPEUTICS, INC.</w:t>
            </w:r>
          </w:p>
        </w:tc>
        <w:tc>
          <w:tcPr>
            <w:tcW w:w="5420" w:type="dxa"/>
            <w:vAlign w:val="bottom"/>
            <w:gridSpan w:val="2"/>
          </w:tcPr>
          <w:p>
            <w:pPr>
              <w:ind w:left="280"/>
              <w:spacing w:after="0"/>
              <w:rPr>
                <w:sz w:val="20"/>
                <w:szCs w:val="20"/>
                <w:color w:val="auto"/>
              </w:rPr>
            </w:pPr>
            <w:r>
              <w:rPr>
                <w:rFonts w:ascii="Arial" w:cs="Arial" w:eastAsia="Arial" w:hAnsi="Arial"/>
                <w:sz w:val="18"/>
                <w:szCs w:val="18"/>
                <w:b w:val="1"/>
                <w:bCs w:val="1"/>
                <w:color w:val="auto"/>
              </w:rPr>
              <w:t>ABBVIE IRELAND UNLIMITED COMPANY</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Ladd</w:t>
            </w:r>
          </w:p>
        </w:tc>
        <w:tc>
          <w:tcPr>
            <w:tcW w:w="1200" w:type="dxa"/>
            <w:vAlign w:val="bottom"/>
          </w:tcPr>
          <w:p>
            <w:pPr>
              <w:ind w:left="28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Chase</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Cynthia Ladd</w:t>
            </w:r>
          </w:p>
        </w:tc>
        <w:tc>
          <w:tcPr>
            <w:tcW w:w="1200" w:type="dxa"/>
            <w:vAlign w:val="bottom"/>
          </w:tcPr>
          <w:p>
            <w:pPr>
              <w:ind w:left="280"/>
              <w:spacing w:after="0"/>
              <w:rPr>
                <w:sz w:val="20"/>
                <w:szCs w:val="20"/>
                <w:color w:val="auto"/>
              </w:rPr>
            </w:pPr>
            <w:r>
              <w:rPr>
                <w:rFonts w:ascii="Arial" w:cs="Arial" w:eastAsia="Arial" w:hAnsi="Arial"/>
                <w:sz w:val="18"/>
                <w:szCs w:val="18"/>
                <w:color w:val="auto"/>
              </w:rPr>
              <w:t>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William J. Chase</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General Counsel</w:t>
            </w:r>
          </w:p>
        </w:tc>
        <w:tc>
          <w:tcPr>
            <w:tcW w:w="1200" w:type="dxa"/>
            <w:vAlign w:val="bottom"/>
          </w:tcPr>
          <w:p>
            <w:pPr>
              <w:ind w:left="280"/>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10/5/16</w:t>
            </w:r>
          </w:p>
        </w:tc>
        <w:tc>
          <w:tcPr>
            <w:tcW w:w="1200" w:type="dxa"/>
            <w:vAlign w:val="bottom"/>
          </w:tcPr>
          <w:p>
            <w:pPr>
              <w:ind w:left="280"/>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10/5/16</w:t>
            </w:r>
          </w:p>
        </w:tc>
      </w:tr>
    </w:tbl>
    <w:p>
      <w:pPr>
        <w:spacing w:after="0" w:line="200" w:lineRule="exact"/>
        <w:rPr>
          <w:sz w:val="20"/>
          <w:szCs w:val="20"/>
          <w:color w:val="auto"/>
        </w:rPr>
      </w:pPr>
    </w:p>
    <w:p>
      <w:pPr>
        <w:spacing w:after="0" w:line="231" w:lineRule="exact"/>
        <w:rPr>
          <w:sz w:val="20"/>
          <w:szCs w:val="20"/>
          <w:color w:val="auto"/>
        </w:rPr>
      </w:pPr>
    </w:p>
    <w:p>
      <w:pPr>
        <w:ind w:right="200" w:firstLine="8"/>
        <w:spacing w:after="0" w:line="277" w:lineRule="auto"/>
        <w:tabs>
          <w:tab w:leader="none" w:pos="4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THE</w:t>
      </w:r>
    </w:p>
    <w:p>
      <w:pPr>
        <w:jc w:val="center"/>
        <w:spacing w:after="0"/>
        <w:rPr>
          <w:sz w:val="20"/>
          <w:szCs w:val="20"/>
          <w:color w:val="auto"/>
        </w:rPr>
      </w:pPr>
      <w:r>
        <w:rPr>
          <w:rFonts w:ascii="Arial" w:cs="Arial" w:eastAsia="Arial" w:hAnsi="Arial"/>
          <w:sz w:val="22"/>
          <w:szCs w:val="22"/>
          <w:b w:val="1"/>
          <w:bCs w:val="1"/>
          <w:color w:val="auto"/>
        </w:rPr>
        <w:t>CD71 CO-DEVELOPMENT AND LICENSE AGREEMENT</w:t>
      </w:r>
    </w:p>
    <w:p>
      <w:pPr>
        <w:spacing w:after="0" w:line="188"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This Second Amendment (the “Amendment”) to the CD71 Co-Development and License Agreement dated April 21, 2016, as amended (the “Agreement”) by and between CytomX Therapeutics, Inc., a corporation organized under the laws of Delaware (“Licensor”) and AbbVie Ireland Unlimited Company, an unlimited company organized under the laws of Ireland (“AbbVie”) is effective as of March 31, 2017. Licensor and AbbVie are sometimes referred to herein individually as a “Party” and collectively as the “Parties.”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AbbVie and Licensor entered into the Agreement pertaining to the Development and Commercialization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CD71 PDCs and Licensed Products;</w:t>
      </w:r>
    </w:p>
    <w:p>
      <w:pPr>
        <w:spacing w:after="0" w:line="163" w:lineRule="exact"/>
        <w:rPr>
          <w:sz w:val="20"/>
          <w:szCs w:val="20"/>
          <w:color w:val="auto"/>
        </w:rPr>
      </w:pPr>
    </w:p>
    <w:p>
      <w:pPr>
        <w:jc w:val="both"/>
        <w:ind w:right="2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under Section 2.1.2(b) of the Agreement, the JRC is authorized to review and approve certain 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CD71 GLP Tox Success Criteria;</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March 15, 2017, the JRC approved certain amendments to the CD71 GLP Tox Success Criteria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reflected in the attached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AbbVie and Licensor desire to amend the CD71 GLP Tox Success Criteria under Schedule 1.47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w:t>
      </w:r>
    </w:p>
    <w:p>
      <w:pPr>
        <w:spacing w:after="0" w:line="163" w:lineRule="exact"/>
        <w:rPr>
          <w:sz w:val="20"/>
          <w:szCs w:val="20"/>
          <w:color w:val="auto"/>
        </w:rPr>
      </w:pPr>
    </w:p>
    <w:p>
      <w:pPr>
        <w:jc w:val="both"/>
        <w:ind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Parties hereto, intending to be legally bound, hereby agree as follows:</w:t>
      </w:r>
    </w:p>
    <w:p>
      <w:pPr>
        <w:spacing w:after="0" w:line="169" w:lineRule="exact"/>
        <w:rPr>
          <w:sz w:val="20"/>
          <w:szCs w:val="20"/>
          <w:color w:val="auto"/>
        </w:rPr>
      </w:pPr>
    </w:p>
    <w:p>
      <w:pPr>
        <w:ind w:left="880" w:hanging="872"/>
        <w:spacing w:after="0"/>
        <w:tabs>
          <w:tab w:leader="none" w:pos="8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capitalized terms not defined in this Amendment shall have the meanings set forth in the Agreement.</w:t>
      </w:r>
    </w:p>
    <w:p>
      <w:pPr>
        <w:spacing w:after="0" w:line="206" w:lineRule="exact"/>
        <w:rPr>
          <w:rFonts w:ascii="Arial" w:cs="Arial" w:eastAsia="Arial" w:hAnsi="Arial"/>
          <w:sz w:val="22"/>
          <w:szCs w:val="22"/>
          <w:color w:val="auto"/>
        </w:rPr>
      </w:pPr>
    </w:p>
    <w:p>
      <w:pPr>
        <w:ind w:left="880" w:hanging="872"/>
        <w:spacing w:after="0"/>
        <w:tabs>
          <w:tab w:leader="none" w:pos="8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Schedule 1.47 of the Agreement is deleted in its entirety and replaced with the attached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880" w:hanging="872"/>
        <w:spacing w:after="0" w:line="273" w:lineRule="auto"/>
        <w:tabs>
          <w:tab w:leader="none" w:pos="8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Except as specifically modified or amended hereby, the Agreement shall remain in full force and effect and, as modified or amended, is hereby ratified, confirmed and approved. This Amendment may be executed in two (2) or more counterparts, each of which shall be deemed an original, but all of which together shall constitute one (1) and the same instrument. This Amendment may be executed by facsimile or electronically transmitted signatures and such signatures shall be deemed to bind each Party hereto as if they were original signatures. This Amendment is the product of both of the Parties hereto and that, in the event of a dispute over its interpretation, the language of this Amendment will not be construed against one Party in favor of the other. This Amendment together with the Agreement constitutes the entire agreement between such Parties pertaining to the subject matter hereof, and merges all prior negotiations and drafts of the Parties with regard to the transactions contemplated herein. From the date hereof, any reference to the Agreement shall be deemed to refer to the Agreement as amended by this Amendment.</w:t>
      </w:r>
    </w:p>
    <w:p>
      <w:pPr>
        <w:spacing w:after="0" w:line="385" w:lineRule="exact"/>
        <w:rPr>
          <w:sz w:val="20"/>
          <w:szCs w:val="20"/>
          <w:color w:val="auto"/>
        </w:rPr>
      </w:pPr>
    </w:p>
    <w:p>
      <w:pPr>
        <w:ind w:right="200" w:firstLine="8"/>
        <w:spacing w:after="0" w:line="277" w:lineRule="auto"/>
        <w:tabs>
          <w:tab w:leader="none" w:pos="4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jc w:val="center"/>
        <w:ind w:right="-191"/>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center"/>
        <w:ind w:right="-331"/>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 w:firstLine="8"/>
        <w:spacing w:after="0" w:line="277" w:lineRule="auto"/>
        <w:tabs>
          <w:tab w:leader="none" w:pos="4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12"/>
          </w:cols>
          <w:pgMar w:left="248" w:top="125" w:right="4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right="1080" w:firstLine="927"/>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each of the parties has caused this Amendment to be executed by its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in its name and on its behalf.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CYTOMX THERAPEUTICS, INC.</w:t>
            </w:r>
          </w:p>
        </w:tc>
        <w:tc>
          <w:tcPr>
            <w:tcW w:w="6120" w:type="dxa"/>
            <w:vAlign w:val="bottom"/>
            <w:gridSpan w:val="2"/>
          </w:tcPr>
          <w:p>
            <w:pPr>
              <w:ind w:left="140"/>
              <w:spacing w:after="0"/>
              <w:rPr>
                <w:sz w:val="20"/>
                <w:szCs w:val="20"/>
                <w:color w:val="auto"/>
              </w:rPr>
            </w:pPr>
            <w:r>
              <w:rPr>
                <w:rFonts w:ascii="Arial" w:cs="Arial" w:eastAsia="Arial" w:hAnsi="Arial"/>
                <w:sz w:val="18"/>
                <w:szCs w:val="18"/>
                <w:b w:val="1"/>
                <w:bCs w:val="1"/>
                <w:color w:val="auto"/>
              </w:rPr>
              <w:t>ABBVIE IRELAND UNLIMITED COMPANY</w:t>
            </w: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/s/ Cynthia Ladd</w:t>
            </w:r>
          </w:p>
        </w:tc>
        <w:tc>
          <w:tcPr>
            <w:tcW w:w="1000" w:type="dxa"/>
            <w:vAlign w:val="bottom"/>
          </w:tcPr>
          <w:p>
            <w:pPr>
              <w:ind w:left="140"/>
              <w:spacing w:after="0"/>
              <w:rPr>
                <w:sz w:val="20"/>
                <w:szCs w:val="20"/>
                <w:color w:val="auto"/>
              </w:rPr>
            </w:pPr>
            <w:r>
              <w:rPr>
                <w:rFonts w:ascii="Arial" w:cs="Arial" w:eastAsia="Arial" w:hAnsi="Arial"/>
                <w:sz w:val="18"/>
                <w:szCs w:val="18"/>
                <w:color w:val="auto"/>
              </w:rPr>
              <w:t>By:</w:t>
            </w:r>
          </w:p>
        </w:tc>
        <w:tc>
          <w:tcPr>
            <w:tcW w:w="5120" w:type="dxa"/>
            <w:vAlign w:val="bottom"/>
          </w:tcPr>
          <w:p>
            <w:pPr>
              <w:spacing w:after="0"/>
              <w:rPr>
                <w:sz w:val="20"/>
                <w:szCs w:val="20"/>
                <w:color w:val="auto"/>
              </w:rPr>
            </w:pPr>
            <w:r>
              <w:rPr>
                <w:rFonts w:ascii="Arial" w:cs="Arial" w:eastAsia="Arial" w:hAnsi="Arial"/>
                <w:sz w:val="18"/>
                <w:szCs w:val="18"/>
                <w:color w:val="auto"/>
              </w:rPr>
              <w:t>/s/ Melvyn Hodkinson</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Cynthia Ladd</w:t>
            </w:r>
          </w:p>
        </w:tc>
        <w:tc>
          <w:tcPr>
            <w:tcW w:w="1000" w:type="dxa"/>
            <w:vAlign w:val="bottom"/>
          </w:tcPr>
          <w:p>
            <w:pPr>
              <w:ind w:left="140"/>
              <w:spacing w:after="0"/>
              <w:rPr>
                <w:sz w:val="20"/>
                <w:szCs w:val="20"/>
                <w:color w:val="auto"/>
              </w:rPr>
            </w:pPr>
            <w:r>
              <w:rPr>
                <w:rFonts w:ascii="Arial" w:cs="Arial" w:eastAsia="Arial" w:hAnsi="Arial"/>
                <w:sz w:val="18"/>
                <w:szCs w:val="18"/>
                <w:color w:val="auto"/>
              </w:rPr>
              <w:t>Name:</w:t>
            </w:r>
          </w:p>
        </w:tc>
        <w:tc>
          <w:tcPr>
            <w:tcW w:w="5120" w:type="dxa"/>
            <w:vAlign w:val="bottom"/>
          </w:tcPr>
          <w:p>
            <w:pPr>
              <w:spacing w:after="0"/>
              <w:rPr>
                <w:sz w:val="20"/>
                <w:szCs w:val="20"/>
                <w:color w:val="auto"/>
              </w:rPr>
            </w:pPr>
            <w:r>
              <w:rPr>
                <w:rFonts w:ascii="Arial" w:cs="Arial" w:eastAsia="Arial" w:hAnsi="Arial"/>
                <w:sz w:val="18"/>
                <w:szCs w:val="18"/>
                <w:color w:val="auto"/>
              </w:rPr>
              <w:t>Melvyn Hodkinson</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SVP, General Counsel</w:t>
            </w:r>
          </w:p>
        </w:tc>
        <w:tc>
          <w:tcPr>
            <w:tcW w:w="1000" w:type="dxa"/>
            <w:vAlign w:val="bottom"/>
          </w:tcPr>
          <w:p>
            <w:pPr>
              <w:ind w:left="140"/>
              <w:spacing w:after="0"/>
              <w:rPr>
                <w:sz w:val="20"/>
                <w:szCs w:val="20"/>
                <w:color w:val="auto"/>
              </w:rPr>
            </w:pPr>
            <w:r>
              <w:rPr>
                <w:rFonts w:ascii="Arial" w:cs="Arial" w:eastAsia="Arial" w:hAnsi="Arial"/>
                <w:sz w:val="18"/>
                <w:szCs w:val="18"/>
                <w:color w:val="auto"/>
              </w:rPr>
              <w:t>Title:</w:t>
            </w:r>
          </w:p>
        </w:tc>
        <w:tc>
          <w:tcPr>
            <w:tcW w:w="5120" w:type="dxa"/>
            <w:vAlign w:val="bottom"/>
          </w:tcPr>
          <w:p>
            <w:pPr>
              <w:spacing w:after="0"/>
              <w:rPr>
                <w:sz w:val="20"/>
                <w:szCs w:val="20"/>
                <w:color w:val="auto"/>
              </w:rPr>
            </w:pPr>
            <w:r>
              <w:rPr>
                <w:rFonts w:ascii="Arial" w:cs="Arial" w:eastAsia="Arial" w:hAnsi="Arial"/>
                <w:sz w:val="18"/>
                <w:szCs w:val="18"/>
                <w:color w:val="auto"/>
              </w:rPr>
              <w:t>Director</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gridSpan w:val="2"/>
          </w:tcPr>
          <w:p>
            <w:pPr>
              <w:ind w:left="180"/>
              <w:spacing w:after="0"/>
              <w:rPr>
                <w:sz w:val="20"/>
                <w:szCs w:val="20"/>
                <w:color w:val="auto"/>
              </w:rPr>
            </w:pPr>
            <w:r>
              <w:rPr>
                <w:rFonts w:ascii="Arial" w:cs="Arial" w:eastAsia="Arial" w:hAnsi="Arial"/>
                <w:sz w:val="18"/>
                <w:szCs w:val="18"/>
                <w:color w:val="auto"/>
              </w:rPr>
              <w:t>March 30, 2017</w:t>
            </w:r>
          </w:p>
        </w:tc>
        <w:tc>
          <w:tcPr>
            <w:tcW w:w="1000" w:type="dxa"/>
            <w:vAlign w:val="bottom"/>
          </w:tcPr>
          <w:p>
            <w:pPr>
              <w:ind w:left="140"/>
              <w:spacing w:after="0"/>
              <w:rPr>
                <w:sz w:val="20"/>
                <w:szCs w:val="20"/>
                <w:color w:val="auto"/>
              </w:rPr>
            </w:pPr>
            <w:r>
              <w:rPr>
                <w:rFonts w:ascii="Arial" w:cs="Arial" w:eastAsia="Arial" w:hAnsi="Arial"/>
                <w:sz w:val="18"/>
                <w:szCs w:val="18"/>
                <w:color w:val="auto"/>
              </w:rPr>
              <w:t>Date:</w:t>
            </w:r>
          </w:p>
        </w:tc>
        <w:tc>
          <w:tcPr>
            <w:tcW w:w="5120" w:type="dxa"/>
            <w:vAlign w:val="bottom"/>
          </w:tcPr>
          <w:p>
            <w:pPr>
              <w:spacing w:after="0"/>
              <w:rPr>
                <w:sz w:val="20"/>
                <w:szCs w:val="20"/>
                <w:color w:val="auto"/>
              </w:rPr>
            </w:pPr>
            <w:r>
              <w:rPr>
                <w:rFonts w:ascii="Arial" w:cs="Arial" w:eastAsia="Arial" w:hAnsi="Arial"/>
                <w:sz w:val="18"/>
                <w:szCs w:val="18"/>
                <w:color w:val="auto"/>
              </w:rPr>
              <w:t>March 30, 2017</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0" w:firstLine="8"/>
        <w:spacing w:after="0" w:line="277" w:lineRule="auto"/>
        <w:tabs>
          <w:tab w:leader="none" w:pos="4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jc w:val="center"/>
        <w:ind w:right="-199"/>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5240"/>
        <w:spacing w:after="0"/>
        <w:rPr>
          <w:sz w:val="20"/>
          <w:szCs w:val="20"/>
          <w:color w:val="auto"/>
        </w:rPr>
      </w:pPr>
      <w:r>
        <w:rPr>
          <w:rFonts w:ascii="Arial" w:cs="Arial" w:eastAsia="Arial" w:hAnsi="Arial"/>
          <w:sz w:val="22"/>
          <w:szCs w:val="22"/>
          <w:b w:val="1"/>
          <w:bCs w:val="1"/>
          <w:u w:val="single" w:color="auto"/>
          <w:color w:val="auto"/>
        </w:rPr>
        <w:t>EXHIBIT A</w:t>
      </w:r>
    </w:p>
    <w:p>
      <w:pPr>
        <w:spacing w:after="0" w:line="206"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Schedule 1.47</w:t>
      </w:r>
    </w:p>
    <w:p>
      <w:pPr>
        <w:spacing w:after="0" w:line="206"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CD71 GLP Tox Success Criteria</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color w:val="auto"/>
        </w:rPr>
        <w:t>Each of the success criteria below must be achieved in order for the CD71 GLP Tox Success Criteria to be achieved:</w:t>
      </w:r>
    </w:p>
    <w:p>
      <w:pPr>
        <w:spacing w:after="0" w:line="21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w:t>
      </w:r>
    </w:p>
    <w:p>
      <w:pPr>
        <w:spacing w:after="0" w:line="213" w:lineRule="exact"/>
        <w:rPr>
          <w:sz w:val="20"/>
          <w:szCs w:val="20"/>
          <w:color w:val="auto"/>
        </w:rPr>
      </w:pPr>
    </w:p>
    <w:p>
      <w:pPr>
        <w:ind w:firstLine="8"/>
        <w:spacing w:after="0" w:line="277" w:lineRule="auto"/>
        <w:tabs>
          <w:tab w:leader="none" w:pos="4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220"/>
          </w:cols>
          <w:pgMar w:left="240" w:top="125" w:right="4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THE</w:t>
      </w:r>
    </w:p>
    <w:p>
      <w:pPr>
        <w:jc w:val="center"/>
        <w:spacing w:after="0"/>
        <w:rPr>
          <w:sz w:val="20"/>
          <w:szCs w:val="20"/>
          <w:color w:val="auto"/>
        </w:rPr>
      </w:pPr>
      <w:r>
        <w:rPr>
          <w:rFonts w:ascii="Arial" w:cs="Arial" w:eastAsia="Arial" w:hAnsi="Arial"/>
          <w:sz w:val="22"/>
          <w:szCs w:val="22"/>
          <w:b w:val="1"/>
          <w:bCs w:val="1"/>
          <w:color w:val="auto"/>
        </w:rPr>
        <w:t>CD71 CO-DEVELOPMENT AND LICENSE AGREEMENT</w:t>
      </w:r>
    </w:p>
    <w:p>
      <w:pPr>
        <w:spacing w:after="0" w:line="188" w:lineRule="exact"/>
        <w:rPr>
          <w:sz w:val="20"/>
          <w:szCs w:val="20"/>
          <w:color w:val="auto"/>
        </w:rPr>
      </w:pPr>
    </w:p>
    <w:p>
      <w:pPr>
        <w:ind w:right="60" w:firstLine="877"/>
        <w:spacing w:after="0" w:line="236" w:lineRule="auto"/>
        <w:rPr>
          <w:sz w:val="20"/>
          <w:szCs w:val="20"/>
          <w:color w:val="auto"/>
        </w:rPr>
      </w:pPr>
      <w:r>
        <w:rPr>
          <w:rFonts w:ascii="Arial" w:cs="Arial" w:eastAsia="Arial" w:hAnsi="Arial"/>
          <w:sz w:val="22"/>
          <w:szCs w:val="22"/>
          <w:color w:val="auto"/>
        </w:rPr>
        <w:t>This Third Amendment (the “Amendment”) to the CD71 Co-Development and License Agreement dated April 21, 2016, as amended (the “Agreement”) by and between CytomX Therapeutics, Inc., a corporation organized under the laws of Delaware (“Licensor”) and AbbVie Ireland Unlimited Company, an unlimited company organized under the laws of Ireland (“AbbVie” ) is effective as of January 3, 2018. Licensor and AbbVie are sometimes referred to herein individually as a “Party” and collectively as the “Parties”.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00" w:lineRule="exact"/>
        <w:rPr>
          <w:sz w:val="20"/>
          <w:szCs w:val="20"/>
          <w:color w:val="auto"/>
        </w:rPr>
      </w:pPr>
    </w:p>
    <w:p>
      <w:pPr>
        <w:ind w:right="6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AbbVie and Licensor entered into the Agreement pertaining to the Development and Commercialization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CD71 PDCs and Licensed Products;</w:t>
      </w:r>
    </w:p>
    <w:p>
      <w:pPr>
        <w:spacing w:after="0" w:line="163" w:lineRule="exact"/>
        <w:rPr>
          <w:sz w:val="20"/>
          <w:szCs w:val="20"/>
          <w:color w:val="auto"/>
        </w:rPr>
      </w:pPr>
    </w:p>
    <w:p>
      <w:pPr>
        <w:ind w:right="10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under Section 2.1.2(c) of the Agreement, the JRC is authorized to review and approve certain 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to the CD71 IND Success Criteria;</w:t>
      </w:r>
    </w:p>
    <w:p>
      <w:pPr>
        <w:spacing w:after="0" w:line="163" w:lineRule="exact"/>
        <w:rPr>
          <w:sz w:val="20"/>
          <w:szCs w:val="20"/>
          <w:color w:val="auto"/>
        </w:rPr>
      </w:pPr>
    </w:p>
    <w:p>
      <w:pPr>
        <w:ind w:right="74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December 14, 2017, the JRC approved certain amendments to the CD71 ND Success Criteria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reflected in the attached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63" w:lineRule="exact"/>
        <w:rPr>
          <w:sz w:val="20"/>
          <w:szCs w:val="20"/>
          <w:color w:val="auto"/>
        </w:rPr>
      </w:pPr>
    </w:p>
    <w:p>
      <w:pPr>
        <w:ind w:right="900" w:firstLine="877"/>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AbbVie and Licensor desire to amend the CD71 IND Success Criteria under Schedule 1.49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as further described hereunder.</w:t>
      </w:r>
    </w:p>
    <w:p>
      <w:pPr>
        <w:spacing w:after="0" w:line="163" w:lineRule="exact"/>
        <w:rPr>
          <w:sz w:val="20"/>
          <w:szCs w:val="20"/>
          <w:color w:val="auto"/>
        </w:rPr>
      </w:pPr>
    </w:p>
    <w:p>
      <w:pPr>
        <w:ind w:right="580" w:firstLine="87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for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Parties hereto, intending to be legally bound, hereby agree as follows:</w:t>
      </w:r>
    </w:p>
    <w:p>
      <w:pPr>
        <w:spacing w:after="0" w:line="169" w:lineRule="exact"/>
        <w:rPr>
          <w:sz w:val="20"/>
          <w:szCs w:val="20"/>
          <w:color w:val="auto"/>
        </w:rPr>
      </w:pPr>
    </w:p>
    <w:p>
      <w:pPr>
        <w:ind w:left="1740" w:hanging="868"/>
        <w:spacing w:after="0"/>
        <w:tabs>
          <w:tab w:leader="none" w:pos="1740" w:val="left"/>
        </w:tabs>
        <w:numPr>
          <w:ilvl w:val="1"/>
          <w:numId w:val="45"/>
        </w:numPr>
        <w:rPr>
          <w:rFonts w:ascii="Arial" w:cs="Arial" w:eastAsia="Arial" w:hAnsi="Arial"/>
          <w:sz w:val="21"/>
          <w:szCs w:val="21"/>
          <w:color w:val="auto"/>
        </w:rPr>
      </w:pPr>
      <w:r>
        <w:rPr>
          <w:rFonts w:ascii="Arial" w:cs="Arial" w:eastAsia="Arial" w:hAnsi="Arial"/>
          <w:sz w:val="21"/>
          <w:szCs w:val="21"/>
          <w:color w:val="auto"/>
        </w:rPr>
        <w:t>Any capitalized terms not defined in this Amendment shall have the meaning set forth in the Agreement.</w:t>
      </w:r>
    </w:p>
    <w:p>
      <w:pPr>
        <w:spacing w:after="0" w:line="217" w:lineRule="exact"/>
        <w:rPr>
          <w:rFonts w:ascii="Arial" w:cs="Arial" w:eastAsia="Arial" w:hAnsi="Arial"/>
          <w:sz w:val="21"/>
          <w:szCs w:val="21"/>
          <w:color w:val="auto"/>
        </w:rPr>
      </w:pPr>
    </w:p>
    <w:p>
      <w:pPr>
        <w:ind w:left="1740" w:hanging="868"/>
        <w:spacing w:after="0"/>
        <w:tabs>
          <w:tab w:leader="none" w:pos="17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Schedule 1.49 of the Agreement is deleted in its entirety and replaced with the attached Exhibit A.</w:t>
      </w:r>
    </w:p>
    <w:p>
      <w:pPr>
        <w:spacing w:after="0" w:line="206" w:lineRule="exact"/>
        <w:rPr>
          <w:rFonts w:ascii="Arial" w:cs="Arial" w:eastAsia="Arial" w:hAnsi="Arial"/>
          <w:sz w:val="22"/>
          <w:szCs w:val="22"/>
          <w:color w:val="auto"/>
        </w:rPr>
      </w:pPr>
    </w:p>
    <w:p>
      <w:pPr>
        <w:ind w:left="1740" w:right="20" w:hanging="868"/>
        <w:spacing w:after="0" w:line="273" w:lineRule="auto"/>
        <w:tabs>
          <w:tab w:leader="none" w:pos="17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Except as specifically modified or amended hereby, the Agreement shall remain in full force and effect and, as modified or amended, is hereby ratified, confirmed and approved. This Amendment may be executed in two (2) or more counterparts, each of which shall be deemed an original, but all of which together shall constitute one</w:t>
      </w:r>
    </w:p>
    <w:p>
      <w:pPr>
        <w:spacing w:after="0" w:line="1" w:lineRule="exact"/>
        <w:rPr>
          <w:rFonts w:ascii="Arial" w:cs="Arial" w:eastAsia="Arial" w:hAnsi="Arial"/>
          <w:sz w:val="19"/>
          <w:szCs w:val="19"/>
          <w:color w:val="auto"/>
        </w:rPr>
      </w:pPr>
    </w:p>
    <w:p>
      <w:pPr>
        <w:ind w:left="1740" w:right="60"/>
        <w:spacing w:after="0" w:line="273" w:lineRule="auto"/>
        <w:rPr>
          <w:rFonts w:ascii="Arial" w:cs="Arial" w:eastAsia="Arial" w:hAnsi="Arial"/>
          <w:sz w:val="19"/>
          <w:szCs w:val="19"/>
          <w:color w:val="auto"/>
        </w:rPr>
      </w:pPr>
      <w:r>
        <w:rPr>
          <w:rFonts w:ascii="Arial" w:cs="Arial" w:eastAsia="Arial" w:hAnsi="Arial"/>
          <w:sz w:val="19"/>
          <w:szCs w:val="19"/>
          <w:color w:val="auto"/>
        </w:rPr>
        <w:t>(1) and the same instrument. This Amendment may be executed by facsimile or electronically transmitted signatures and such signatures shall be deemed to bind each Party hereto as if they were original signatures. This Amendment is the product of both of the Parties hereto and, in the event of a dispute over its interpretation, the language of the Amendment will not be construed against one Party in favor of the other. This Amendment together with the Agreement constitutes the entire agreement between such Parties pertaining to the subject matter hereof, and merges all prior negotiations and drafts of the Parties with regard to the transactions contemplated herein. From the date hereof, any reference to the Agreement shall be deemed to refer to the Agreement as amended by this Amendment.</w:t>
      </w:r>
    </w:p>
    <w:p>
      <w:pPr>
        <w:spacing w:after="0" w:line="377" w:lineRule="exact"/>
        <w:rPr>
          <w:rFonts w:ascii="Arial" w:cs="Arial" w:eastAsia="Arial" w:hAnsi="Arial"/>
          <w:sz w:val="19"/>
          <w:szCs w:val="19"/>
          <w:color w:val="auto"/>
        </w:rPr>
      </w:pPr>
    </w:p>
    <w:p>
      <w:pPr>
        <w:ind w:right="200" w:firstLine="8"/>
        <w:spacing w:after="0" w:line="277" w:lineRule="auto"/>
        <w:tabs>
          <w:tab w:leader="none" w:pos="4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right="1100" w:firstLine="87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each of the Parties has caused this Amendment to be executed by its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 in its name and on its behalf.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CYTOMX THERAPEUTICS, INC.</w:t>
            </w:r>
          </w:p>
        </w:tc>
        <w:tc>
          <w:tcPr>
            <w:tcW w:w="6340" w:type="dxa"/>
            <w:vAlign w:val="bottom"/>
            <w:gridSpan w:val="2"/>
          </w:tcPr>
          <w:p>
            <w:pPr>
              <w:ind w:left="700"/>
              <w:spacing w:after="0"/>
              <w:rPr>
                <w:sz w:val="20"/>
                <w:szCs w:val="20"/>
                <w:color w:val="auto"/>
              </w:rPr>
            </w:pPr>
            <w:r>
              <w:rPr>
                <w:rFonts w:ascii="Arial" w:cs="Arial" w:eastAsia="Arial" w:hAnsi="Arial"/>
                <w:sz w:val="18"/>
                <w:szCs w:val="18"/>
                <w:b w:val="1"/>
                <w:bCs w:val="1"/>
                <w:color w:val="auto"/>
              </w:rPr>
              <w:t>ABBVIE IRELAND UNLIMITED COMPANY</w:t>
            </w: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/s/ Debanjan Ray</w:t>
            </w:r>
          </w:p>
        </w:tc>
        <w:tc>
          <w:tcPr>
            <w:tcW w:w="1560" w:type="dxa"/>
            <w:vAlign w:val="bottom"/>
          </w:tcPr>
          <w:p>
            <w:pPr>
              <w:ind w:left="70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Scott T. Reents</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Debanjan Ray</w:t>
            </w:r>
          </w:p>
        </w:tc>
        <w:tc>
          <w:tcPr>
            <w:tcW w:w="1560" w:type="dxa"/>
            <w:vAlign w:val="bottom"/>
          </w:tcPr>
          <w:p>
            <w:pPr>
              <w:ind w:left="70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Scott T. Reents</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CFO</w:t>
            </w:r>
          </w:p>
        </w:tc>
        <w:tc>
          <w:tcPr>
            <w:tcW w:w="1560" w:type="dxa"/>
            <w:vAlign w:val="bottom"/>
          </w:tcPr>
          <w:p>
            <w:pPr>
              <w:ind w:left="70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Director</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1/5/2018</w:t>
            </w:r>
          </w:p>
        </w:tc>
        <w:tc>
          <w:tcPr>
            <w:tcW w:w="1560" w:type="dxa"/>
            <w:vAlign w:val="bottom"/>
          </w:tcPr>
          <w:p>
            <w:pPr>
              <w:ind w:left="700"/>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0" w:firstLine="8"/>
        <w:spacing w:after="0" w:line="277" w:lineRule="auto"/>
        <w:tabs>
          <w:tab w:leader="none" w:pos="4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jc w:val="center"/>
        <w:ind w:right="-191"/>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5572"/>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ind w:left="5512"/>
        <w:spacing w:after="0"/>
        <w:rPr>
          <w:sz w:val="20"/>
          <w:szCs w:val="20"/>
          <w:color w:val="auto"/>
        </w:rPr>
      </w:pPr>
      <w:r>
        <w:rPr>
          <w:rFonts w:ascii="Arial" w:cs="Arial" w:eastAsia="Arial" w:hAnsi="Arial"/>
          <w:sz w:val="22"/>
          <w:szCs w:val="22"/>
          <w:b w:val="1"/>
          <w:bCs w:val="1"/>
          <w:u w:val="single" w:color="auto"/>
          <w:color w:val="auto"/>
        </w:rPr>
        <w:t>Schedule 1.49</w:t>
      </w:r>
    </w:p>
    <w:p>
      <w:pPr>
        <w:spacing w:after="0" w:line="212" w:lineRule="exact"/>
        <w:rPr>
          <w:sz w:val="20"/>
          <w:szCs w:val="20"/>
          <w:color w:val="auto"/>
        </w:rPr>
      </w:pPr>
    </w:p>
    <w:p>
      <w:pPr>
        <w:ind w:left="249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 w:firstLine="8"/>
        <w:spacing w:after="0" w:line="277" w:lineRule="auto"/>
        <w:tabs>
          <w:tab w:leader="none" w:pos="427"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212"/>
          </w:cols>
          <w:pgMar w:left="248" w:top="125" w:right="4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BETWEEN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CYTOMX THERAPEUTICS,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IMMUNOGEN, INC.</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FEBRUARY 12, 2016</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firstLine="8"/>
        <w:spacing w:after="0" w:line="277" w:lineRule="auto"/>
        <w:tabs>
          <w:tab w:leader="none" w:pos="4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22"/>
                <w:szCs w:val="22"/>
                <w:b w:val="1"/>
                <w:bCs w:val="1"/>
                <w:color w:val="auto"/>
              </w:rPr>
              <w:t>Exhibit 10.4</w:t>
            </w:r>
          </w:p>
        </w:tc>
      </w:tr>
      <w:tr>
        <w:trPr>
          <w:trHeight w:val="473"/>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80" w:type="dxa"/>
            <w:vAlign w:val="bottom"/>
          </w:tcPr>
          <w:p>
            <w:pPr>
              <w:ind w:left="3400"/>
              <w:spacing w:after="0"/>
              <w:rPr>
                <w:sz w:val="20"/>
                <w:szCs w:val="20"/>
                <w:color w:val="auto"/>
              </w:rPr>
            </w:pPr>
            <w:r>
              <w:rPr>
                <w:rFonts w:ascii="Arial" w:cs="Arial" w:eastAsia="Arial" w:hAnsi="Arial"/>
                <w:sz w:val="22"/>
                <w:szCs w:val="22"/>
                <w:b w:val="1"/>
                <w:bCs w:val="1"/>
                <w:color w:val="auto"/>
              </w:rPr>
              <w:t>TABLE OF CONTENTS</w:t>
            </w:r>
          </w:p>
        </w:tc>
        <w:tc>
          <w:tcPr>
            <w:tcW w:w="2900" w:type="dxa"/>
            <w:vAlign w:val="bottom"/>
          </w:tcPr>
          <w:p>
            <w:pPr>
              <w:spacing w:after="0"/>
              <w:rPr>
                <w:sz w:val="24"/>
                <w:szCs w:val="24"/>
                <w:color w:val="auto"/>
              </w:rPr>
            </w:pPr>
          </w:p>
        </w:tc>
      </w:tr>
      <w:tr>
        <w:trPr>
          <w:trHeight w:val="65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900" w:type="dxa"/>
            <w:vAlign w:val="bottom"/>
          </w:tcPr>
          <w:p>
            <w:pPr>
              <w:jc w:val="right"/>
              <w:ind w:right="29"/>
              <w:spacing w:after="0"/>
              <w:rPr>
                <w:sz w:val="20"/>
                <w:szCs w:val="20"/>
                <w:color w:val="auto"/>
              </w:rPr>
            </w:pPr>
            <w:r>
              <w:rPr>
                <w:rFonts w:ascii="Arial" w:cs="Arial" w:eastAsia="Arial" w:hAnsi="Arial"/>
                <w:sz w:val="18"/>
                <w:szCs w:val="18"/>
                <w:color w:val="auto"/>
              </w:rPr>
              <w:t>Page</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2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8520" w:type="dxa"/>
            <w:vAlign w:val="bottom"/>
            <w:gridSpan w:val="3"/>
          </w:tcPr>
          <w:p>
            <w:pPr>
              <w:spacing w:after="0"/>
              <w:rPr>
                <w:sz w:val="20"/>
                <w:szCs w:val="20"/>
                <w:color w:val="auto"/>
              </w:rPr>
            </w:pPr>
            <w:r>
              <w:rPr>
                <w:rFonts w:ascii="Arial" w:cs="Arial" w:eastAsia="Arial" w:hAnsi="Arial"/>
                <w:sz w:val="18"/>
                <w:szCs w:val="18"/>
                <w:color w:val="auto"/>
              </w:rPr>
              <w:t>2.    PRODUCT DEVELOPMENT, MANUFACTURING AND COMMERCIALIZATION</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2.1</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General</w:t>
            </w:r>
          </w:p>
        </w:tc>
        <w:tc>
          <w:tcPr>
            <w:tcW w:w="29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2.2</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Development Diligence</w:t>
            </w:r>
          </w:p>
        </w:tc>
        <w:tc>
          <w:tcPr>
            <w:tcW w:w="2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2.3</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Joint Development Committee</w:t>
            </w:r>
          </w:p>
        </w:tc>
        <w:tc>
          <w:tcPr>
            <w:tcW w:w="2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2.4</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Alliance Managers</w:t>
            </w:r>
          </w:p>
        </w:tc>
        <w:tc>
          <w:tcPr>
            <w:tcW w:w="2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2.5</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Updates and Reports; Product Recalls</w:t>
            </w:r>
          </w:p>
        </w:tc>
        <w:tc>
          <w:tcPr>
            <w:tcW w:w="2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2.6</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Transfer and Use of Proprietary Materials</w:t>
            </w:r>
          </w:p>
        </w:tc>
        <w:tc>
          <w:tcPr>
            <w:tcW w:w="2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2.7</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Services</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LICENSE GRANTS</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3.1</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License Grants</w:t>
            </w:r>
          </w:p>
        </w:tc>
        <w:tc>
          <w:tcPr>
            <w:tcW w:w="2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3.2</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Retained Rights and Covenants</w:t>
            </w:r>
          </w:p>
        </w:tc>
        <w:tc>
          <w:tcPr>
            <w:tcW w:w="29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3.3</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License to CytomX TAP Platform Improvements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3.4</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Section 365(n) of Bankruptcy Code</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3.5</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No Implied Rights</w:t>
            </w:r>
          </w:p>
        </w:tc>
        <w:tc>
          <w:tcPr>
            <w:tcW w:w="29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PAYMENTS</w:t>
            </w:r>
          </w:p>
        </w:tc>
        <w:tc>
          <w:tcPr>
            <w:tcW w:w="2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4.1</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Milestone Payments</w:t>
            </w:r>
          </w:p>
        </w:tc>
        <w:tc>
          <w:tcPr>
            <w:tcW w:w="29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4.2</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Royalties</w:t>
            </w:r>
          </w:p>
        </w:tc>
        <w:tc>
          <w:tcPr>
            <w:tcW w:w="29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4.3</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Reports and Payments</w:t>
            </w:r>
          </w:p>
        </w:tc>
        <w:tc>
          <w:tcPr>
            <w:tcW w:w="2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4.4</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Maintenance of Records; Audits</w:t>
            </w:r>
          </w:p>
        </w:tc>
        <w:tc>
          <w:tcPr>
            <w:tcW w:w="2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8220" w:type="dxa"/>
            <w:vAlign w:val="bottom"/>
            <w:gridSpan w:val="2"/>
          </w:tcPr>
          <w:p>
            <w:pPr>
              <w:ind w:left="160"/>
              <w:spacing w:after="0"/>
              <w:rPr>
                <w:sz w:val="20"/>
                <w:szCs w:val="20"/>
                <w:color w:val="auto"/>
              </w:rPr>
            </w:pPr>
            <w:r>
              <w:rPr>
                <w:rFonts w:ascii="Arial" w:cs="Arial" w:eastAsia="Arial" w:hAnsi="Arial"/>
                <w:sz w:val="18"/>
                <w:szCs w:val="18"/>
                <w:color w:val="auto"/>
              </w:rPr>
              <w:t>INTELLECTUAL PROPERTY</w:t>
            </w:r>
          </w:p>
        </w:tc>
        <w:tc>
          <w:tcPr>
            <w:tcW w:w="2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5.1</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Inventions</w:t>
            </w:r>
          </w:p>
        </w:tc>
        <w:tc>
          <w:tcPr>
            <w:tcW w:w="2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5.2</w:t>
            </w:r>
          </w:p>
        </w:tc>
        <w:tc>
          <w:tcPr>
            <w:tcW w:w="7580" w:type="dxa"/>
            <w:vAlign w:val="bottom"/>
          </w:tcPr>
          <w:p>
            <w:pPr>
              <w:ind w:left="240"/>
              <w:spacing w:after="0"/>
              <w:rPr>
                <w:sz w:val="20"/>
                <w:szCs w:val="20"/>
                <w:color w:val="auto"/>
              </w:rPr>
            </w:pPr>
            <w:r>
              <w:rPr>
                <w:rFonts w:ascii="Arial" w:cs="Arial" w:eastAsia="Arial" w:hAnsi="Arial"/>
                <w:sz w:val="18"/>
                <w:szCs w:val="18"/>
                <w:b w:val="1"/>
                <w:bCs w:val="1"/>
                <w:color w:val="auto"/>
              </w:rPr>
              <w:t>Filing, Prosecution and Maintenance of Patent Rights</w:t>
            </w:r>
          </w:p>
        </w:tc>
        <w:tc>
          <w:tcPr>
            <w:tcW w:w="290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13" w:lineRule="exact"/>
        <w:rPr>
          <w:sz w:val="20"/>
          <w:szCs w:val="20"/>
          <w:color w:val="auto"/>
        </w:rPr>
      </w:pPr>
    </w:p>
    <w:p>
      <w:pPr>
        <w:ind w:right="200" w:firstLine="8"/>
        <w:spacing w:after="0" w:line="259" w:lineRule="auto"/>
        <w:tabs>
          <w:tab w:leader="none" w:pos="4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720" w:type="dxa"/>
            <w:vAlign w:val="bottom"/>
          </w:tcPr>
          <w:p>
            <w:pPr>
              <w:ind w:left="2420"/>
              <w:spacing w:after="0"/>
              <w:rPr>
                <w:sz w:val="20"/>
                <w:szCs w:val="20"/>
                <w:color w:val="auto"/>
              </w:rPr>
            </w:pPr>
            <w:r>
              <w:rPr>
                <w:rFonts w:ascii="Arial" w:cs="Arial" w:eastAsia="Arial" w:hAnsi="Arial"/>
                <w:sz w:val="18"/>
                <w:szCs w:val="18"/>
                <w:color w:val="auto"/>
              </w:rPr>
              <w:t>Confidential Treatment Requested by CytomX Therapeutics, Inc.</w:t>
            </w:r>
          </w:p>
        </w:tc>
        <w:tc>
          <w:tcPr>
            <w:tcW w:w="1760" w:type="dxa"/>
            <w:vAlign w:val="bottom"/>
          </w:tcPr>
          <w:p>
            <w:pPr>
              <w:spacing w:after="0"/>
              <w:rPr>
                <w:sz w:val="20"/>
                <w:szCs w:val="20"/>
                <w:color w:val="auto"/>
              </w:rPr>
            </w:pPr>
          </w:p>
        </w:tc>
      </w:tr>
      <w:tr>
        <w:trPr>
          <w:trHeight w:val="446"/>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5.3</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Joint Research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5.4</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Enforcement of Patent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5.5</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Response to Biosimilar Applicants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5.6</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Interference, Opposition, Revocation and Declaratory Judgment Actions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5.7</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Infringement of Third Party Patent Rights</w:t>
            </w:r>
          </w:p>
        </w:tc>
        <w:tc>
          <w:tcPr>
            <w:tcW w:w="1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CONFIDENTIALITY</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3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6.1</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Confidentiality</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6.2</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Authorized Disclosure</w:t>
            </w:r>
          </w:p>
        </w:tc>
        <w:tc>
          <w:tcPr>
            <w:tcW w:w="1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6.3</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Public Announcements; Publications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REPRESENTATIONS AND WARRANTIES.</w:t>
            </w:r>
          </w:p>
        </w:tc>
        <w:tc>
          <w:tcPr>
            <w:tcW w:w="1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7.1</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Mutual Representations and Warranties</w:t>
            </w:r>
          </w:p>
        </w:tc>
        <w:tc>
          <w:tcPr>
            <w:tcW w:w="17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7.2</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Representations and Warranties of ImmunoGen</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7.3</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Government Approvals</w:t>
            </w:r>
          </w:p>
        </w:tc>
        <w:tc>
          <w:tcPr>
            <w:tcW w:w="17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7.4</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Further Covenants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7.5</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Representation by Legal Counsel</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7.6</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Warranty Disclaimers</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9360" w:type="dxa"/>
            <w:vAlign w:val="bottom"/>
            <w:gridSpan w:val="2"/>
          </w:tcPr>
          <w:p>
            <w:pPr>
              <w:ind w:left="160"/>
              <w:spacing w:after="0"/>
              <w:rPr>
                <w:sz w:val="20"/>
                <w:szCs w:val="20"/>
                <w:color w:val="auto"/>
              </w:rPr>
            </w:pPr>
            <w:r>
              <w:rPr>
                <w:rFonts w:ascii="Arial" w:cs="Arial" w:eastAsia="Arial" w:hAnsi="Arial"/>
                <w:sz w:val="18"/>
                <w:szCs w:val="18"/>
                <w:color w:val="auto"/>
              </w:rPr>
              <w:t>TERM AND TERMINATION.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8.1</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Term</w:t>
            </w:r>
          </w:p>
        </w:tc>
        <w:tc>
          <w:tcPr>
            <w:tcW w:w="17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8.2</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Voluntary Termination by CytomX</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8.3</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Termination by Either Party for Cause</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8.4</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Termination on Insolvency</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8.5</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Termination for Material Breach of the Research Collaboration Agreement by CytomX</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8.6</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Effects of Expiration or Termination</w:t>
            </w:r>
          </w:p>
        </w:tc>
        <w:tc>
          <w:tcPr>
            <w:tcW w:w="17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8.7</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Disposition of Inventories of Products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8.8</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Remedies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38"/>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8.9</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Survival of Certain Obligations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660" w:type="dxa"/>
            <w:vAlign w:val="bottom"/>
            <w:gridSpan w:val="3"/>
          </w:tcPr>
          <w:p>
            <w:pPr>
              <w:spacing w:after="0"/>
              <w:rPr>
                <w:sz w:val="20"/>
                <w:szCs w:val="20"/>
                <w:color w:val="auto"/>
              </w:rPr>
            </w:pPr>
            <w:r>
              <w:rPr>
                <w:rFonts w:ascii="Arial" w:cs="Arial" w:eastAsia="Arial" w:hAnsi="Arial"/>
                <w:sz w:val="18"/>
                <w:szCs w:val="18"/>
                <w:color w:val="auto"/>
              </w:rPr>
              <w:t>9.    LIMITATION ON LIABILITY, INDEMNIFICATION AND 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13" w:lineRule="exact"/>
        <w:rPr>
          <w:sz w:val="20"/>
          <w:szCs w:val="20"/>
          <w:color w:val="auto"/>
        </w:rPr>
      </w:pPr>
    </w:p>
    <w:p>
      <w:pPr>
        <w:ind w:right="200" w:firstLine="8"/>
        <w:spacing w:after="0" w:line="259" w:lineRule="auto"/>
        <w:tabs>
          <w:tab w:leader="none" w:pos="4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p>
        </w:tc>
        <w:tc>
          <w:tcPr>
            <w:tcW w:w="8640" w:type="dxa"/>
            <w:vAlign w:val="bottom"/>
          </w:tcPr>
          <w:p>
            <w:pPr>
              <w:ind w:left="2340"/>
              <w:spacing w:after="0"/>
              <w:rPr>
                <w:sz w:val="20"/>
                <w:szCs w:val="20"/>
                <w:color w:val="auto"/>
              </w:rPr>
            </w:pPr>
            <w:r>
              <w:rPr>
                <w:rFonts w:ascii="Arial" w:cs="Arial" w:eastAsia="Arial" w:hAnsi="Arial"/>
                <w:sz w:val="18"/>
                <w:szCs w:val="18"/>
                <w:color w:val="auto"/>
              </w:rPr>
              <w:t>Confidential Treatment Requested by CytomX Therapeutics, Inc.</w:t>
            </w:r>
          </w:p>
        </w:tc>
        <w:tc>
          <w:tcPr>
            <w:tcW w:w="1760" w:type="dxa"/>
            <w:vAlign w:val="bottom"/>
          </w:tcPr>
          <w:p>
            <w:pPr>
              <w:spacing w:after="0"/>
              <w:rPr>
                <w:sz w:val="20"/>
                <w:szCs w:val="20"/>
                <w:color w:val="auto"/>
              </w:rPr>
            </w:pPr>
          </w:p>
        </w:tc>
      </w:tr>
      <w:tr>
        <w:trPr>
          <w:trHeight w:val="446"/>
        </w:trPr>
        <w:tc>
          <w:tcPr>
            <w:tcW w:w="1020" w:type="dxa"/>
            <w:vAlign w:val="bottom"/>
          </w:tcPr>
          <w:p>
            <w:pPr>
              <w:ind w:left="460"/>
              <w:spacing w:after="0"/>
              <w:rPr>
                <w:sz w:val="20"/>
                <w:szCs w:val="20"/>
                <w:color w:val="auto"/>
              </w:rPr>
            </w:pPr>
            <w:r>
              <w:rPr>
                <w:rFonts w:ascii="Arial" w:cs="Arial" w:eastAsia="Arial" w:hAnsi="Arial"/>
                <w:sz w:val="18"/>
                <w:szCs w:val="18"/>
                <w:color w:val="auto"/>
              </w:rPr>
              <w:t>9.1</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No Consequential Damages</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9.2</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Indemnification by ImmunoGen</w:t>
            </w:r>
          </w:p>
        </w:tc>
        <w:tc>
          <w:tcPr>
            <w:tcW w:w="17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9.3</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Indemnification by CytomX</w:t>
            </w:r>
          </w:p>
        </w:tc>
        <w:tc>
          <w:tcPr>
            <w:tcW w:w="1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9.4</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Procedure</w:t>
            </w:r>
          </w:p>
        </w:tc>
        <w:tc>
          <w:tcPr>
            <w:tcW w:w="1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9.5</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Insurance</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9660" w:type="dxa"/>
            <w:vAlign w:val="bottom"/>
            <w:gridSpan w:val="2"/>
          </w:tcPr>
          <w:p>
            <w:pPr>
              <w:spacing w:after="0"/>
              <w:rPr>
                <w:sz w:val="20"/>
                <w:szCs w:val="20"/>
                <w:color w:val="auto"/>
              </w:rPr>
            </w:pPr>
            <w:r>
              <w:rPr>
                <w:rFonts w:ascii="Arial" w:cs="Arial" w:eastAsia="Arial" w:hAnsi="Arial"/>
                <w:sz w:val="18"/>
                <w:szCs w:val="18"/>
                <w:color w:val="auto"/>
              </w:rPr>
              <w:t>10.   MISCELLANEOUS.</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1020" w:type="dxa"/>
            <w:vAlign w:val="bottom"/>
          </w:tcPr>
          <w:p>
            <w:pPr>
              <w:ind w:left="460"/>
              <w:spacing w:after="0"/>
              <w:rPr>
                <w:sz w:val="20"/>
                <w:szCs w:val="20"/>
                <w:color w:val="auto"/>
              </w:rPr>
            </w:pPr>
            <w:r>
              <w:rPr>
                <w:rFonts w:ascii="Arial" w:cs="Arial" w:eastAsia="Arial" w:hAnsi="Arial"/>
                <w:sz w:val="18"/>
                <w:szCs w:val="18"/>
                <w:color w:val="auto"/>
              </w:rPr>
              <w:t>10.1</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Assignment</w:t>
            </w:r>
          </w:p>
        </w:tc>
        <w:tc>
          <w:tcPr>
            <w:tcW w:w="17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10.2</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Further Actions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10.3</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Force Majeure</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10.4</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10.5</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Amendment</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10.6</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Waiver</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10.7</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Severability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10.8</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Descriptive Headings</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10.9</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Dispute Resolution</w:t>
            </w:r>
          </w:p>
        </w:tc>
        <w:tc>
          <w:tcPr>
            <w:tcW w:w="17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10.10</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Patent Disputes and Disputes Relating to Article 6</w:t>
            </w:r>
          </w:p>
        </w:tc>
        <w:tc>
          <w:tcPr>
            <w:tcW w:w="17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10.11</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Governing Law</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10.12</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Entire Agreement</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10.13</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Purpose and Scope</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10.14</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10.15</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No Third Party Rights or Obligations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38"/>
        </w:trPr>
        <w:tc>
          <w:tcPr>
            <w:tcW w:w="1020" w:type="dxa"/>
            <w:vAlign w:val="bottom"/>
          </w:tcPr>
          <w:p>
            <w:pPr>
              <w:ind w:left="460"/>
              <w:spacing w:after="0"/>
              <w:rPr>
                <w:sz w:val="20"/>
                <w:szCs w:val="20"/>
                <w:color w:val="auto"/>
              </w:rPr>
            </w:pPr>
            <w:r>
              <w:rPr>
                <w:rFonts w:ascii="Arial" w:cs="Arial" w:eastAsia="Arial" w:hAnsi="Arial"/>
                <w:sz w:val="18"/>
                <w:szCs w:val="18"/>
                <w:color w:val="auto"/>
              </w:rPr>
              <w:t>10.16</w:t>
            </w:r>
          </w:p>
        </w:tc>
        <w:tc>
          <w:tcPr>
            <w:tcW w:w="8640" w:type="dxa"/>
            <w:vAlign w:val="bottom"/>
          </w:tcPr>
          <w:p>
            <w:pPr>
              <w:ind w:left="160"/>
              <w:spacing w:after="0"/>
              <w:rPr>
                <w:sz w:val="20"/>
                <w:szCs w:val="20"/>
                <w:color w:val="auto"/>
              </w:rPr>
            </w:pPr>
            <w:r>
              <w:rPr>
                <w:rFonts w:ascii="Arial" w:cs="Arial" w:eastAsia="Arial" w:hAnsi="Arial"/>
                <w:sz w:val="18"/>
                <w:szCs w:val="18"/>
                <w:b w:val="1"/>
                <w:bCs w:val="1"/>
                <w:color w:val="auto"/>
              </w:rPr>
              <w:t>Interpretation</w:t>
            </w:r>
          </w:p>
        </w:tc>
        <w:tc>
          <w:tcPr>
            <w:tcW w:w="17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EXHIBITS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A – Licensed Target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Exhibit B – Royalty Rate Reduction Methodology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13" w:lineRule="exact"/>
        <w:rPr>
          <w:sz w:val="20"/>
          <w:szCs w:val="20"/>
          <w:color w:val="auto"/>
        </w:rPr>
      </w:pPr>
    </w:p>
    <w:p>
      <w:pPr>
        <w:ind w:right="200" w:firstLine="8"/>
        <w:spacing w:after="0" w:line="259" w:lineRule="auto"/>
        <w:tabs>
          <w:tab w:leader="none" w:pos="4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jc w:val="both"/>
        <w:ind w:left="880" w:firstLine="810"/>
        <w:spacing w:after="0" w:line="280" w:lineRule="auto"/>
        <w:rPr>
          <w:sz w:val="20"/>
          <w:szCs w:val="20"/>
          <w:color w:val="auto"/>
        </w:rPr>
      </w:pPr>
      <w:r>
        <w:rPr>
          <w:rFonts w:ascii="Arial" w:cs="Arial" w:eastAsia="Arial" w:hAnsi="Arial"/>
          <w:sz w:val="19"/>
          <w:szCs w:val="19"/>
          <w:color w:val="auto"/>
        </w:rPr>
        <w:t>This License Agreement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February 12, 2016 (the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CytomX Therapeutics, Inc.</w:t>
      </w:r>
      <w:r>
        <w:rPr>
          <w:rFonts w:ascii="Arial" w:cs="Arial" w:eastAsia="Arial" w:hAnsi="Arial"/>
          <w:sz w:val="19"/>
          <w:szCs w:val="19"/>
          <w:color w:val="auto"/>
        </w:rPr>
        <w:t>, a corporation organized and existing under the laws of Delaware and having a place of business at 343 Oyster Point Blvd., Suite 100, South San Francisco, California, 94080 United States (“</w:t>
      </w:r>
      <w:r>
        <w:rPr>
          <w:rFonts w:ascii="Arial" w:cs="Arial" w:eastAsia="Arial" w:hAnsi="Arial"/>
          <w:sz w:val="19"/>
          <w:szCs w:val="19"/>
          <w:b w:val="1"/>
          <w:bCs w:val="1"/>
          <w:color w:val="auto"/>
        </w:rPr>
        <w:t>CytomX</w:t>
      </w:r>
      <w:r>
        <w:rPr>
          <w:rFonts w:ascii="Arial" w:cs="Arial" w:eastAsia="Arial" w:hAnsi="Arial"/>
          <w:sz w:val="19"/>
          <w:szCs w:val="19"/>
          <w:color w:val="auto"/>
        </w:rPr>
        <w:t xml:space="preserve">”) and </w:t>
      </w:r>
      <w:r>
        <w:rPr>
          <w:rFonts w:ascii="Arial" w:cs="Arial" w:eastAsia="Arial" w:hAnsi="Arial"/>
          <w:sz w:val="19"/>
          <w:szCs w:val="19"/>
          <w:b w:val="1"/>
          <w:bCs w:val="1"/>
          <w:color w:val="auto"/>
        </w:rPr>
        <w:t>ImmunoGen, Inc.</w:t>
      </w:r>
      <w:r>
        <w:rPr>
          <w:rFonts w:ascii="Arial" w:cs="Arial" w:eastAsia="Arial" w:hAnsi="Arial"/>
          <w:sz w:val="19"/>
          <w:szCs w:val="19"/>
          <w:color w:val="auto"/>
        </w:rPr>
        <w:t>, a corporation organized and existing under the laws of Massachusetts and having a place of business at 830 Winter Street, Waltham, Massachusetts, 02451 (“</w:t>
      </w:r>
      <w:r>
        <w:rPr>
          <w:rFonts w:ascii="Arial" w:cs="Arial" w:eastAsia="Arial" w:hAnsi="Arial"/>
          <w:sz w:val="19"/>
          <w:szCs w:val="19"/>
          <w:b w:val="1"/>
          <w:bCs w:val="1"/>
          <w:color w:val="auto"/>
        </w:rPr>
        <w:t>ImmunoGen</w:t>
      </w:r>
      <w:r>
        <w:rPr>
          <w:rFonts w:ascii="Arial" w:cs="Arial" w:eastAsia="Arial" w:hAnsi="Arial"/>
          <w:sz w:val="19"/>
          <w:szCs w:val="19"/>
          <w:color w:val="auto"/>
        </w:rPr>
        <w:t>”). CytomX and ImmunoGen may each be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w:t>
      </w:r>
    </w:p>
    <w:p>
      <w:pPr>
        <w:spacing w:after="0" w:line="151" w:lineRule="exact"/>
        <w:rPr>
          <w:sz w:val="20"/>
          <w:szCs w:val="20"/>
          <w:color w:val="auto"/>
        </w:rPr>
      </w:pPr>
    </w:p>
    <w:p>
      <w:pPr>
        <w:jc w:val="both"/>
        <w:ind w:left="880" w:firstLine="810"/>
        <w:spacing w:after="0"/>
        <w:rPr>
          <w:sz w:val="20"/>
          <w:szCs w:val="20"/>
          <w:color w:val="auto"/>
        </w:rPr>
      </w:pPr>
      <w:r>
        <w:rPr>
          <w:rFonts w:ascii="Arial" w:cs="Arial" w:eastAsia="Arial" w:hAnsi="Arial"/>
          <w:sz w:val="22"/>
          <w:szCs w:val="22"/>
          <w:color w:val="auto"/>
        </w:rPr>
        <w:t>WHEREAS, the Parties have entered into a Research Collaboration Agreement, pursuant to which, among other things, ImmunoGen granted to CytomX the right to obtain a license to certain Know-How and related Patent Rights owned or Controlled by ImmunoGen with respect to certain Targets; and</w:t>
      </w:r>
    </w:p>
    <w:p>
      <w:pPr>
        <w:spacing w:after="0" w:line="186"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WHEREAS, pursuant to the Research Collaboration Agreement, CytomX has exercised the CytomX Option (as defined in the Research Collaboration Agreement), pursuant to which the Parties have agreed to enter into this Agreement setting forth the terms and conditions of an exclusive license from ImmunoGen to CytomX with respect to the Licensed Target.</w:t>
      </w:r>
    </w:p>
    <w:p>
      <w:pPr>
        <w:spacing w:after="0" w:line="185" w:lineRule="exact"/>
        <w:rPr>
          <w:sz w:val="20"/>
          <w:szCs w:val="20"/>
          <w:color w:val="auto"/>
        </w:rPr>
      </w:pPr>
    </w:p>
    <w:p>
      <w:pPr>
        <w:jc w:val="both"/>
        <w:ind w:left="880" w:firstLine="810"/>
        <w:spacing w:after="0" w:line="328" w:lineRule="auto"/>
        <w:rPr>
          <w:sz w:val="20"/>
          <w:szCs w:val="20"/>
          <w:color w:val="auto"/>
        </w:rPr>
      </w:pPr>
      <w:r>
        <w:rPr>
          <w:rFonts w:ascii="Arial" w:cs="Arial" w:eastAsia="Arial" w:hAnsi="Arial"/>
          <w:sz w:val="19"/>
          <w:szCs w:val="19"/>
          <w:color w:val="auto"/>
        </w:rPr>
        <w:t>NOW THEREFORE, in consideration of the mutual promises and covenants set forth below and other good and valuable consideration, the receipt and sufficiency of which is hereby acknowledged, the Parties hereby agree as follows: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12" w:lineRule="exact"/>
        <w:rPr>
          <w:sz w:val="20"/>
          <w:szCs w:val="20"/>
          <w:color w:val="auto"/>
        </w:rPr>
      </w:pPr>
    </w:p>
    <w:p>
      <w:pPr>
        <w:ind w:left="1700"/>
        <w:spacing w:after="0"/>
        <w:rPr>
          <w:sz w:val="20"/>
          <w:szCs w:val="20"/>
          <w:color w:val="auto"/>
        </w:rPr>
      </w:pPr>
      <w:r>
        <w:rPr>
          <w:rFonts w:ascii="Arial" w:cs="Arial" w:eastAsia="Arial" w:hAnsi="Arial"/>
          <w:sz w:val="22"/>
          <w:szCs w:val="22"/>
          <w:color w:val="auto"/>
        </w:rPr>
        <w:t>.</w:t>
      </w:r>
    </w:p>
    <w:p>
      <w:pPr>
        <w:spacing w:after="0" w:line="206"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 xml:space="preserve">When used in this Agreement, the following capitalized terms shall have the meanings set forth in this </w:t>
      </w:r>
      <w:r>
        <w:rPr>
          <w:rFonts w:ascii="Arial" w:cs="Arial" w:eastAsia="Arial" w:hAnsi="Arial"/>
          <w:sz w:val="19"/>
          <w:szCs w:val="19"/>
          <w:u w:val="single" w:color="auto"/>
          <w:color w:val="auto"/>
        </w:rPr>
        <w:t>Article 1</w:t>
      </w:r>
      <w:r>
        <w:rPr>
          <w:rFonts w:ascii="Arial" w:cs="Arial" w:eastAsia="Arial" w:hAnsi="Arial"/>
          <w:sz w:val="19"/>
          <w:szCs w:val="19"/>
          <w:color w:val="auto"/>
        </w:rPr>
        <w:t>.</w:t>
      </w:r>
    </w:p>
    <w:p>
      <w:pPr>
        <w:spacing w:after="0" w:line="235"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 “</w:t>
      </w:r>
      <w:r>
        <w:rPr>
          <w:rFonts w:ascii="Arial" w:cs="Arial" w:eastAsia="Arial" w:hAnsi="Arial"/>
          <w:sz w:val="22"/>
          <w:szCs w:val="22"/>
          <w:b w:val="1"/>
          <w:bCs w:val="1"/>
          <w:color w:val="auto"/>
        </w:rPr>
        <w:t>ADC</w:t>
      </w:r>
      <w:r>
        <w:rPr>
          <w:rFonts w:ascii="Arial" w:cs="Arial" w:eastAsia="Arial" w:hAnsi="Arial"/>
          <w:sz w:val="22"/>
          <w:szCs w:val="22"/>
          <w:color w:val="auto"/>
        </w:rPr>
        <w:t>” means a compound that incorporates, is comprised of or is otherwise derived from an Antibody conjugated to a Payload using a Linker, other than a PDC.</w:t>
      </w:r>
    </w:p>
    <w:p>
      <w:pPr>
        <w:spacing w:after="0" w:line="163" w:lineRule="exact"/>
        <w:rPr>
          <w:sz w:val="20"/>
          <w:szCs w:val="20"/>
          <w:color w:val="auto"/>
        </w:rPr>
      </w:pPr>
    </w:p>
    <w:p>
      <w:pPr>
        <w:jc w:val="both"/>
        <w:ind w:left="880" w:firstLine="810"/>
        <w:spacing w:after="0" w:line="276" w:lineRule="auto"/>
        <w:rPr>
          <w:sz w:val="20"/>
          <w:szCs w:val="20"/>
          <w:color w:val="auto"/>
        </w:rPr>
      </w:pPr>
      <w:r>
        <w:rPr>
          <w:rFonts w:ascii="Arial" w:cs="Arial" w:eastAsia="Arial" w:hAnsi="Arial"/>
          <w:sz w:val="19"/>
          <w:szCs w:val="19"/>
          <w:color w:val="auto"/>
        </w:rPr>
        <w:t>1.2 “</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any Person, any other Person that controls, is controlled by or is under common control with such Person. A Person shall be regarded as in control of another entity if it owns or controls at least fifty percent (50%) of the equity securities of the subject entity entitled to vote in the election of directors (or, in the case of an entity that is not a corporation, for the election of the corresponding managing authority), provided, however, that the term “Affiliate” shall not include subsidiaries or other entities in which a Party or its Affiliates owns a majority of the ordinary voting power necessary to elect a majority of the board of directors or other managing authority, but is restricted from electing such majority by contract or otherwise, until such time as such restrictions are no longer in effect. A Person shall be deemed an Affiliate only so long as it satisfies the foregoing definition.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3" w:lineRule="exact"/>
        <w:rPr>
          <w:sz w:val="20"/>
          <w:szCs w:val="20"/>
          <w:color w:val="auto"/>
        </w:rPr>
      </w:pPr>
    </w:p>
    <w:p>
      <w:pPr>
        <w:ind w:right="200" w:firstLine="8"/>
        <w:spacing w:after="0" w:line="259" w:lineRule="auto"/>
        <w:tabs>
          <w:tab w:leader="none" w:pos="4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ind w:left="3360"/>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Annual Maintenance Fees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color w:val="auto"/>
        </w:rPr>
        <w:t>Annual Net Sales</w:t>
      </w:r>
      <w:r>
        <w:rPr>
          <w:rFonts w:ascii="Arial" w:cs="Arial" w:eastAsia="Arial" w:hAnsi="Arial"/>
          <w:sz w:val="22"/>
          <w:szCs w:val="22"/>
          <w:color w:val="auto"/>
        </w:rPr>
        <w:t>” means, with respect to any Licensed Product in a Calendar Year during the applicable Royalty Term for such Licensed Product, the aggregate Net Sales by a Party, its Affiliates and its Sublicensees from the sale of such Licensed Product in the Territory during such Calendar Year.</w:t>
      </w:r>
    </w:p>
    <w:p>
      <w:pPr>
        <w:spacing w:after="0" w:line="177"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color w:val="auto"/>
        </w:rPr>
        <w:t>Antibody</w:t>
      </w:r>
      <w:r>
        <w:rPr>
          <w:rFonts w:ascii="Arial" w:cs="Arial" w:eastAsia="Arial" w:hAnsi="Arial"/>
          <w:sz w:val="22"/>
          <w:szCs w:val="22"/>
          <w:color w:val="auto"/>
        </w:rPr>
        <w:t>” means a molecule which comprises or contains: (a) one or more immunoglobulin variable domains; or (b) fragments, variants, modifications or derivatives of such immunoglobulin variable domains irrespective of origin or source, including but not limited to antigen binding portions including Fab, Fab’, F(ab’)2, Fv, dAb and CDR fragments, single chain antibodies (scFv), chimeric antibodies, monospecific antibodies, diabodies and polypeptides (including humanized versions thereof) that contain at least a portion of an immunoglobulin that is sufficient to confer specific antigen binding to the polypeptide. For clarity, as used in this Agreement, the term “Antibody” shall not include Probodies or PDCs.</w:t>
      </w:r>
    </w:p>
    <w:p>
      <w:pPr>
        <w:spacing w:after="0" w:line="184" w:lineRule="exact"/>
        <w:rPr>
          <w:sz w:val="20"/>
          <w:szCs w:val="20"/>
          <w:color w:val="auto"/>
        </w:rPr>
      </w:pPr>
    </w:p>
    <w:p>
      <w:pPr>
        <w:jc w:val="both"/>
        <w:ind w:left="880" w:firstLine="810"/>
        <w:spacing w:after="0" w:line="254" w:lineRule="auto"/>
        <w:rPr>
          <w:sz w:val="20"/>
          <w:szCs w:val="20"/>
          <w:color w:val="auto"/>
        </w:rPr>
      </w:pPr>
      <w:r>
        <w:rPr>
          <w:rFonts w:ascii="Arial" w:cs="Arial" w:eastAsia="Arial" w:hAnsi="Arial"/>
          <w:sz w:val="21"/>
          <w:szCs w:val="21"/>
          <w:color w:val="auto"/>
        </w:rPr>
        <w:t>1.7 “</w:t>
      </w:r>
      <w:r>
        <w:rPr>
          <w:rFonts w:ascii="Arial" w:cs="Arial" w:eastAsia="Arial" w:hAnsi="Arial"/>
          <w:sz w:val="21"/>
          <w:szCs w:val="21"/>
          <w:b w:val="1"/>
          <w:bCs w:val="1"/>
          <w:color w:val="auto"/>
        </w:rPr>
        <w:t>Applicable Law</w:t>
      </w:r>
      <w:r>
        <w:rPr>
          <w:rFonts w:ascii="Arial" w:cs="Arial" w:eastAsia="Arial" w:hAnsi="Arial"/>
          <w:sz w:val="21"/>
          <w:szCs w:val="21"/>
          <w:color w:val="auto"/>
        </w:rPr>
        <w:t>” means the laws, statutes, rules, regulations, guidelines, or other requirements that may be in effect from time to time and apply to a particular activity contemplated hereby, including any such laws, statutes, rules, regulations, guidelines or other requirements of the FDA or the EMA or any applicable securities regulatory authorities or national securities exchanges or securities listing organizations.</w:t>
      </w:r>
    </w:p>
    <w:p>
      <w:pPr>
        <w:spacing w:after="0" w:line="16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Applicant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60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Applicant Response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5.5.3(b)</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Baseline Net Sales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1.94</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84" w:lineRule="auto"/>
        <w:rPr>
          <w:sz w:val="20"/>
          <w:szCs w:val="20"/>
          <w:color w:val="auto"/>
        </w:rPr>
      </w:pPr>
      <w:r>
        <w:rPr>
          <w:rFonts w:ascii="Arial" w:cs="Arial" w:eastAsia="Arial" w:hAnsi="Arial"/>
          <w:sz w:val="19"/>
          <w:szCs w:val="19"/>
          <w:color w:val="auto"/>
        </w:rPr>
        <w:t>1.12 “</w:t>
      </w:r>
      <w:r>
        <w:rPr>
          <w:rFonts w:ascii="Arial" w:cs="Arial" w:eastAsia="Arial" w:hAnsi="Arial"/>
          <w:sz w:val="19"/>
          <w:szCs w:val="19"/>
          <w:b w:val="1"/>
          <w:bCs w:val="1"/>
          <w:color w:val="auto"/>
        </w:rPr>
        <w:t>Binding Obligation</w:t>
      </w:r>
      <w:r>
        <w:rPr>
          <w:rFonts w:ascii="Arial" w:cs="Arial" w:eastAsia="Arial" w:hAnsi="Arial"/>
          <w:sz w:val="19"/>
          <w:szCs w:val="19"/>
          <w:color w:val="auto"/>
        </w:rPr>
        <w:t>” means, with respect to a Party (a) any oral or written agreement or arrangement that binds or legally affects such Party’s operations or property, including any assignment, license agreement, loan agreement, guaranty, or financing agreement; (b) the provisions of such Party’s charter, bylaws or other organizational documents or (c) any order, writ, injunction, decree or judgment of any court or Governmental Authority entered against such Party or by which any of such Party’s operations or property are bound.</w:t>
      </w:r>
    </w:p>
    <w:p>
      <w:pPr>
        <w:spacing w:after="0" w:line="139" w:lineRule="exact"/>
        <w:rPr>
          <w:sz w:val="20"/>
          <w:szCs w:val="20"/>
          <w:color w:val="auto"/>
        </w:rPr>
      </w:pPr>
    </w:p>
    <w:p>
      <w:pPr>
        <w:jc w:val="both"/>
        <w:ind w:left="880" w:firstLine="810"/>
        <w:spacing w:after="0" w:line="280" w:lineRule="auto"/>
        <w:rPr>
          <w:sz w:val="20"/>
          <w:szCs w:val="20"/>
          <w:color w:val="auto"/>
        </w:rPr>
      </w:pPr>
      <w:r>
        <w:rPr>
          <w:rFonts w:ascii="Arial" w:cs="Arial" w:eastAsia="Arial" w:hAnsi="Arial"/>
          <w:sz w:val="21"/>
          <w:szCs w:val="21"/>
          <w:color w:val="auto"/>
        </w:rPr>
        <w:t>1.13 “</w:t>
      </w:r>
      <w:r>
        <w:rPr>
          <w:rFonts w:ascii="Arial" w:cs="Arial" w:eastAsia="Arial" w:hAnsi="Arial"/>
          <w:sz w:val="21"/>
          <w:szCs w:val="21"/>
          <w:b w:val="1"/>
          <w:bCs w:val="1"/>
          <w:color w:val="auto"/>
        </w:rPr>
        <w:t>Biosimilar Application</w:t>
      </w:r>
      <w:r>
        <w:rPr>
          <w:rFonts w:ascii="Arial" w:cs="Arial" w:eastAsia="Arial" w:hAnsi="Arial"/>
          <w:sz w:val="21"/>
          <w:szCs w:val="21"/>
          <w:color w:val="auto"/>
        </w:rPr>
        <w:t>” means an application submitted to the FDA under subsection (k) of the PHSA or a similar application submitted under a similar regulatory scheme to another Regulatory Authority.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ind w:right="200" w:firstLine="8"/>
        <w:spacing w:after="0" w:line="259" w:lineRule="auto"/>
        <w:tabs>
          <w:tab w:leader="none" w:pos="4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1.14 “</w:t>
      </w:r>
      <w:r>
        <w:rPr>
          <w:rFonts w:ascii="Arial" w:cs="Arial" w:eastAsia="Arial" w:hAnsi="Arial"/>
          <w:sz w:val="22"/>
          <w:szCs w:val="22"/>
          <w:b w:val="1"/>
          <w:bCs w:val="1"/>
          <w:color w:val="auto"/>
        </w:rPr>
        <w:t>BLA</w:t>
      </w:r>
      <w:r>
        <w:rPr>
          <w:rFonts w:ascii="Arial" w:cs="Arial" w:eastAsia="Arial" w:hAnsi="Arial"/>
          <w:sz w:val="22"/>
          <w:szCs w:val="22"/>
          <w:color w:val="auto"/>
        </w:rPr>
        <w:t>” means a Biologics License Application (as that term is used in Title 21 of the United States Code of Federal Regulations) filed with the FDA seeking Regulatory Approval to market and sell any Licensed Product in the United States for a particular indication.</w:t>
      </w:r>
    </w:p>
    <w:p>
      <w:pPr>
        <w:spacing w:after="0" w:line="177"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BPCIA</w:t>
      </w:r>
      <w:r>
        <w:rPr>
          <w:rFonts w:ascii="Arial" w:cs="Arial" w:eastAsia="Arial" w:hAnsi="Arial"/>
          <w:sz w:val="19"/>
          <w:szCs w:val="19"/>
          <w:color w:val="auto"/>
        </w:rPr>
        <w:t>” means the Biologics Price Competition and Innovation Act of 2009.</w:t>
      </w:r>
    </w:p>
    <w:p>
      <w:pPr>
        <w:spacing w:after="0" w:line="20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a Sunday or other day on which banking institutions in Boston, Massachusetts or San Francisco, California are required to be closed or are actually closed with legal authorization.</w:t>
      </w:r>
    </w:p>
    <w:p>
      <w:pPr>
        <w:spacing w:after="0" w:line="177"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respective periods of three (3) consecutive calendar months ending on March 31, June 30, September 30 or December 31, for so long as this Agreement is in effect.</w:t>
      </w:r>
    </w:p>
    <w:p>
      <w:pPr>
        <w:spacing w:after="0" w:line="163"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color w:val="auto"/>
        </w:rPr>
        <w:t>Calendar Year</w:t>
      </w:r>
      <w:r>
        <w:rPr>
          <w:rFonts w:ascii="Arial" w:cs="Arial" w:eastAsia="Arial" w:hAnsi="Arial"/>
          <w:sz w:val="22"/>
          <w:szCs w:val="22"/>
          <w:color w:val="auto"/>
        </w:rPr>
        <w:t>” means each successive period of twelve (12) calendar months commencing on January 1 and ending on December 31.</w:t>
      </w:r>
    </w:p>
    <w:p>
      <w:pPr>
        <w:spacing w:after="0" w:line="163"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color w:val="auto"/>
        </w:rPr>
        <w:t>Challenge</w:t>
      </w:r>
      <w:r>
        <w:rPr>
          <w:rFonts w:ascii="Arial" w:cs="Arial" w:eastAsia="Arial" w:hAnsi="Arial"/>
          <w:sz w:val="22"/>
          <w:szCs w:val="22"/>
          <w:color w:val="auto"/>
        </w:rPr>
        <w:t xml:space="preserve">” means any challenge to the patentability, validity, or enforceability of any of the Licensed Patent Rights, including without limitation: (a) filing a declaratory judgment action in which any of the Licensed Patent Rights is alleged to be invalid or unenforceable; (b) citing prior art pursuant to 35 U.S.C. §122 or §301, filing a request for re-examination of any of the Licensed Patent Rights pursuant to 35 U.S.C. §302 or §311, filing a petition to request an </w:t>
      </w:r>
      <w:r>
        <w:rPr>
          <w:rFonts w:ascii="Arial" w:cs="Arial" w:eastAsia="Arial" w:hAnsi="Arial"/>
          <w:sz w:val="22"/>
          <w:szCs w:val="22"/>
          <w:i w:val="1"/>
          <w:iCs w:val="1"/>
          <w:color w:val="auto"/>
        </w:rPr>
        <w:t>inter partes</w:t>
      </w:r>
      <w:r>
        <w:rPr>
          <w:rFonts w:ascii="Arial" w:cs="Arial" w:eastAsia="Arial" w:hAnsi="Arial"/>
          <w:sz w:val="22"/>
          <w:szCs w:val="22"/>
          <w:color w:val="auto"/>
        </w:rPr>
        <w:t xml:space="preserve"> review of the Licensed Patent Rights pursuant to 35 U.S.C. §311, or filing a petition to request a post-grant review of the Licensed Patent Rights pursuant to 35 U.S.C. §321; or (c) filing or commencing any re-examination, opposition, cancellation, nullity or similar proceeding against any of the Licensed Patent Rights in any country.</w:t>
      </w:r>
    </w:p>
    <w:p>
      <w:pPr>
        <w:spacing w:after="0" w:line="179"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Challenge Jurisdiction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4.2.3(d)</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Challenged Patent Rights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4.2.3(d)</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Challenge-Related Royalty Increase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4.2.3(d)</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Clawback Amount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4.2.3(d)</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Combination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1.104</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48" w:lineRule="exact"/>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Commercialization</w:t>
      </w:r>
      <w:r>
        <w:rPr>
          <w:rFonts w:ascii="Arial" w:cs="Arial" w:eastAsia="Arial" w:hAnsi="Arial"/>
          <w:sz w:val="19"/>
          <w:szCs w:val="19"/>
          <w:color w:val="auto"/>
        </w:rPr>
        <w:t>” or “</w:t>
      </w:r>
      <w:r>
        <w:rPr>
          <w:rFonts w:ascii="Arial" w:cs="Arial" w:eastAsia="Arial" w:hAnsi="Arial"/>
          <w:sz w:val="19"/>
          <w:szCs w:val="19"/>
          <w:b w:val="1"/>
          <w:bCs w:val="1"/>
          <w:color w:val="auto"/>
        </w:rPr>
        <w:t>Commercialize</w:t>
      </w:r>
      <w:r>
        <w:rPr>
          <w:rFonts w:ascii="Arial" w:cs="Arial" w:eastAsia="Arial" w:hAnsi="Arial"/>
          <w:sz w:val="19"/>
          <w:szCs w:val="19"/>
          <w:color w:val="auto"/>
        </w:rPr>
        <w:t>” means activities with respect to a Licensed Product relating to commercialization in the Field in the Territory, including pre</w:t>
      </w:r>
      <w:r>
        <w:rPr>
          <w:rFonts w:ascii="MS PGothic" w:cs="MS PGothic" w:eastAsia="MS PGothic" w:hAnsi="MS PGothic"/>
          <w:sz w:val="19"/>
          <w:szCs w:val="19"/>
          <w:color w:val="auto"/>
        </w:rPr>
        <w:t>‑</w:t>
      </w:r>
      <w:r>
        <w:rPr>
          <w:rFonts w:ascii="Arial" w:cs="Arial" w:eastAsia="Arial" w:hAnsi="Arial"/>
          <w:sz w:val="19"/>
          <w:szCs w:val="19"/>
          <w:color w:val="auto"/>
        </w:rPr>
        <w:t>launch and launch activities, pricing and reimbursement activities, marketing, promoting, detailing, distributing, offering for sale and selling such Licensed Product, importing and exporting such Licensed Product for sale, conducting post-marketing human clinical trials, reporting of adverse events in patients and interacting with Regulatory Authorities regarding any of the foregoing. Commercialization shall not include any activities related to Manufacturing or Development. When used as a verb, “Commercialize” means to engage in Commercialization and “Commercialized” has a corresponding meaning.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ind w:right="200" w:firstLine="8"/>
        <w:spacing w:after="0" w:line="259" w:lineRule="auto"/>
        <w:tabs>
          <w:tab w:leader="none" w:pos="43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44" w:lineRule="auto"/>
        <w:rPr>
          <w:sz w:val="20"/>
          <w:szCs w:val="20"/>
          <w:color w:val="auto"/>
        </w:rPr>
      </w:pPr>
      <w:r>
        <w:rPr>
          <w:rFonts w:ascii="Arial" w:cs="Arial" w:eastAsia="Arial" w:hAnsi="Arial"/>
          <w:sz w:val="21"/>
          <w:szCs w:val="21"/>
          <w:color w:val="auto"/>
        </w:rPr>
        <w:t>1.26 “</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xml:space="preserve">” means, with respect to the efforts to be expended by a Party with respect to any objective, those reasonable, good faith efforts to accomplish such objective as such Party would normally use to accomplish a similar objective under similar circumstances. With respect to any efforts relating to the Development of a Licensed Product by CytomX, generally or with respect to any particular country in the Territory, CytomX will be deemed to have exercised Commercially Reasonable Efforts if it has exercised those efforts normally used by CytomX, in the relevant country, with respect to a compound, product or product candidate, as applicable, owned or Controlled by CytomX, or to which CytomX has similar rights, which compound, product or product candidate is of similar market potential in such country, and is at a similar stage in its development or product life cycle as the Licensed Product, taking into account all relevant factors in effect at the time such efforts are to be expended. It is expressly understood that, so long as this Agreement may be terminated by CytomX for convenience pursuant to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hereof, ceasing the Development of a Licensed Product shall be deemed to be inconsistent with Commercially Reasonable Efforts. Further, to the extent that the performance of CytomX’s obligations hereunder is adversely affected by ImmunoGen’s failure to perform its obligations hereunder, the impact of such performance failure will be taken into account in determining whether CytomX has used its Commercially Reasonable Efforts to perform any such affected obligations.</w:t>
      </w:r>
    </w:p>
    <w:p>
      <w:pPr>
        <w:spacing w:after="0" w:line="180" w:lineRule="exact"/>
        <w:rPr>
          <w:sz w:val="20"/>
          <w:szCs w:val="20"/>
          <w:color w:val="auto"/>
        </w:rPr>
      </w:pPr>
    </w:p>
    <w:p>
      <w:pPr>
        <w:jc w:val="both"/>
        <w:ind w:left="880" w:firstLine="810"/>
        <w:spacing w:after="0" w:line="244" w:lineRule="auto"/>
        <w:rPr>
          <w:sz w:val="20"/>
          <w:szCs w:val="20"/>
          <w:color w:val="auto"/>
        </w:rPr>
      </w:pPr>
      <w:r>
        <w:rPr>
          <w:rFonts w:ascii="Arial" w:cs="Arial" w:eastAsia="Arial" w:hAnsi="Arial"/>
          <w:sz w:val="21"/>
          <w:szCs w:val="21"/>
          <w:color w:val="auto"/>
        </w:rPr>
        <w:t>1.27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of a Party means (a) with respect to CytomX, the identity of the Licensed Target, and (b) with respect to each Party, all Know-How or other information, including proprietary information and materials (whether or not patentable) regarding such Party’s technology, products, business or objectives, that is communicated in any way or form by or on behalf of such Party (in such capacity, the “</w:t>
      </w:r>
      <w:r>
        <w:rPr>
          <w:rFonts w:ascii="Arial" w:cs="Arial" w:eastAsia="Arial" w:hAnsi="Arial"/>
          <w:sz w:val="21"/>
          <w:szCs w:val="21"/>
          <w:b w:val="1"/>
          <w:bCs w:val="1"/>
          <w:color w:val="auto"/>
        </w:rPr>
        <w:t>Disclosing Party</w:t>
      </w:r>
      <w:r>
        <w:rPr>
          <w:rFonts w:ascii="Arial" w:cs="Arial" w:eastAsia="Arial" w:hAnsi="Arial"/>
          <w:sz w:val="21"/>
          <w:szCs w:val="21"/>
          <w:color w:val="auto"/>
        </w:rPr>
        <w:t>”) to the other Party (in such capacity, the “</w:t>
      </w:r>
      <w:r>
        <w:rPr>
          <w:rFonts w:ascii="Arial" w:cs="Arial" w:eastAsia="Arial" w:hAnsi="Arial"/>
          <w:sz w:val="21"/>
          <w:szCs w:val="21"/>
          <w:b w:val="1"/>
          <w:bCs w:val="1"/>
          <w:color w:val="auto"/>
        </w:rPr>
        <w:t>Receiving Party</w:t>
      </w:r>
      <w:r>
        <w:rPr>
          <w:rFonts w:ascii="Arial" w:cs="Arial" w:eastAsia="Arial" w:hAnsi="Arial"/>
          <w:sz w:val="21"/>
          <w:szCs w:val="21"/>
          <w:color w:val="auto"/>
        </w:rPr>
        <w:t>”) or to any of the Receiving Party’s or its Affiliates’ employees, consultants or subcontractors (collectively, “</w:t>
      </w:r>
      <w:r>
        <w:rPr>
          <w:rFonts w:ascii="Arial" w:cs="Arial" w:eastAsia="Arial" w:hAnsi="Arial"/>
          <w:sz w:val="21"/>
          <w:szCs w:val="21"/>
          <w:b w:val="1"/>
          <w:bCs w:val="1"/>
          <w:color w:val="auto"/>
        </w:rPr>
        <w:t>Representatives</w:t>
      </w:r>
      <w:r>
        <w:rPr>
          <w:rFonts w:ascii="Arial" w:cs="Arial" w:eastAsia="Arial" w:hAnsi="Arial"/>
          <w:sz w:val="21"/>
          <w:szCs w:val="21"/>
          <w:color w:val="auto"/>
        </w:rPr>
        <w:t>”), either prior to or after the Effective Date of this Agreement (including any information disclosed pursuant to the Confidentiality Agreement), and whether or not such Know-How or other information is identified as confidential at the time of disclosure. The terms and conditions of this Agreement shall be deemed to be the Confidential Information of each Party. Confidential Information within the CytomX Program Technology shall be deemed to be the Confidential Information of CytomX. Confidential Information within the ImmunoGen Program Technology shall be deemed to be the Confidential Information of ImmunoGen. Confidential Information within the Joint Program Technology shall be deemed to be the Confidential Information of each Party. Certain other information is designated as Confidential Information throughout this Agreement and is included in this definition.</w:t>
      </w:r>
    </w:p>
    <w:p>
      <w:pPr>
        <w:spacing w:after="0" w:line="182"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1.28 “</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that certain Mutual Confidential Disclosure Agreement between the Parties effective as of March 21, 2013.</w:t>
      </w:r>
    </w:p>
    <w:p>
      <w:pPr>
        <w:spacing w:after="0" w:line="163"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b w:val="1"/>
          <w:bCs w:val="1"/>
          <w:color w:val="auto"/>
        </w:rPr>
        <w:t>Conjugation Probody Platform Improvements</w:t>
      </w:r>
      <w:r>
        <w:rPr>
          <w:rFonts w:ascii="Arial" w:cs="Arial" w:eastAsia="Arial" w:hAnsi="Arial"/>
          <w:sz w:val="22"/>
          <w:szCs w:val="22"/>
          <w:color w:val="auto"/>
        </w:rPr>
        <w:t>” has the meaning ascribed to such term in the Research Collaboration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3" w:lineRule="exact"/>
        <w:rPr>
          <w:sz w:val="20"/>
          <w:szCs w:val="20"/>
          <w:color w:val="auto"/>
        </w:rPr>
      </w:pPr>
    </w:p>
    <w:p>
      <w:pPr>
        <w:ind w:right="200" w:firstLine="8"/>
        <w:spacing w:after="0" w:line="259" w:lineRule="auto"/>
        <w:tabs>
          <w:tab w:leader="none" w:pos="43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37" w:lineRule="auto"/>
        <w:rPr>
          <w:sz w:val="20"/>
          <w:szCs w:val="20"/>
          <w:color w:val="auto"/>
        </w:rPr>
      </w:pPr>
      <w:r>
        <w:rPr>
          <w:rFonts w:ascii="Arial" w:cs="Arial" w:eastAsia="Arial" w:hAnsi="Arial"/>
          <w:sz w:val="22"/>
          <w:szCs w:val="22"/>
          <w:color w:val="auto"/>
        </w:rPr>
        <w:t>1.30 “</w:t>
      </w:r>
      <w:r>
        <w:rPr>
          <w:rFonts w:ascii="Arial" w:cs="Arial" w:eastAsia="Arial" w:hAnsi="Arial"/>
          <w:sz w:val="22"/>
          <w:szCs w:val="22"/>
          <w:b w:val="1"/>
          <w:bCs w:val="1"/>
          <w:color w:val="auto"/>
        </w:rPr>
        <w:t>Control</w:t>
      </w:r>
      <w:r>
        <w:rPr>
          <w:rFonts w:ascii="Arial" w:cs="Arial" w:eastAsia="Arial" w:hAnsi="Arial"/>
          <w:sz w:val="22"/>
          <w:szCs w:val="22"/>
          <w:color w:val="auto"/>
        </w:rPr>
        <w:t>” or “</w:t>
      </w:r>
      <w:r>
        <w:rPr>
          <w:rFonts w:ascii="Arial" w:cs="Arial" w:eastAsia="Arial" w:hAnsi="Arial"/>
          <w:sz w:val="22"/>
          <w:szCs w:val="22"/>
          <w:b w:val="1"/>
          <w:bCs w:val="1"/>
          <w:color w:val="auto"/>
        </w:rPr>
        <w:t>Controlled</w:t>
      </w:r>
      <w:r>
        <w:rPr>
          <w:rFonts w:ascii="Arial" w:cs="Arial" w:eastAsia="Arial" w:hAnsi="Arial"/>
          <w:sz w:val="22"/>
          <w:szCs w:val="22"/>
          <w:color w:val="auto"/>
        </w:rPr>
        <w:t>” means, with respect to any (a) item of information, including Know-How, (b) intellectual property right, or (c) Proprietary Material, the possession (whether by ownership interest or license, other than pursuant to this Agreement) by a Party of the ability to grant to the other Party access to or a license under such item, right or material, as provided herein, without violating the terms of any agreement or other arrangements with any Third Party.</w:t>
      </w:r>
    </w:p>
    <w:p>
      <w:pPr>
        <w:spacing w:after="0" w:line="183"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Covered Results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6.3.2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Cover(s)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4.2.3(b)(iii)</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36" w:lineRule="auto"/>
        <w:rPr>
          <w:sz w:val="20"/>
          <w:szCs w:val="20"/>
          <w:color w:val="auto"/>
        </w:rPr>
      </w:pPr>
      <w:r>
        <w:rPr>
          <w:rFonts w:ascii="Arial" w:cs="Arial" w:eastAsia="Arial" w:hAnsi="Arial"/>
          <w:sz w:val="22"/>
          <w:szCs w:val="22"/>
          <w:color w:val="auto"/>
        </w:rPr>
        <w:t>1.33 “</w:t>
      </w:r>
      <w:r>
        <w:rPr>
          <w:rFonts w:ascii="Arial" w:cs="Arial" w:eastAsia="Arial" w:hAnsi="Arial"/>
          <w:sz w:val="22"/>
          <w:szCs w:val="22"/>
          <w:b w:val="1"/>
          <w:bCs w:val="1"/>
          <w:color w:val="auto"/>
        </w:rPr>
        <w:t>CytomX Accounting Standards</w:t>
      </w:r>
      <w:r>
        <w:rPr>
          <w:rFonts w:ascii="Arial" w:cs="Arial" w:eastAsia="Arial" w:hAnsi="Arial"/>
          <w:sz w:val="22"/>
          <w:szCs w:val="22"/>
          <w:color w:val="auto"/>
        </w:rPr>
        <w:t xml:space="preserve">” means GAAP, as generally and consistently applied throughout CytomX’s organization. Beginning upon the First Commercial Sale of a Licensed Product and thereafter during the Term as long as CytomX has an obligation to pay royalties under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hereof, CytomX shall promptly notify ImmunoGen in the event it changes the accounting principles pursuant to which its records are maintained, it being understood and agreed that only internationally recognized accounting principles may be used (</w:t>
      </w:r>
      <w:r>
        <w:rPr>
          <w:rFonts w:ascii="Arial" w:cs="Arial" w:eastAsia="Arial" w:hAnsi="Arial"/>
          <w:sz w:val="22"/>
          <w:szCs w:val="22"/>
          <w:i w:val="1"/>
          <w:iCs w:val="1"/>
          <w:color w:val="auto"/>
        </w:rPr>
        <w:t>e.g</w:t>
      </w:r>
      <w:r>
        <w:rPr>
          <w:rFonts w:ascii="Arial" w:cs="Arial" w:eastAsia="Arial" w:hAnsi="Arial"/>
          <w:sz w:val="22"/>
          <w:szCs w:val="22"/>
          <w:color w:val="auto"/>
        </w:rPr>
        <w:t>., GAAP, IFRS (International Financial Reporting Standards), etc.).</w:t>
      </w:r>
    </w:p>
    <w:p>
      <w:pPr>
        <w:spacing w:after="0" w:line="182"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CytomX Indemnified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b w:val="1"/>
          <w:bCs w:val="1"/>
          <w:color w:val="auto"/>
        </w:rPr>
        <w:t>CytomX Program Technology</w:t>
      </w:r>
      <w:r>
        <w:rPr>
          <w:rFonts w:ascii="Arial" w:cs="Arial" w:eastAsia="Arial" w:hAnsi="Arial"/>
          <w:sz w:val="22"/>
          <w:szCs w:val="22"/>
          <w:color w:val="auto"/>
        </w:rPr>
        <w:t>” means any Program Technology (other than Joint Program Technology) the inventors of which (alone or with others) are employees of, or others obligated to assign inventions to, CytomX or any of its Affiliates, Sublicensees or Permitted Third Party Service Providers.</w:t>
      </w:r>
    </w:p>
    <w:p>
      <w:pPr>
        <w:spacing w:after="0" w:line="177"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1.36 “</w:t>
      </w:r>
      <w:r>
        <w:rPr>
          <w:rFonts w:ascii="Arial" w:cs="Arial" w:eastAsia="Arial" w:hAnsi="Arial"/>
          <w:sz w:val="22"/>
          <w:szCs w:val="22"/>
          <w:b w:val="1"/>
          <w:bCs w:val="1"/>
          <w:color w:val="auto"/>
        </w:rPr>
        <w:t>CytomX Proprietary Materials</w:t>
      </w:r>
      <w:r>
        <w:rPr>
          <w:rFonts w:ascii="Arial" w:cs="Arial" w:eastAsia="Arial" w:hAnsi="Arial"/>
          <w:sz w:val="22"/>
          <w:szCs w:val="22"/>
          <w:color w:val="auto"/>
        </w:rPr>
        <w:t>” means biological materials (including any Probodies, Masks or Substrates) and other tangible research materials Controlled by CytomX and provided by CytomX to ImmunoGen under this Agreement.</w:t>
      </w:r>
    </w:p>
    <w:p>
      <w:pPr>
        <w:spacing w:after="0" w:line="177"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CytomX Response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5.5.3(c)</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48" w:lineRule="exact"/>
        <w:rPr>
          <w:sz w:val="20"/>
          <w:szCs w:val="20"/>
          <w:color w:val="auto"/>
        </w:rPr>
      </w:pPr>
      <w:r>
        <w:rPr>
          <w:rFonts w:ascii="Arial" w:cs="Arial" w:eastAsia="Arial" w:hAnsi="Arial"/>
          <w:sz w:val="22"/>
          <w:szCs w:val="22"/>
          <w:color w:val="auto"/>
        </w:rPr>
        <w:t>1.38 “</w:t>
      </w:r>
      <w:r>
        <w:rPr>
          <w:rFonts w:ascii="Arial" w:cs="Arial" w:eastAsia="Arial" w:hAnsi="Arial"/>
          <w:sz w:val="22"/>
          <w:szCs w:val="22"/>
          <w:b w:val="1"/>
          <w:bCs w:val="1"/>
          <w:color w:val="auto"/>
        </w:rPr>
        <w:t>CytomX Standard Exchange Rate Methodology</w:t>
      </w:r>
      <w:r>
        <w:rPr>
          <w:rFonts w:ascii="Arial" w:cs="Arial" w:eastAsia="Arial" w:hAnsi="Arial"/>
          <w:sz w:val="22"/>
          <w:szCs w:val="22"/>
          <w:color w:val="auto"/>
        </w:rPr>
        <w:t>” means, with respect to amounts invoiced in U.S. Dollars, all such amounts shall be expressed in U.S. Dollars. With respect to amounts invoiced in a currency other than U.S. Dollars, all such amounts shall be expressed both in the currency in which the amount was invoiced and in the U.S. Dollar equivalent. The U.S. Dollar equivalent shall be calculated using CytomX’s then</w:t>
      </w:r>
      <w:r>
        <w:rPr>
          <w:rFonts w:ascii="MS PGothic" w:cs="MS PGothic" w:eastAsia="MS PGothic" w:hAnsi="MS PGothic"/>
          <w:sz w:val="22"/>
          <w:szCs w:val="22"/>
          <w:color w:val="auto"/>
        </w:rPr>
        <w:t>‑</w:t>
      </w:r>
      <w:r>
        <w:rPr>
          <w:rFonts w:ascii="Arial" w:cs="Arial" w:eastAsia="Arial" w:hAnsi="Arial"/>
          <w:sz w:val="22"/>
          <w:szCs w:val="22"/>
          <w:color w:val="auto"/>
        </w:rPr>
        <w:t>current standard exchange rate methodology, which is in accordance with the CytomX Accounting Standards applied in its external reporting for the conversion of foreign currency sales into U.S. Dollars or, in the case of Sublicensees, such similar methodology, consistently applied.</w:t>
      </w:r>
    </w:p>
    <w:p>
      <w:pPr>
        <w:spacing w:after="0" w:line="184" w:lineRule="exact"/>
        <w:rPr>
          <w:sz w:val="20"/>
          <w:szCs w:val="20"/>
          <w:color w:val="auto"/>
        </w:rPr>
      </w:pPr>
    </w:p>
    <w:p>
      <w:pPr>
        <w:jc w:val="both"/>
        <w:ind w:left="880" w:firstLine="810"/>
        <w:spacing w:after="0" w:line="254" w:lineRule="auto"/>
        <w:rPr>
          <w:sz w:val="20"/>
          <w:szCs w:val="20"/>
          <w:color w:val="auto"/>
        </w:rPr>
      </w:pPr>
      <w:r>
        <w:rPr>
          <w:rFonts w:ascii="Arial" w:cs="Arial" w:eastAsia="Arial" w:hAnsi="Arial"/>
          <w:sz w:val="21"/>
          <w:szCs w:val="21"/>
          <w:color w:val="auto"/>
        </w:rPr>
        <w:t>1.39 “</w:t>
      </w:r>
      <w:r>
        <w:rPr>
          <w:rFonts w:ascii="Arial" w:cs="Arial" w:eastAsia="Arial" w:hAnsi="Arial"/>
          <w:sz w:val="21"/>
          <w:szCs w:val="21"/>
          <w:b w:val="1"/>
          <w:bCs w:val="1"/>
          <w:color w:val="auto"/>
        </w:rPr>
        <w:t>CytomX TAP Platform Improvements</w:t>
      </w:r>
      <w:r>
        <w:rPr>
          <w:rFonts w:ascii="Arial" w:cs="Arial" w:eastAsia="Arial" w:hAnsi="Arial"/>
          <w:sz w:val="21"/>
          <w:szCs w:val="21"/>
          <w:color w:val="auto"/>
        </w:rPr>
        <w:t>” means any TAP Platform Improvement (other than a Joint TAP Platform Improvement) the inventors of which (alone or with others) are employees of, or others obligated to assign inventions to, CytomX or any of its Affiliates, Sublicensees or Permitted Third Party Service Providers pursuant to the Development, Manufacture, use and Commercialization of any Licensed Product.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3" w:lineRule="exact"/>
        <w:rPr>
          <w:sz w:val="20"/>
          <w:szCs w:val="20"/>
          <w:color w:val="auto"/>
        </w:rPr>
      </w:pPr>
    </w:p>
    <w:p>
      <w:pPr>
        <w:ind w:right="200" w:firstLine="8"/>
        <w:spacing w:after="0" w:line="259" w:lineRule="auto"/>
        <w:tabs>
          <w:tab w:leader="none" w:pos="4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36" w:lineRule="auto"/>
        <w:rPr>
          <w:sz w:val="20"/>
          <w:szCs w:val="20"/>
          <w:color w:val="auto"/>
        </w:rPr>
      </w:pPr>
      <w:r>
        <w:rPr>
          <w:rFonts w:ascii="Arial" w:cs="Arial" w:eastAsia="Arial" w:hAnsi="Arial"/>
          <w:sz w:val="22"/>
          <w:szCs w:val="22"/>
          <w:color w:val="auto"/>
        </w:rPr>
        <w:t>1.40 “</w:t>
      </w:r>
      <w:r>
        <w:rPr>
          <w:rFonts w:ascii="Arial" w:cs="Arial" w:eastAsia="Arial" w:hAnsi="Arial"/>
          <w:sz w:val="22"/>
          <w:szCs w:val="22"/>
          <w:b w:val="1"/>
          <w:bCs w:val="1"/>
          <w:color w:val="auto"/>
        </w:rPr>
        <w:t>CytomX Technology</w:t>
      </w:r>
      <w:r>
        <w:rPr>
          <w:rFonts w:ascii="Arial" w:cs="Arial" w:eastAsia="Arial" w:hAnsi="Arial"/>
          <w:sz w:val="22"/>
          <w:szCs w:val="22"/>
          <w:color w:val="auto"/>
        </w:rPr>
        <w:t>” means any Patent Right, Know-How or other intellectual property right that is Controlled by CytomX or any Affiliate of CytomX or that comes into the Control of CytomX at any time during the Term of this Agreement and is actually used by CytomX in Developing Licensed Products under this Agreement or is otherwise necessary for Developing, Manufacturing, using or Commercializing Licensed Products and that claims, covers or is specifically directed to the composition of, or any method of using or method of making or any Tools for Developing, any Probody, Mask or Substrate.</w:t>
      </w:r>
    </w:p>
    <w:p>
      <w:pPr>
        <w:spacing w:after="0" w:line="182"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Cytotoxic Compound</w:t>
      </w:r>
      <w:r>
        <w:rPr>
          <w:rFonts w:ascii="Arial" w:cs="Arial" w:eastAsia="Arial" w:hAnsi="Arial"/>
          <w:sz w:val="19"/>
          <w:szCs w:val="19"/>
          <w:color w:val="auto"/>
        </w:rPr>
        <w:t>” means MAY Compounds and IGN Compounds.</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Deemed Royalty Portion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5.4.2(g)(iii)</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47" w:lineRule="exact"/>
        <w:rPr>
          <w:sz w:val="20"/>
          <w:szCs w:val="20"/>
          <w:color w:val="auto"/>
        </w:rPr>
      </w:pPr>
      <w:r>
        <w:rPr>
          <w:rFonts w:ascii="Arial" w:cs="Arial" w:eastAsia="Arial" w:hAnsi="Arial"/>
          <w:sz w:val="19"/>
          <w:szCs w:val="19"/>
          <w:color w:val="auto"/>
        </w:rPr>
        <w:t>1.43 “</w:t>
      </w:r>
      <w:r>
        <w:rPr>
          <w:rFonts w:ascii="Arial" w:cs="Arial" w:eastAsia="Arial" w:hAnsi="Arial"/>
          <w:sz w:val="19"/>
          <w:szCs w:val="19"/>
          <w:b w:val="1"/>
          <w:bCs w:val="1"/>
          <w:color w:val="auto"/>
        </w:rPr>
        <w:t>Develop</w:t>
      </w:r>
      <w:r>
        <w:rPr>
          <w:rFonts w:ascii="Arial" w:cs="Arial" w:eastAsia="Arial" w:hAnsi="Arial"/>
          <w:sz w:val="19"/>
          <w:szCs w:val="19"/>
          <w:color w:val="auto"/>
        </w:rPr>
        <w:t>” or “</w:t>
      </w:r>
      <w:r>
        <w:rPr>
          <w:rFonts w:ascii="Arial" w:cs="Arial" w:eastAsia="Arial" w:hAnsi="Arial"/>
          <w:sz w:val="19"/>
          <w:szCs w:val="19"/>
          <w:b w:val="1"/>
          <w:bCs w:val="1"/>
          <w:color w:val="auto"/>
        </w:rPr>
        <w:t>Development</w:t>
      </w:r>
      <w:r>
        <w:rPr>
          <w:rFonts w:ascii="Arial" w:cs="Arial" w:eastAsia="Arial" w:hAnsi="Arial"/>
          <w:sz w:val="19"/>
          <w:szCs w:val="19"/>
          <w:color w:val="auto"/>
        </w:rPr>
        <w:t>” means, with respect to a Licensed Product, all pre</w:t>
      </w:r>
      <w:r>
        <w:rPr>
          <w:rFonts w:ascii="MS PGothic" w:cs="MS PGothic" w:eastAsia="MS PGothic" w:hAnsi="MS PGothic"/>
          <w:sz w:val="19"/>
          <w:szCs w:val="19"/>
          <w:color w:val="auto"/>
        </w:rPr>
        <w:t>‑</w:t>
      </w:r>
      <w:r>
        <w:rPr>
          <w:rFonts w:ascii="Arial" w:cs="Arial" w:eastAsia="Arial" w:hAnsi="Arial"/>
          <w:sz w:val="19"/>
          <w:szCs w:val="19"/>
          <w:color w:val="auto"/>
        </w:rPr>
        <w:t>clinical, non-clinical and clinical research and drug development activities with respect to such Licensed Product relating to research and development in connection with seeking, obtaining or maintaining any Regulatory Approval for such Licensed Product, including research, toxicology, pharmacology and other similar efforts, test method development and stability testing, manufacturing process development, formulation development, delivery system development, quality assurance and quality control development, statistical analysis, clinical studies (including pre- and post</w:t>
      </w:r>
      <w:r>
        <w:rPr>
          <w:rFonts w:ascii="MS PGothic" w:cs="MS PGothic" w:eastAsia="MS PGothic" w:hAnsi="MS PGothic"/>
          <w:sz w:val="19"/>
          <w:szCs w:val="19"/>
          <w:color w:val="auto"/>
        </w:rPr>
        <w:t>‑</w:t>
      </w:r>
      <w:r>
        <w:rPr>
          <w:rFonts w:ascii="Arial" w:cs="Arial" w:eastAsia="Arial" w:hAnsi="Arial"/>
          <w:sz w:val="19"/>
          <w:szCs w:val="19"/>
          <w:color w:val="auto"/>
        </w:rPr>
        <w:t>approval studies), development of diagnostic assays in connection with clinical studies, and all activities directed to obtaining any Regulatory Approval, including any marketing, pricing or reimbursement approval. When used as a verb, “Develop” means to engage in Development and “Developed” has a corresponding meaning.</w:t>
      </w:r>
    </w:p>
    <w:p>
      <w:pPr>
        <w:spacing w:after="0" w:line="184"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 Milestone Payment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4.1.1</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Diligence Obligation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Disclosing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1.27</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Disclosure Letter</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is defined in the introduction to this Agreement.</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agency thereto.</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all human therapeutic, prophylactic and diagnostic uses.</w:t>
      </w:r>
    </w:p>
    <w:p>
      <w:pPr>
        <w:spacing w:after="0" w:line="206"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1.53 “</w:t>
      </w:r>
      <w:r>
        <w:rPr>
          <w:rFonts w:ascii="Arial" w:cs="Arial" w:eastAsia="Arial" w:hAnsi="Arial"/>
          <w:sz w:val="22"/>
          <w:szCs w:val="22"/>
          <w:b w:val="1"/>
          <w:bCs w:val="1"/>
          <w:color w:val="auto"/>
        </w:rPr>
        <w:t>FD&amp;C Act</w:t>
      </w:r>
      <w:r>
        <w:rPr>
          <w:rFonts w:ascii="Arial" w:cs="Arial" w:eastAsia="Arial" w:hAnsi="Arial"/>
          <w:sz w:val="22"/>
          <w:szCs w:val="22"/>
          <w:color w:val="auto"/>
        </w:rPr>
        <w:t xml:space="preserve">” means the United States Federal Food, Drug, and Cosmetic Act (21 U.S.C. § 301 </w:t>
      </w:r>
      <w:r>
        <w:rPr>
          <w:rFonts w:ascii="Arial" w:cs="Arial" w:eastAsia="Arial" w:hAnsi="Arial"/>
          <w:sz w:val="22"/>
          <w:szCs w:val="22"/>
          <w:i w:val="1"/>
          <w:iCs w:val="1"/>
          <w:color w:val="auto"/>
        </w:rPr>
        <w:t>et</w:t>
      </w:r>
      <w:r>
        <w:rPr>
          <w:rFonts w:ascii="Arial" w:cs="Arial" w:eastAsia="Arial" w:hAnsi="Arial"/>
          <w:sz w:val="22"/>
          <w:szCs w:val="22"/>
          <w:color w:val="auto"/>
        </w:rPr>
        <w:t xml:space="preserve"> </w:t>
      </w:r>
      <w:r>
        <w:rPr>
          <w:rFonts w:ascii="Arial" w:cs="Arial" w:eastAsia="Arial" w:hAnsi="Arial"/>
          <w:sz w:val="22"/>
          <w:szCs w:val="22"/>
          <w:i w:val="1"/>
          <w:iCs w:val="1"/>
          <w:color w:val="auto"/>
        </w:rPr>
        <w:t>seq</w:t>
      </w:r>
      <w:r>
        <w:rPr>
          <w:rFonts w:ascii="Arial" w:cs="Arial" w:eastAsia="Arial" w:hAnsi="Arial"/>
          <w:sz w:val="22"/>
          <w:szCs w:val="22"/>
          <w:color w:val="auto"/>
        </w:rPr>
        <w:t>.), as amended, and the rules and regulations promulgated thereunder.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3" w:lineRule="exact"/>
        <w:rPr>
          <w:sz w:val="20"/>
          <w:szCs w:val="20"/>
          <w:color w:val="auto"/>
        </w:rPr>
      </w:pPr>
    </w:p>
    <w:p>
      <w:pPr>
        <w:ind w:right="200" w:firstLine="8"/>
        <w:spacing w:after="0" w:line="259" w:lineRule="auto"/>
        <w:tabs>
          <w:tab w:leader="none" w:pos="4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agency thereto.</w:t>
      </w:r>
    </w:p>
    <w:p>
      <w:pPr>
        <w:spacing w:after="0" w:line="206" w:lineRule="exact"/>
        <w:rPr>
          <w:sz w:val="20"/>
          <w:szCs w:val="20"/>
          <w:color w:val="auto"/>
        </w:rPr>
      </w:pPr>
    </w:p>
    <w:p>
      <w:pPr>
        <w:jc w:val="both"/>
        <w:ind w:left="880" w:firstLine="810"/>
        <w:spacing w:after="0" w:line="274" w:lineRule="auto"/>
        <w:rPr>
          <w:sz w:val="20"/>
          <w:szCs w:val="20"/>
          <w:color w:val="auto"/>
        </w:rPr>
      </w:pPr>
      <w:r>
        <w:rPr>
          <w:rFonts w:ascii="Arial" w:cs="Arial" w:eastAsia="Arial" w:hAnsi="Arial"/>
          <w:sz w:val="19"/>
          <w:szCs w:val="19"/>
          <w:color w:val="auto"/>
        </w:rPr>
        <w:t>1.55 “</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any Licensed Product and any country of the world, the first sale of such Licensed Product under this Agreement by CytomX, its Affiliates or its Sublicensees to a Third Party in such country, after such Licensed Product has been granted Regulatory Marketing Approval by the competent Regulatory Authorities in such country or, if no such Regulatory Marketing Approval or similar approval is required, the date on which such Licensed Product is first commercially launched in such country. The foregoing notwithstanding, “First Commercial Sale” shall not include: (a) any distribution or other sale solely for so-called treatment investigational new drug sales, named patient sales, compassionate or emergency use sales or pre-approval sales, in each case provided that such Licensed Product is distributed without charge or sold at or below cost; (b) intercompany transfers to Affiliates of CytomX; nor (c) other similar non-commercial uses, provided that in each case under this clause (c) such Licensed Product is distributed without charge or sold at or below cost.</w:t>
      </w:r>
    </w:p>
    <w:p>
      <w:pPr>
        <w:spacing w:after="0" w:line="153"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consistently applied.</w:t>
      </w:r>
    </w:p>
    <w:p>
      <w:pPr>
        <w:spacing w:after="0" w:line="206" w:lineRule="exact"/>
        <w:rPr>
          <w:sz w:val="20"/>
          <w:szCs w:val="20"/>
          <w:color w:val="auto"/>
        </w:rPr>
      </w:pPr>
    </w:p>
    <w:p>
      <w:pPr>
        <w:jc w:val="both"/>
        <w:ind w:left="880" w:firstLine="810"/>
        <w:spacing w:after="0" w:line="269" w:lineRule="auto"/>
        <w:rPr>
          <w:sz w:val="20"/>
          <w:szCs w:val="20"/>
          <w:color w:val="auto"/>
        </w:rPr>
      </w:pPr>
      <w:r>
        <w:rPr>
          <w:rFonts w:ascii="Arial" w:cs="Arial" w:eastAsia="Arial" w:hAnsi="Arial"/>
          <w:sz w:val="19"/>
          <w:szCs w:val="19"/>
          <w:color w:val="auto"/>
        </w:rPr>
        <w:t>1.57 “</w:t>
      </w:r>
      <w:r>
        <w:rPr>
          <w:rFonts w:ascii="Arial" w:cs="Arial" w:eastAsia="Arial" w:hAnsi="Arial"/>
          <w:sz w:val="19"/>
          <w:szCs w:val="19"/>
          <w:b w:val="1"/>
          <w:bCs w:val="1"/>
          <w:color w:val="auto"/>
        </w:rPr>
        <w:t>Generic Equivalent</w:t>
      </w:r>
      <w:r>
        <w:rPr>
          <w:rFonts w:ascii="Arial" w:cs="Arial" w:eastAsia="Arial" w:hAnsi="Arial"/>
          <w:sz w:val="19"/>
          <w:szCs w:val="19"/>
          <w:color w:val="auto"/>
        </w:rPr>
        <w:t>” means, with respect to any Licensed Product in a given country, any biopharmaceutical product that is sold by a Third Party that is not a Sublicensee of CytomX or its Affiliates and such Third Party product (a) contains both (i) an Antibody or Probody that specifically binds to the Licensed Target, and (ii) the same Linker and Cytotoxic Compound as the relevant Licensed Product, or (b) (i) has been licensed as a biosimilar or interchangeable biological product by FDA pursuant to Section 351(k) of the PHSA or any subsequent or superseding law, statute or regulation, (ii) has been licensed as a similar biological medicinal product by the European Medicines Agency pursuant to Directive 2001/83/EC, as may be amended, or any subsequent or superseding law, statute or regulation, or (iii) has otherwise achieved analogous regulatory marketing approval in reliance on the prior approval of the Licensed Product from another applicable Regulatory Authority where in the case of each of subclauses (i), (ii) or</w:t>
      </w:r>
    </w:p>
    <w:p>
      <w:pPr>
        <w:spacing w:after="0" w:line="8" w:lineRule="exact"/>
        <w:rPr>
          <w:sz w:val="20"/>
          <w:szCs w:val="20"/>
          <w:color w:val="auto"/>
        </w:rPr>
      </w:pPr>
    </w:p>
    <w:p>
      <w:pPr>
        <w:ind w:left="880" w:firstLine="5"/>
        <w:spacing w:after="0" w:line="237" w:lineRule="auto"/>
        <w:tabs>
          <w:tab w:leader="none" w:pos="1287" w:val="left"/>
        </w:tabs>
        <w:numPr>
          <w:ilvl w:val="0"/>
          <w:numId w:val="58"/>
        </w:numPr>
        <w:rPr>
          <w:rFonts w:ascii="Arial" w:cs="Arial" w:eastAsia="Arial" w:hAnsi="Arial"/>
          <w:sz w:val="22"/>
          <w:szCs w:val="22"/>
          <w:color w:val="auto"/>
        </w:rPr>
      </w:pPr>
      <w:r>
        <w:rPr>
          <w:rFonts w:ascii="Arial" w:cs="Arial" w:eastAsia="Arial" w:hAnsi="Arial"/>
          <w:sz w:val="22"/>
          <w:szCs w:val="22"/>
          <w:color w:val="auto"/>
        </w:rPr>
        <w:t>of clause (b) above, the Licensed Product is the reference product for purposes of determining (bio)similarity or interchangeability of the Third Party product.</w:t>
      </w:r>
    </w:p>
    <w:p>
      <w:pPr>
        <w:spacing w:after="0" w:line="179" w:lineRule="exact"/>
        <w:rPr>
          <w:sz w:val="20"/>
          <w:szCs w:val="20"/>
          <w:color w:val="auto"/>
        </w:rPr>
      </w:pPr>
    </w:p>
    <w:p>
      <w:pPr>
        <w:ind w:left="880" w:firstLine="810"/>
        <w:spacing w:after="0" w:line="256" w:lineRule="auto"/>
        <w:rPr>
          <w:sz w:val="20"/>
          <w:szCs w:val="20"/>
          <w:color w:val="auto"/>
        </w:rPr>
      </w:pPr>
      <w:r>
        <w:rPr>
          <w:rFonts w:ascii="Arial" w:cs="Arial" w:eastAsia="Arial" w:hAnsi="Arial"/>
          <w:sz w:val="22"/>
          <w:szCs w:val="22"/>
          <w:color w:val="auto"/>
        </w:rPr>
        <w:t>1.58 “</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court, agency, department, authority or other instrumentality of any national, state, county, city or other political subdivision.</w:t>
      </w:r>
    </w:p>
    <w:p>
      <w:pPr>
        <w:spacing w:after="0" w:line="163" w:lineRule="exact"/>
        <w:rPr>
          <w:sz w:val="20"/>
          <w:szCs w:val="20"/>
          <w:color w:val="auto"/>
        </w:rPr>
      </w:pPr>
    </w:p>
    <w:p>
      <w:pPr>
        <w:ind w:left="880" w:firstLine="810"/>
        <w:spacing w:after="0" w:line="256"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b w:val="1"/>
          <w:bCs w:val="1"/>
          <w:color w:val="auto"/>
        </w:rPr>
        <w:t>IGN Compounds</w:t>
      </w:r>
      <w:r>
        <w:rPr>
          <w:rFonts w:ascii="Arial" w:cs="Arial" w:eastAsia="Arial" w:hAnsi="Arial"/>
          <w:sz w:val="22"/>
          <w:szCs w:val="22"/>
          <w:color w:val="auto"/>
        </w:rPr>
        <w:t>” means [***], including, without limitation, all analogs, variants, fragments or derivatives of any of the foregoing, in each case owned or Controlled by ImmunoGen.</w:t>
      </w:r>
    </w:p>
    <w:p>
      <w:pPr>
        <w:spacing w:after="0" w:line="163" w:lineRule="exact"/>
        <w:rPr>
          <w:sz w:val="20"/>
          <w:szCs w:val="20"/>
          <w:color w:val="auto"/>
        </w:rPr>
      </w:pPr>
    </w:p>
    <w:p>
      <w:pPr>
        <w:ind w:left="880" w:firstLine="810"/>
        <w:spacing w:after="0" w:line="256" w:lineRule="auto"/>
        <w:rPr>
          <w:sz w:val="20"/>
          <w:szCs w:val="20"/>
          <w:color w:val="auto"/>
        </w:rPr>
      </w:pPr>
      <w:r>
        <w:rPr>
          <w:rFonts w:ascii="Arial" w:cs="Arial" w:eastAsia="Arial" w:hAnsi="Arial"/>
          <w:sz w:val="22"/>
          <w:szCs w:val="22"/>
          <w:color w:val="auto"/>
        </w:rPr>
        <w:t>1.60 “</w:t>
      </w:r>
      <w:r>
        <w:rPr>
          <w:rFonts w:ascii="Arial" w:cs="Arial" w:eastAsia="Arial" w:hAnsi="Arial"/>
          <w:sz w:val="22"/>
          <w:szCs w:val="22"/>
          <w:b w:val="1"/>
          <w:bCs w:val="1"/>
          <w:color w:val="auto"/>
        </w:rPr>
        <w:t>Immediate Patent Infringement Action</w:t>
      </w:r>
      <w:r>
        <w:rPr>
          <w:rFonts w:ascii="Arial" w:cs="Arial" w:eastAsia="Arial" w:hAnsi="Arial"/>
          <w:sz w:val="22"/>
          <w:szCs w:val="22"/>
          <w:color w:val="auto"/>
        </w:rPr>
        <w:t>” means an immediate patent infringement action pursuant to Section 351(1)(6) of the PHSA.</w:t>
      </w:r>
    </w:p>
    <w:p>
      <w:pPr>
        <w:spacing w:after="0" w:line="163"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3" w:lineRule="exact"/>
        <w:rPr>
          <w:sz w:val="20"/>
          <w:szCs w:val="20"/>
          <w:color w:val="auto"/>
        </w:rPr>
      </w:pPr>
    </w:p>
    <w:p>
      <w:pPr>
        <w:ind w:right="200" w:firstLine="8"/>
        <w:spacing w:after="0" w:line="259" w:lineRule="auto"/>
        <w:tabs>
          <w:tab w:leader="none" w:pos="4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ImmunoGen Indemnified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1.64 “</w:t>
      </w:r>
      <w:r>
        <w:rPr>
          <w:rFonts w:ascii="Arial" w:cs="Arial" w:eastAsia="Arial" w:hAnsi="Arial"/>
          <w:sz w:val="22"/>
          <w:szCs w:val="22"/>
          <w:b w:val="1"/>
          <w:bCs w:val="1"/>
          <w:color w:val="auto"/>
        </w:rPr>
        <w:t>ImmunoGen Program Technology</w:t>
      </w:r>
      <w:r>
        <w:rPr>
          <w:rFonts w:ascii="Arial" w:cs="Arial" w:eastAsia="Arial" w:hAnsi="Arial"/>
          <w:sz w:val="22"/>
          <w:szCs w:val="22"/>
          <w:color w:val="auto"/>
        </w:rPr>
        <w:t>” means any Program Technology (other than Joint Program Technology) the inventors of which are employees, agents or independent contractors of ImmunoGen or any of its Affiliates. Anything contained in this Agreement to the contrary notwithstanding, any and all ImmunoGen Program Technology that is necessary or useful for Developing, Manufacturing, using or Commercializing Licensed Products and that claims, covers or is specifically directed to the composition of, or any method of using or method of making any Licensed Product, Linker or Cytotoxic Compound comprised in a Licensed Product shall be included in the Licensed Intellectual Property.</w:t>
      </w:r>
    </w:p>
    <w:p>
      <w:pPr>
        <w:spacing w:after="0" w:line="184" w:lineRule="exact"/>
        <w:rPr>
          <w:sz w:val="20"/>
          <w:szCs w:val="20"/>
          <w:color w:val="auto"/>
        </w:rPr>
      </w:pPr>
    </w:p>
    <w:p>
      <w:pPr>
        <w:jc w:val="both"/>
        <w:ind w:left="880" w:firstLine="810"/>
        <w:spacing w:after="0" w:line="248" w:lineRule="auto"/>
        <w:rPr>
          <w:sz w:val="20"/>
          <w:szCs w:val="20"/>
          <w:color w:val="auto"/>
        </w:rPr>
      </w:pPr>
      <w:r>
        <w:rPr>
          <w:rFonts w:ascii="Arial" w:cs="Arial" w:eastAsia="Arial" w:hAnsi="Arial"/>
          <w:sz w:val="21"/>
          <w:szCs w:val="21"/>
          <w:color w:val="auto"/>
        </w:rPr>
        <w:t>1.65 “</w:t>
      </w:r>
      <w:r>
        <w:rPr>
          <w:rFonts w:ascii="Arial" w:cs="Arial" w:eastAsia="Arial" w:hAnsi="Arial"/>
          <w:sz w:val="21"/>
          <w:szCs w:val="21"/>
          <w:b w:val="1"/>
          <w:bCs w:val="1"/>
          <w:color w:val="auto"/>
        </w:rPr>
        <w:t>ImmunoGen Proprietary Antibody Rights</w:t>
      </w:r>
      <w:r>
        <w:rPr>
          <w:rFonts w:ascii="Arial" w:cs="Arial" w:eastAsia="Arial" w:hAnsi="Arial"/>
          <w:sz w:val="21"/>
          <w:szCs w:val="21"/>
          <w:color w:val="auto"/>
        </w:rPr>
        <w:t>” means all Know-How (and associated Patent Rights) owned or Controlled by ImmunoGen during the Term constituting or claiming (a) the composition of matter or method of use of, or method of making, an Antibody that was generated or in-licensed by ImmunoGen, whether or not patentable (an “</w:t>
      </w:r>
      <w:r>
        <w:rPr>
          <w:rFonts w:ascii="Arial" w:cs="Arial" w:eastAsia="Arial" w:hAnsi="Arial"/>
          <w:sz w:val="21"/>
          <w:szCs w:val="21"/>
          <w:b w:val="1"/>
          <w:bCs w:val="1"/>
          <w:u w:val="single" w:color="auto"/>
          <w:color w:val="auto"/>
        </w:rPr>
        <w:t>ImmunoGen Proprietary Antibody</w:t>
      </w:r>
      <w:r>
        <w:rPr>
          <w:rFonts w:ascii="Arial" w:cs="Arial" w:eastAsia="Arial" w:hAnsi="Arial"/>
          <w:sz w:val="21"/>
          <w:szCs w:val="21"/>
          <w:color w:val="auto"/>
        </w:rPr>
        <w:t>”), or (b) the composition of matter or method of use of, or method of making an ADC where the Antibody is an ImmunoGen Proprietary Antibody. For purposes of clarity, “ImmunoGen Proprietary Antibody Rights” does not include any Program Technology that relates to Probodies Targeting the Licensed Target or any Patent Rights claiming such Program Technology.</w:t>
      </w:r>
    </w:p>
    <w:p>
      <w:pPr>
        <w:spacing w:after="0" w:line="171" w:lineRule="exact"/>
        <w:rPr>
          <w:sz w:val="20"/>
          <w:szCs w:val="20"/>
          <w:color w:val="auto"/>
        </w:rPr>
      </w:pPr>
    </w:p>
    <w:p>
      <w:pPr>
        <w:jc w:val="both"/>
        <w:ind w:left="880" w:firstLine="810"/>
        <w:spacing w:after="0" w:line="246" w:lineRule="exact"/>
        <w:rPr>
          <w:sz w:val="20"/>
          <w:szCs w:val="20"/>
          <w:color w:val="auto"/>
        </w:rPr>
      </w:pPr>
      <w:r>
        <w:rPr>
          <w:rFonts w:ascii="Arial" w:cs="Arial" w:eastAsia="Arial" w:hAnsi="Arial"/>
          <w:sz w:val="19"/>
          <w:szCs w:val="19"/>
          <w:color w:val="auto"/>
        </w:rPr>
        <w:t>1.66 “</w:t>
      </w:r>
      <w:r>
        <w:rPr>
          <w:rFonts w:ascii="Arial" w:cs="Arial" w:eastAsia="Arial" w:hAnsi="Arial"/>
          <w:sz w:val="19"/>
          <w:szCs w:val="19"/>
          <w:b w:val="1"/>
          <w:bCs w:val="1"/>
          <w:color w:val="auto"/>
        </w:rPr>
        <w:t>ImmunoGen Proprietary Materials</w:t>
      </w:r>
      <w:r>
        <w:rPr>
          <w:rFonts w:ascii="Arial" w:cs="Arial" w:eastAsia="Arial" w:hAnsi="Arial"/>
          <w:sz w:val="19"/>
          <w:szCs w:val="19"/>
          <w:color w:val="auto"/>
        </w:rPr>
        <w:t>” means any chemical (including any Cytotoxic Compounds), biological (including any Antibodies) and other tangible research materials Controlled by ImmunoGen and provided by ImmunoGen to CytomX under this Agreement. Subject to the last sentence of this definition, any mutant, derivative, progeny or improvement of ImmunoGen Proprietary Materials shall be considered to be ImmunoGen Proprietary Materials. Without limiting the generality of the foregoing, any [***] furnished by ImmunoGen to CytomX or any of its Affiliates, Sublicensees or Permitted Third Party Service Providers, including, without limitation any samples, cultures or cell banks derived directly or indirectly from any [***], derivative, [***] or improvement thereof (collectively, [***]), shall be deemed to be ImmunoGen Proprietary Materials and included within the Licensed Know</w:t>
      </w:r>
      <w:r>
        <w:rPr>
          <w:rFonts w:ascii="MS PGothic" w:cs="MS PGothic" w:eastAsia="MS PGothic" w:hAnsi="MS PGothic"/>
          <w:sz w:val="19"/>
          <w:szCs w:val="19"/>
          <w:color w:val="auto"/>
        </w:rPr>
        <w:t>‑</w:t>
      </w:r>
      <w:r>
        <w:rPr>
          <w:rFonts w:ascii="Arial" w:cs="Arial" w:eastAsia="Arial" w:hAnsi="Arial"/>
          <w:sz w:val="19"/>
          <w:szCs w:val="19"/>
          <w:color w:val="auto"/>
        </w:rPr>
        <w:t>How. Without prejudice to any of ImmunoGen’s intellectual property rights in and to MAY Compounds, any tangible MAY Compounds manufactured by or for CytomX or any of its Affiliates, Sublicensees or Permitted Third Party Service Providers using the [***] as a precursor in connection with the Development, Manufacture, use and Commercialization of Licensed Products shall not be deemed to be ImmunoGen Proprietary Materials for purposes of this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3" w:lineRule="exact"/>
        <w:rPr>
          <w:sz w:val="20"/>
          <w:szCs w:val="20"/>
          <w:color w:val="auto"/>
        </w:rPr>
      </w:pPr>
    </w:p>
    <w:p>
      <w:pPr>
        <w:ind w:right="200" w:firstLine="8"/>
        <w:spacing w:after="0" w:line="259" w:lineRule="auto"/>
        <w:tabs>
          <w:tab w:leader="none" w:pos="4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70" w:lineRule="auto"/>
        <w:rPr>
          <w:sz w:val="20"/>
          <w:szCs w:val="20"/>
          <w:color w:val="auto"/>
        </w:rPr>
      </w:pPr>
      <w:r>
        <w:rPr>
          <w:rFonts w:ascii="Arial" w:cs="Arial" w:eastAsia="Arial" w:hAnsi="Arial"/>
          <w:sz w:val="19"/>
          <w:szCs w:val="19"/>
          <w:color w:val="auto"/>
        </w:rPr>
        <w:t>1.67 “</w:t>
      </w:r>
      <w:r>
        <w:rPr>
          <w:rFonts w:ascii="Arial" w:cs="Arial" w:eastAsia="Arial" w:hAnsi="Arial"/>
          <w:sz w:val="19"/>
          <w:szCs w:val="19"/>
          <w:b w:val="1"/>
          <w:bCs w:val="1"/>
          <w:color w:val="auto"/>
        </w:rPr>
        <w:t>ImmunoGen Technology Transfer Materials</w:t>
      </w:r>
      <w:r>
        <w:rPr>
          <w:rFonts w:ascii="Arial" w:cs="Arial" w:eastAsia="Arial" w:hAnsi="Arial"/>
          <w:sz w:val="19"/>
          <w:szCs w:val="19"/>
          <w:color w:val="auto"/>
        </w:rPr>
        <w:t>” means ImmunoGen information (including, without limitation, technical transfer reports) as consistently provided by ImmunoGen to its other licensees of the Licensed Intellectual Property for the purpose of performing process development, manufacturing and clinical development activities with respect to ADCs, Cytotoxic Compounds and Linkers, as applicable, for use by CytomX for the purpose of Developing, Manufacturing and Commercializing Licensed Products, including: (a) nomenclature, structure and general properties; (b) an example of an ADC manufacturing process, including materials, steps, intermediaries and equipment; (c) an example test panel for controls and characterization and description of methods;</w:t>
      </w:r>
    </w:p>
    <w:p>
      <w:pPr>
        <w:spacing w:after="0" w:line="5" w:lineRule="exact"/>
        <w:rPr>
          <w:sz w:val="20"/>
          <w:szCs w:val="20"/>
          <w:color w:val="auto"/>
        </w:rPr>
      </w:pPr>
    </w:p>
    <w:p>
      <w:pPr>
        <w:jc w:val="both"/>
        <w:ind w:left="880" w:firstLine="5"/>
        <w:spacing w:after="0" w:line="287" w:lineRule="auto"/>
        <w:tabs>
          <w:tab w:leader="none" w:pos="1206"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information on reference standards and materials; (e) an example of stability data; (f) technical reports on research data for Licensed Products developed by ImmunoGen under the Research Collaboration Agreement; and (g) a list of raw materials (Linkers and Cytotoxic Compounds) and protocols for conjugating Licensed Products.</w:t>
      </w:r>
    </w:p>
    <w:p>
      <w:pPr>
        <w:spacing w:after="0" w:line="138"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Improvement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1.141</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1.70 “</w:t>
      </w:r>
      <w:r>
        <w:rPr>
          <w:rFonts w:ascii="Arial" w:cs="Arial" w:eastAsia="Arial" w:hAnsi="Arial"/>
          <w:sz w:val="22"/>
          <w:szCs w:val="22"/>
          <w:b w:val="1"/>
          <w:bCs w:val="1"/>
          <w:color w:val="auto"/>
        </w:rPr>
        <w:t>IND</w:t>
      </w:r>
      <w:r>
        <w:rPr>
          <w:rFonts w:ascii="Arial" w:cs="Arial" w:eastAsia="Arial" w:hAnsi="Arial"/>
          <w:sz w:val="22"/>
          <w:szCs w:val="22"/>
          <w:color w:val="auto"/>
        </w:rPr>
        <w:t>” means an Investigational New Drug Application, as defined in the FD&amp;C Act, that is required to be filed with the FDA before beginning clinical testing of a Licensed Product in human subjects, or an equivalent foreign filing.</w:t>
      </w:r>
    </w:p>
    <w:p>
      <w:pPr>
        <w:spacing w:after="0" w:line="177"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9.4.1</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9.4.1</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37" w:lineRule="auto"/>
        <w:rPr>
          <w:sz w:val="20"/>
          <w:szCs w:val="20"/>
          <w:color w:val="auto"/>
        </w:rPr>
      </w:pPr>
      <w:r>
        <w:rPr>
          <w:rFonts w:ascii="Arial" w:cs="Arial" w:eastAsia="Arial" w:hAnsi="Arial"/>
          <w:sz w:val="22"/>
          <w:szCs w:val="22"/>
          <w:color w:val="auto"/>
        </w:rPr>
        <w:t>1.73 “</w:t>
      </w:r>
      <w:r>
        <w:rPr>
          <w:rFonts w:ascii="Arial" w:cs="Arial" w:eastAsia="Arial" w:hAnsi="Arial"/>
          <w:sz w:val="22"/>
          <w:szCs w:val="22"/>
          <w:b w:val="1"/>
          <w:bCs w:val="1"/>
          <w:color w:val="auto"/>
        </w:rPr>
        <w:t>Independent Patent Counsel</w:t>
      </w:r>
      <w:r>
        <w:rPr>
          <w:rFonts w:ascii="Arial" w:cs="Arial" w:eastAsia="Arial" w:hAnsi="Arial"/>
          <w:sz w:val="22"/>
          <w:szCs w:val="22"/>
          <w:color w:val="auto"/>
        </w:rPr>
        <w:t>” means an outside patent counsel reasonably acceptable to both Parties who (and whose firm) is not at the time of the dispute, and was not at any time during the five (5)-year period preceding the dispute, performing legal services of any nature for either of the Parties or their respective Affiliates (or, in the case of CytomX, its Sublicensees) and which did not, at any time, employ either of the Parties’ chief patent counsels (or persons with similar responsibilities).</w:t>
      </w:r>
    </w:p>
    <w:p>
      <w:pPr>
        <w:spacing w:after="0" w:line="183"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Infringed Patent List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5.5.3(e)</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Infringement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5.4.1</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1.76 “</w:t>
      </w:r>
      <w:r>
        <w:rPr>
          <w:rFonts w:ascii="Arial" w:cs="Arial" w:eastAsia="Arial" w:hAnsi="Arial"/>
          <w:sz w:val="22"/>
          <w:szCs w:val="22"/>
          <w:b w:val="1"/>
          <w:bCs w:val="1"/>
          <w:color w:val="auto"/>
        </w:rPr>
        <w:t>Insolvency Event</w:t>
      </w:r>
      <w:r>
        <w:rPr>
          <w:rFonts w:ascii="Arial" w:cs="Arial" w:eastAsia="Arial" w:hAnsi="Arial"/>
          <w:sz w:val="22"/>
          <w:szCs w:val="22"/>
          <w:color w:val="auto"/>
        </w:rPr>
        <w:t>” means the occurrence of any of the following: (a) a case is commenced by or against a Party under applicable bankruptcy, insolvency or similar laws, and is not dismissed within ninety (90) days, (b) a Party files for or is subject to the institution of bankruptcy, reorganization, liquidation, receivership or similar proceedings, (c) a Party assigns all or a substantial portion of its assets for the benefit of creditors, (d) a receiver or custodian is appointed for a Party’s business, (e) a substantial portion of a Party’s business is subject to attachment or similar process, or (f) anything analogous to any of the events described in the foregoing clauses (a) through (e) occurs under the laws of any applicable jurisdiction.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3" w:lineRule="exact"/>
        <w:rPr>
          <w:sz w:val="20"/>
          <w:szCs w:val="20"/>
          <w:color w:val="auto"/>
        </w:rPr>
      </w:pPr>
    </w:p>
    <w:p>
      <w:pPr>
        <w:ind w:right="200" w:firstLine="8"/>
        <w:spacing w:after="0" w:line="259" w:lineRule="auto"/>
        <w:tabs>
          <w:tab w:leader="none" w:pos="4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line="211" w:lineRule="auto"/>
        <w:framePr w:w="460" w:h="193" w:wrap="auto" w:vAnchor="page" w:hAnchor="page" w:x="1900" w:y="7362"/>
        <w:rPr>
          <w:rFonts w:ascii="Arial" w:cs="Arial" w:eastAsia="Arial" w:hAnsi="Arial"/>
          <w:sz w:val="19"/>
          <w:szCs w:val="19"/>
          <w:color w:val="auto"/>
        </w:rPr>
      </w:pPr>
      <w:r>
        <w:rPr>
          <w:rFonts w:ascii="Arial" w:cs="Arial" w:eastAsia="Arial" w:hAnsi="Arial"/>
          <w:sz w:val="19"/>
          <w:szCs w:val="19"/>
          <w:color w:val="auto"/>
        </w:rPr>
        <w:t>1.87</w:t>
      </w:r>
    </w:p>
    <w:p>
      <w:pPr>
        <w:spacing w:after="0" w:line="211" w:lineRule="auto"/>
        <w:framePr w:w="1100" w:h="193" w:wrap="auto" w:vAnchor="page" w:hAnchor="page" w:x="1080" w:y="7605"/>
        <w:rPr>
          <w:rFonts w:ascii="Arial" w:cs="Arial" w:eastAsia="Arial" w:hAnsi="Arial"/>
          <w:sz w:val="19"/>
          <w:szCs w:val="19"/>
          <w:color w:val="auto"/>
        </w:rPr>
      </w:pPr>
      <w:r>
        <w:rPr>
          <w:rFonts w:ascii="Arial" w:cs="Arial" w:eastAsia="Arial" w:hAnsi="Arial"/>
          <w:sz w:val="19"/>
          <w:szCs w:val="19"/>
          <w:color w:val="auto"/>
        </w:rPr>
        <w:t>Agreement.</w:t>
      </w:r>
    </w:p>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rFonts w:ascii="Arial" w:cs="Arial" w:eastAsia="Arial" w:hAnsi="Arial"/>
          <w:sz w:val="19"/>
          <w:szCs w:val="19"/>
          <w:color w:val="auto"/>
        </w:rPr>
      </w:pPr>
    </w:p>
    <w:p>
      <w:pPr>
        <w:jc w:val="both"/>
        <w:ind w:left="880" w:firstLine="810"/>
        <w:spacing w:after="0" w:line="261" w:lineRule="auto"/>
        <w:rPr>
          <w:sz w:val="20"/>
          <w:szCs w:val="20"/>
          <w:color w:val="auto"/>
        </w:rPr>
      </w:pPr>
      <w:r>
        <w:rPr>
          <w:rFonts w:ascii="Arial" w:cs="Arial" w:eastAsia="Arial" w:hAnsi="Arial"/>
          <w:sz w:val="21"/>
          <w:szCs w:val="21"/>
          <w:color w:val="auto"/>
        </w:rPr>
        <w:t>1.77 “</w:t>
      </w:r>
      <w:r>
        <w:rPr>
          <w:rFonts w:ascii="Arial" w:cs="Arial" w:eastAsia="Arial" w:hAnsi="Arial"/>
          <w:sz w:val="21"/>
          <w:szCs w:val="21"/>
          <w:b w:val="1"/>
          <w:bCs w:val="1"/>
          <w:color w:val="auto"/>
        </w:rPr>
        <w:t>Joint Conjugation Probody Platform Improvements</w:t>
      </w:r>
      <w:r>
        <w:rPr>
          <w:rFonts w:ascii="Arial" w:cs="Arial" w:eastAsia="Arial" w:hAnsi="Arial"/>
          <w:sz w:val="21"/>
          <w:szCs w:val="21"/>
          <w:color w:val="auto"/>
        </w:rPr>
        <w:t xml:space="preserve">” means Conjugation Probody Platform Improvements the inventors of which are jointly (a) employees, agents or independent contractors of CytomX or any of its Affiliates </w:t>
      </w:r>
      <w:r>
        <w:rPr>
          <w:rFonts w:ascii="Arial" w:cs="Arial" w:eastAsia="Arial" w:hAnsi="Arial"/>
          <w:sz w:val="21"/>
          <w:szCs w:val="21"/>
          <w:i w:val="1"/>
          <w:iCs w:val="1"/>
          <w:color w:val="auto"/>
        </w:rPr>
        <w:t>and</w:t>
      </w:r>
      <w:r>
        <w:rPr>
          <w:rFonts w:ascii="Arial" w:cs="Arial" w:eastAsia="Arial" w:hAnsi="Arial"/>
          <w:sz w:val="21"/>
          <w:szCs w:val="21"/>
          <w:color w:val="auto"/>
        </w:rPr>
        <w:t xml:space="preserve"> (b) employees, agents or independent contractors of ImmunoGen or any of its Affiliates.</w:t>
      </w:r>
    </w:p>
    <w:p>
      <w:pPr>
        <w:spacing w:after="0" w:line="158" w:lineRule="exact"/>
        <w:rPr>
          <w:rFonts w:ascii="Arial" w:cs="Arial" w:eastAsia="Arial" w:hAnsi="Arial"/>
          <w:sz w:val="19"/>
          <w:szCs w:val="19"/>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JDC</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2.3.1</w:t>
      </w:r>
      <w:r>
        <w:rPr>
          <w:rFonts w:ascii="Arial" w:cs="Arial" w:eastAsia="Arial" w:hAnsi="Arial"/>
          <w:sz w:val="19"/>
          <w:szCs w:val="19"/>
          <w:color w:val="auto"/>
        </w:rPr>
        <w:t xml:space="preserve"> hereof.</w:t>
      </w:r>
    </w:p>
    <w:p>
      <w:pPr>
        <w:spacing w:after="0" w:line="206" w:lineRule="exact"/>
        <w:rPr>
          <w:rFonts w:ascii="Arial" w:cs="Arial" w:eastAsia="Arial" w:hAnsi="Arial"/>
          <w:sz w:val="19"/>
          <w:szCs w:val="19"/>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Patent Right</w:t>
      </w:r>
      <w:r>
        <w:rPr>
          <w:rFonts w:ascii="Arial" w:cs="Arial" w:eastAsia="Arial" w:hAnsi="Arial"/>
          <w:sz w:val="19"/>
          <w:szCs w:val="19"/>
          <w:color w:val="auto"/>
        </w:rPr>
        <w:t>” means any Patent Right comprised in the Joint Program Technology.</w:t>
      </w:r>
    </w:p>
    <w:p>
      <w:pPr>
        <w:spacing w:after="0" w:line="206" w:lineRule="exact"/>
        <w:rPr>
          <w:rFonts w:ascii="Arial" w:cs="Arial" w:eastAsia="Arial" w:hAnsi="Arial"/>
          <w:sz w:val="19"/>
          <w:szCs w:val="19"/>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6" w:lineRule="exact"/>
        <w:rPr>
          <w:rFonts w:ascii="Arial" w:cs="Arial" w:eastAsia="Arial" w:hAnsi="Arial"/>
          <w:sz w:val="19"/>
          <w:szCs w:val="19"/>
          <w:color w:val="auto"/>
        </w:rPr>
      </w:pPr>
    </w:p>
    <w:p>
      <w:pPr>
        <w:jc w:val="both"/>
        <w:ind w:left="880" w:firstLine="810"/>
        <w:spacing w:after="0" w:line="261" w:lineRule="auto"/>
        <w:rPr>
          <w:sz w:val="20"/>
          <w:szCs w:val="20"/>
          <w:color w:val="auto"/>
        </w:rPr>
      </w:pPr>
      <w:r>
        <w:rPr>
          <w:rFonts w:ascii="Arial" w:cs="Arial" w:eastAsia="Arial" w:hAnsi="Arial"/>
          <w:sz w:val="21"/>
          <w:szCs w:val="21"/>
          <w:color w:val="auto"/>
        </w:rPr>
        <w:t>1.81 “</w:t>
      </w:r>
      <w:r>
        <w:rPr>
          <w:rFonts w:ascii="Arial" w:cs="Arial" w:eastAsia="Arial" w:hAnsi="Arial"/>
          <w:sz w:val="21"/>
          <w:szCs w:val="21"/>
          <w:b w:val="1"/>
          <w:bCs w:val="1"/>
          <w:color w:val="auto"/>
        </w:rPr>
        <w:t>Joint Program Technology</w:t>
      </w:r>
      <w:r>
        <w:rPr>
          <w:rFonts w:ascii="Arial" w:cs="Arial" w:eastAsia="Arial" w:hAnsi="Arial"/>
          <w:sz w:val="21"/>
          <w:szCs w:val="21"/>
          <w:color w:val="auto"/>
        </w:rPr>
        <w:t xml:space="preserve">” means any Program Technology (other than Joint TAP Platform Improvements) the inventors of which are jointly (a) employees, agents or independent contractors of CytomX or any of its Affiliates </w:t>
      </w:r>
      <w:r>
        <w:rPr>
          <w:rFonts w:ascii="Arial" w:cs="Arial" w:eastAsia="Arial" w:hAnsi="Arial"/>
          <w:sz w:val="21"/>
          <w:szCs w:val="21"/>
          <w:i w:val="1"/>
          <w:iCs w:val="1"/>
          <w:color w:val="auto"/>
        </w:rPr>
        <w:t>and</w:t>
      </w:r>
      <w:r>
        <w:rPr>
          <w:rFonts w:ascii="Arial" w:cs="Arial" w:eastAsia="Arial" w:hAnsi="Arial"/>
          <w:sz w:val="21"/>
          <w:szCs w:val="21"/>
          <w:color w:val="auto"/>
        </w:rPr>
        <w:t xml:space="preserve"> (b) employees, agents or independent contractors of ImmunoGen or any of its Affiliates.</w:t>
      </w:r>
    </w:p>
    <w:p>
      <w:pPr>
        <w:spacing w:after="0" w:line="158" w:lineRule="exact"/>
        <w:rPr>
          <w:rFonts w:ascii="Arial" w:cs="Arial" w:eastAsia="Arial" w:hAnsi="Arial"/>
          <w:sz w:val="19"/>
          <w:szCs w:val="19"/>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1.82 “</w:t>
      </w:r>
      <w:r>
        <w:rPr>
          <w:rFonts w:ascii="Arial" w:cs="Arial" w:eastAsia="Arial" w:hAnsi="Arial"/>
          <w:sz w:val="22"/>
          <w:szCs w:val="22"/>
          <w:b w:val="1"/>
          <w:bCs w:val="1"/>
          <w:color w:val="auto"/>
        </w:rPr>
        <w:t>Joint TAP Platform Improvements</w:t>
      </w:r>
      <w:r>
        <w:rPr>
          <w:rFonts w:ascii="Arial" w:cs="Arial" w:eastAsia="Arial" w:hAnsi="Arial"/>
          <w:sz w:val="22"/>
          <w:szCs w:val="22"/>
          <w:color w:val="auto"/>
        </w:rPr>
        <w:t xml:space="preserve">” means TAP Platform Improvements the inventors of which are jointly (a) employees, agents or independent contractors of CytomX or any of its Affiliates </w:t>
      </w:r>
      <w:r>
        <w:rPr>
          <w:rFonts w:ascii="Arial" w:cs="Arial" w:eastAsia="Arial" w:hAnsi="Arial"/>
          <w:sz w:val="22"/>
          <w:szCs w:val="22"/>
          <w:i w:val="1"/>
          <w:iCs w:val="1"/>
          <w:color w:val="auto"/>
        </w:rPr>
        <w:t>and</w:t>
      </w:r>
      <w:r>
        <w:rPr>
          <w:rFonts w:ascii="Arial" w:cs="Arial" w:eastAsia="Arial" w:hAnsi="Arial"/>
          <w:sz w:val="22"/>
          <w:szCs w:val="22"/>
          <w:color w:val="auto"/>
        </w:rPr>
        <w:t xml:space="preserve"> (b) employees, agents or independent contractors of ImmunoGen or any of its Affiliates.</w:t>
      </w:r>
    </w:p>
    <w:p>
      <w:pPr>
        <w:spacing w:after="0" w:line="177" w:lineRule="exact"/>
        <w:rPr>
          <w:rFonts w:ascii="Arial" w:cs="Arial" w:eastAsia="Arial" w:hAnsi="Arial"/>
          <w:sz w:val="19"/>
          <w:szCs w:val="19"/>
          <w:color w:val="auto"/>
        </w:rPr>
      </w:pPr>
    </w:p>
    <w:p>
      <w:pPr>
        <w:jc w:val="both"/>
        <w:ind w:left="880" w:firstLine="810"/>
        <w:spacing w:after="0" w:line="261" w:lineRule="auto"/>
        <w:rPr>
          <w:sz w:val="20"/>
          <w:szCs w:val="20"/>
          <w:color w:val="auto"/>
        </w:rPr>
      </w:pPr>
      <w:r>
        <w:rPr>
          <w:rFonts w:ascii="Arial" w:cs="Arial" w:eastAsia="Arial" w:hAnsi="Arial"/>
          <w:sz w:val="21"/>
          <w:szCs w:val="21"/>
          <w:color w:val="auto"/>
        </w:rPr>
        <w:t>1.83 “</w:t>
      </w:r>
      <w:r>
        <w:rPr>
          <w:rFonts w:ascii="Arial" w:cs="Arial" w:eastAsia="Arial" w:hAnsi="Arial"/>
          <w:sz w:val="21"/>
          <w:szCs w:val="21"/>
          <w:b w:val="1"/>
          <w:bCs w:val="1"/>
          <w:color w:val="auto"/>
        </w:rPr>
        <w:t>Joint Unconjugated Probody Platform Improvements</w:t>
      </w:r>
      <w:r>
        <w:rPr>
          <w:rFonts w:ascii="Arial" w:cs="Arial" w:eastAsia="Arial" w:hAnsi="Arial"/>
          <w:sz w:val="21"/>
          <w:szCs w:val="21"/>
          <w:color w:val="auto"/>
        </w:rPr>
        <w:t xml:space="preserve">” means Unconjugated Probody Platform Improvements the inventors of which are jointly (a) employees, agents or independent contractors of CytomX or any of its Affiliates </w:t>
      </w:r>
      <w:r>
        <w:rPr>
          <w:rFonts w:ascii="Arial" w:cs="Arial" w:eastAsia="Arial" w:hAnsi="Arial"/>
          <w:sz w:val="21"/>
          <w:szCs w:val="21"/>
          <w:i w:val="1"/>
          <w:iCs w:val="1"/>
          <w:color w:val="auto"/>
        </w:rPr>
        <w:t>and</w:t>
      </w:r>
      <w:r>
        <w:rPr>
          <w:rFonts w:ascii="Arial" w:cs="Arial" w:eastAsia="Arial" w:hAnsi="Arial"/>
          <w:sz w:val="21"/>
          <w:szCs w:val="21"/>
          <w:color w:val="auto"/>
        </w:rPr>
        <w:t xml:space="preserve"> (b) employees, agents or independent contractors of ImmunoGen or any of its Affiliates.</w:t>
      </w:r>
    </w:p>
    <w:p>
      <w:pPr>
        <w:spacing w:after="0" w:line="158" w:lineRule="exact"/>
        <w:rPr>
          <w:rFonts w:ascii="Arial" w:cs="Arial" w:eastAsia="Arial" w:hAnsi="Arial"/>
          <w:sz w:val="19"/>
          <w:szCs w:val="19"/>
          <w:color w:val="auto"/>
        </w:rPr>
      </w:pPr>
    </w:p>
    <w:p>
      <w:pPr>
        <w:jc w:val="both"/>
        <w:ind w:left="880" w:right="20" w:firstLine="810"/>
        <w:spacing w:after="0" w:line="256" w:lineRule="auto"/>
        <w:rPr>
          <w:sz w:val="20"/>
          <w:szCs w:val="20"/>
          <w:color w:val="auto"/>
        </w:rPr>
      </w:pPr>
      <w:r>
        <w:rPr>
          <w:rFonts w:ascii="Arial" w:cs="Arial" w:eastAsia="Arial" w:hAnsi="Arial"/>
          <w:sz w:val="22"/>
          <w:szCs w:val="22"/>
          <w:color w:val="auto"/>
        </w:rPr>
        <w:t>1.84 “</w:t>
      </w:r>
      <w:r>
        <w:rPr>
          <w:rFonts w:ascii="Arial" w:cs="Arial" w:eastAsia="Arial" w:hAnsi="Arial"/>
          <w:sz w:val="22"/>
          <w:szCs w:val="22"/>
          <w:b w:val="1"/>
          <w:bCs w:val="1"/>
          <w:color w:val="auto"/>
        </w:rPr>
        <w:t>Know-How</w:t>
      </w:r>
      <w:r>
        <w:rPr>
          <w:rFonts w:ascii="Arial" w:cs="Arial" w:eastAsia="Arial" w:hAnsi="Arial"/>
          <w:sz w:val="22"/>
          <w:szCs w:val="22"/>
          <w:color w:val="auto"/>
        </w:rPr>
        <w:t>” means any proprietary invention, discovery, data, information, process, method, technique, material, technology, result or other know-how, whether or not patentable.</w:t>
      </w:r>
    </w:p>
    <w:p>
      <w:pPr>
        <w:spacing w:after="0" w:line="163" w:lineRule="exact"/>
        <w:rPr>
          <w:rFonts w:ascii="Arial" w:cs="Arial" w:eastAsia="Arial" w:hAnsi="Arial"/>
          <w:sz w:val="19"/>
          <w:szCs w:val="19"/>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Knowledge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hereof.</w:t>
      </w:r>
    </w:p>
    <w:p>
      <w:pPr>
        <w:spacing w:after="0" w:line="206" w:lineRule="exact"/>
        <w:rPr>
          <w:rFonts w:ascii="Arial" w:cs="Arial" w:eastAsia="Arial" w:hAnsi="Arial"/>
          <w:sz w:val="19"/>
          <w:szCs w:val="19"/>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Liability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hereof.</w:t>
      </w:r>
    </w:p>
    <w:p>
      <w:pPr>
        <w:spacing w:after="0" w:line="206" w:lineRule="exact"/>
        <w:rPr>
          <w:rFonts w:ascii="Arial" w:cs="Arial" w:eastAsia="Arial" w:hAnsi="Arial"/>
          <w:sz w:val="19"/>
          <w:szCs w:val="19"/>
          <w:color w:val="auto"/>
        </w:rPr>
      </w:pPr>
    </w:p>
    <w:p>
      <w:pPr>
        <w:ind w:left="27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License Agreement</w:t>
      </w:r>
      <w:r>
        <w:rPr>
          <w:rFonts w:ascii="Arial" w:cs="Arial" w:eastAsia="Arial" w:hAnsi="Arial"/>
          <w:sz w:val="21"/>
          <w:szCs w:val="21"/>
          <w:color w:val="auto"/>
        </w:rPr>
        <w:t>” has the meaning ascribed to such term in the Research Collaboration</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jc w:val="both"/>
        <w:ind w:left="880" w:firstLine="810"/>
        <w:spacing w:after="0" w:line="235" w:lineRule="auto"/>
        <w:rPr>
          <w:sz w:val="20"/>
          <w:szCs w:val="20"/>
          <w:color w:val="auto"/>
        </w:rPr>
      </w:pPr>
      <w:r>
        <w:rPr>
          <w:rFonts w:ascii="Arial" w:cs="Arial" w:eastAsia="Arial" w:hAnsi="Arial"/>
          <w:sz w:val="22"/>
          <w:szCs w:val="22"/>
          <w:color w:val="auto"/>
        </w:rPr>
        <w:t>1.88 “</w:t>
      </w:r>
      <w:r>
        <w:rPr>
          <w:rFonts w:ascii="Arial" w:cs="Arial" w:eastAsia="Arial" w:hAnsi="Arial"/>
          <w:sz w:val="22"/>
          <w:szCs w:val="22"/>
          <w:b w:val="1"/>
          <w:bCs w:val="1"/>
          <w:color w:val="auto"/>
        </w:rPr>
        <w:t>Licensed Intellectual Property</w:t>
      </w:r>
      <w:r>
        <w:rPr>
          <w:rFonts w:ascii="Arial" w:cs="Arial" w:eastAsia="Arial" w:hAnsi="Arial"/>
          <w:sz w:val="22"/>
          <w:szCs w:val="22"/>
          <w:color w:val="auto"/>
        </w:rPr>
        <w:t>” means any Patent Right, Know-How or other intellectual property right that is owned or Controlled by ImmunoGen or any Affiliate of ImmunoGen or that becomes owned or Controlled by ImmunoGen or any of its Affiliates at any time during the Term (including ImmunoGen’s one-half interest in Joint Program Technology and Joint TAP Platform Improvements) that is necessary or useful for Developing, Manufacturing, using or Commercializing Licensed Products and that claims, covers or is specifically directed to the composition of, or any method of using or method of making any Licensed Product, Linker or Cytotoxic Compound comprised in a Licensed Product, provided, however, that Licensed Intellectual Property shall expressly exclude any ImmunoGen Proprietary Antibody Rights.</w:t>
      </w:r>
    </w:p>
    <w:p>
      <w:pPr>
        <w:spacing w:after="0" w:line="185" w:lineRule="exact"/>
        <w:rPr>
          <w:rFonts w:ascii="Arial" w:cs="Arial" w:eastAsia="Arial" w:hAnsi="Arial"/>
          <w:sz w:val="19"/>
          <w:szCs w:val="19"/>
          <w:color w:val="auto"/>
        </w:rPr>
      </w:pPr>
    </w:p>
    <w:p>
      <w:pPr>
        <w:jc w:val="center"/>
        <w:spacing w:after="0"/>
        <w:rPr>
          <w:sz w:val="20"/>
          <w:szCs w:val="20"/>
          <w:color w:val="auto"/>
        </w:rPr>
      </w:pPr>
      <w:r>
        <w:rPr>
          <w:rFonts w:ascii="Arial" w:cs="Arial" w:eastAsia="Arial" w:hAnsi="Arial"/>
          <w:sz w:val="22"/>
          <w:szCs w:val="22"/>
          <w:color w:val="auto"/>
        </w:rPr>
        <w:t>10</w:t>
      </w:r>
    </w:p>
    <w:p>
      <w:pPr>
        <w:spacing w:after="0" w:line="13" w:lineRule="exact"/>
        <w:rPr>
          <w:rFonts w:ascii="Arial" w:cs="Arial" w:eastAsia="Arial" w:hAnsi="Arial"/>
          <w:sz w:val="19"/>
          <w:szCs w:val="19"/>
          <w:color w:val="auto"/>
        </w:rPr>
      </w:pPr>
    </w:p>
    <w:p>
      <w:pPr>
        <w:ind w:right="200" w:firstLine="8"/>
        <w:spacing w:after="0" w:line="259" w:lineRule="auto"/>
        <w:tabs>
          <w:tab w:leader="none" w:pos="4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Know-How</w:t>
      </w:r>
      <w:r>
        <w:rPr>
          <w:rFonts w:ascii="Arial" w:cs="Arial" w:eastAsia="Arial" w:hAnsi="Arial"/>
          <w:sz w:val="19"/>
          <w:szCs w:val="19"/>
          <w:color w:val="auto"/>
        </w:rPr>
        <w:t>” means any Know-How comprised in the Licensed Intellectual Property.</w:t>
      </w:r>
    </w:p>
    <w:p>
      <w:pPr>
        <w:spacing w:after="0" w:line="206"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Patent Rights</w:t>
      </w:r>
      <w:r>
        <w:rPr>
          <w:rFonts w:ascii="Arial" w:cs="Arial" w:eastAsia="Arial" w:hAnsi="Arial"/>
          <w:sz w:val="19"/>
          <w:szCs w:val="19"/>
          <w:color w:val="auto"/>
        </w:rPr>
        <w:t>” means any Patent Rights comprised in the Licensed Intellectual Property.</w:t>
      </w:r>
    </w:p>
    <w:p>
      <w:pPr>
        <w:spacing w:after="0" w:line="206" w:lineRule="exact"/>
        <w:rPr>
          <w:sz w:val="20"/>
          <w:szCs w:val="20"/>
          <w:color w:val="auto"/>
        </w:rPr>
      </w:pPr>
    </w:p>
    <w:p>
      <w:pPr>
        <w:jc w:val="both"/>
        <w:ind w:left="880" w:right="20" w:firstLine="810"/>
        <w:spacing w:after="0" w:line="256" w:lineRule="auto"/>
        <w:rPr>
          <w:sz w:val="20"/>
          <w:szCs w:val="20"/>
          <w:color w:val="auto"/>
        </w:rPr>
      </w:pPr>
      <w:r>
        <w:rPr>
          <w:rFonts w:ascii="Arial" w:cs="Arial" w:eastAsia="Arial" w:hAnsi="Arial"/>
          <w:sz w:val="22"/>
          <w:szCs w:val="22"/>
          <w:color w:val="auto"/>
        </w:rPr>
        <w:t>1.91 “</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that incorporates, is comprised of, or is otherwise derived from, a Target-Binding Probody conjugated to a Cytotoxic Compound using a Linker.</w:t>
      </w:r>
    </w:p>
    <w:p>
      <w:pPr>
        <w:spacing w:after="0" w:line="163"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1.92 “</w:t>
      </w:r>
      <w:r>
        <w:rPr>
          <w:rFonts w:ascii="Arial" w:cs="Arial" w:eastAsia="Arial" w:hAnsi="Arial"/>
          <w:sz w:val="22"/>
          <w:szCs w:val="22"/>
          <w:b w:val="1"/>
          <w:bCs w:val="1"/>
          <w:color w:val="auto"/>
        </w:rPr>
        <w:t>Licensed Target</w:t>
      </w:r>
      <w:r>
        <w:rPr>
          <w:rFonts w:ascii="Arial" w:cs="Arial" w:eastAsia="Arial" w:hAnsi="Arial"/>
          <w:sz w:val="22"/>
          <w:szCs w:val="22"/>
          <w:color w:val="auto"/>
        </w:rPr>
        <w:t xml:space="preserve">” means the Target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and incorporated herein by reference.</w:t>
      </w:r>
    </w:p>
    <w:p>
      <w:pPr>
        <w:spacing w:after="0" w:line="163" w:lineRule="exact"/>
        <w:rPr>
          <w:sz w:val="20"/>
          <w:szCs w:val="20"/>
          <w:color w:val="auto"/>
        </w:rPr>
      </w:pPr>
    </w:p>
    <w:p>
      <w:pPr>
        <w:jc w:val="both"/>
        <w:ind w:left="880" w:firstLine="810"/>
        <w:spacing w:after="0" w:line="255" w:lineRule="exact"/>
        <w:rPr>
          <w:sz w:val="20"/>
          <w:szCs w:val="20"/>
          <w:color w:val="auto"/>
        </w:rPr>
      </w:pPr>
      <w:r>
        <w:rPr>
          <w:rFonts w:ascii="Arial" w:cs="Arial" w:eastAsia="Arial" w:hAnsi="Arial"/>
          <w:sz w:val="19"/>
          <w:szCs w:val="19"/>
          <w:color w:val="auto"/>
        </w:rPr>
        <w:t>1.93 “</w:t>
      </w:r>
      <w:r>
        <w:rPr>
          <w:rFonts w:ascii="Arial" w:cs="Arial" w:eastAsia="Arial" w:hAnsi="Arial"/>
          <w:sz w:val="19"/>
          <w:szCs w:val="19"/>
          <w:b w:val="1"/>
          <w:bCs w:val="1"/>
          <w:color w:val="auto"/>
        </w:rPr>
        <w:t>Linker</w:t>
      </w:r>
      <w:r>
        <w:rPr>
          <w:rFonts w:ascii="Arial" w:cs="Arial" w:eastAsia="Arial" w:hAnsi="Arial"/>
          <w:sz w:val="19"/>
          <w:szCs w:val="19"/>
          <w:color w:val="auto"/>
        </w:rPr>
        <w:t>” means any compound or composition that is useful for linking a cytotoxic or cytostatic moiety, including, without limitation, a Cytotoxic Compound, and a cell</w:t>
      </w:r>
      <w:r>
        <w:rPr>
          <w:rFonts w:ascii="MS PGothic" w:cs="MS PGothic" w:eastAsia="MS PGothic" w:hAnsi="MS PGothic"/>
          <w:sz w:val="19"/>
          <w:szCs w:val="19"/>
          <w:color w:val="auto"/>
        </w:rPr>
        <w:t>‑</w:t>
      </w:r>
      <w:r>
        <w:rPr>
          <w:rFonts w:ascii="Arial" w:cs="Arial" w:eastAsia="Arial" w:hAnsi="Arial"/>
          <w:sz w:val="19"/>
          <w:szCs w:val="19"/>
          <w:color w:val="auto"/>
        </w:rPr>
        <w:t>binding moiety, including, without limitation, an Antibody or a Probody, together to form a conjugate of the cytotoxic or cytostatic moiety with the cell-binding moiety.</w:t>
      </w:r>
    </w:p>
    <w:p>
      <w:pPr>
        <w:spacing w:after="0" w:line="181" w:lineRule="exact"/>
        <w:rPr>
          <w:sz w:val="20"/>
          <w:szCs w:val="20"/>
          <w:color w:val="auto"/>
        </w:rPr>
      </w:pPr>
    </w:p>
    <w:p>
      <w:pPr>
        <w:jc w:val="both"/>
        <w:ind w:left="880" w:firstLine="810"/>
        <w:spacing w:after="0" w:line="271" w:lineRule="auto"/>
        <w:rPr>
          <w:sz w:val="20"/>
          <w:szCs w:val="20"/>
          <w:color w:val="auto"/>
        </w:rPr>
      </w:pPr>
      <w:r>
        <w:rPr>
          <w:rFonts w:ascii="Arial" w:cs="Arial" w:eastAsia="Arial" w:hAnsi="Arial"/>
          <w:sz w:val="19"/>
          <w:szCs w:val="19"/>
          <w:color w:val="auto"/>
        </w:rPr>
        <w:t>1.94 “</w:t>
      </w:r>
      <w:r>
        <w:rPr>
          <w:rFonts w:ascii="Arial" w:cs="Arial" w:eastAsia="Arial" w:hAnsi="Arial"/>
          <w:sz w:val="19"/>
          <w:szCs w:val="19"/>
          <w:b w:val="1"/>
          <w:bCs w:val="1"/>
          <w:color w:val="auto"/>
        </w:rPr>
        <w:t>Loss of Market Exclusivity</w:t>
      </w:r>
      <w:r>
        <w:rPr>
          <w:rFonts w:ascii="Arial" w:cs="Arial" w:eastAsia="Arial" w:hAnsi="Arial"/>
          <w:sz w:val="19"/>
          <w:szCs w:val="19"/>
          <w:color w:val="auto"/>
        </w:rPr>
        <w:t>” with respect to any Licensed Product in any country, shall be deemed to have occurred only if; (a) one or more Generic Equivalent(s) are being marketed by a Third Party (excluding any Sublicensee) in such country; and (b) Net Sales of such Licensed Product in that country during any Calendar Quarter following introduction of the Generic Equivalent(s) have declined by at least twenty percent (20%) in that country relative to the average quarterly Net Sales of such Licensed Product in such country over the last two (2) Calendar Quarters ending prior to the introduction of such Generic Equivalent(s) (the “</w:t>
      </w:r>
      <w:r>
        <w:rPr>
          <w:rFonts w:ascii="Arial" w:cs="Arial" w:eastAsia="Arial" w:hAnsi="Arial"/>
          <w:sz w:val="19"/>
          <w:szCs w:val="19"/>
          <w:b w:val="1"/>
          <w:bCs w:val="1"/>
          <w:color w:val="auto"/>
        </w:rPr>
        <w:t>Baseline Net Sales</w:t>
      </w:r>
      <w:r>
        <w:rPr>
          <w:rFonts w:ascii="Arial" w:cs="Arial" w:eastAsia="Arial" w:hAnsi="Arial"/>
          <w:sz w:val="19"/>
          <w:szCs w:val="19"/>
          <w:color w:val="auto"/>
        </w:rPr>
        <w:t xml:space="preserve">”) and such decline in Net Sales is not primarily attributable to (i) any action of the applicable Regulatory Authority limiting sales of the Licensed Product in such country, (ii) the inability of CytomX or its Affiliates or Sublicensees to supply sufficient quantities of the Licensed Product in such country to meet demand, or (iii) any voluntary or involuntary recall of the Licensed Product in such country; provided that such Loss of Market Exclusivity shall be deemed to exist only for so long as material sales of such Generic Equivalent(s) persist in such country. Anything contained in this Agreement to the contrary notwithstanding, a “Loss of Market Exclusivity” shall not be deemed to have occurred if the events described in clauses (a) and (b) of this definition were caused by or result from any act or omission of CytomX (or any of its Affiliates or Sublicensees) determined to have been made negligently or in bad faith in the performance of CytomX’s obligations under </w:t>
      </w:r>
      <w:r>
        <w:rPr>
          <w:rFonts w:ascii="Arial" w:cs="Arial" w:eastAsia="Arial" w:hAnsi="Arial"/>
          <w:sz w:val="19"/>
          <w:szCs w:val="19"/>
          <w:u w:val="single" w:color="auto"/>
          <w:color w:val="auto"/>
        </w:rPr>
        <w:t>Section 5.5.3</w:t>
      </w:r>
      <w:r>
        <w:rPr>
          <w:rFonts w:ascii="Arial" w:cs="Arial" w:eastAsia="Arial" w:hAnsi="Arial"/>
          <w:sz w:val="19"/>
          <w:szCs w:val="19"/>
          <w:color w:val="auto"/>
        </w:rPr>
        <w:t xml:space="preserve"> hereof that results in actual prejudice to ImmunoGen’s ability to preserve its rights in the Licensed Patent Rights and eliminate the infringement threatened by Applicant (excluding any acts or omissions undertaken pursuant to the specific instruction of ImmunoGen).</w:t>
      </w:r>
    </w:p>
    <w:p>
      <w:pPr>
        <w:spacing w:after="0" w:line="200" w:lineRule="exact"/>
        <w:rPr>
          <w:sz w:val="20"/>
          <w:szCs w:val="20"/>
          <w:color w:val="auto"/>
        </w:rPr>
      </w:pPr>
    </w:p>
    <w:p>
      <w:pPr>
        <w:spacing w:after="0" w:line="201"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Major EU Market Country</w:t>
      </w:r>
      <w:r>
        <w:rPr>
          <w:rFonts w:ascii="Arial" w:cs="Arial" w:eastAsia="Arial" w:hAnsi="Arial"/>
          <w:sz w:val="19"/>
          <w:szCs w:val="19"/>
          <w:color w:val="auto"/>
        </w:rPr>
        <w:t>” means any of France, Germany, Italy, Spain or the United Kingdom,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3" w:lineRule="exact"/>
        <w:rPr>
          <w:sz w:val="20"/>
          <w:szCs w:val="20"/>
          <w:color w:val="auto"/>
        </w:rPr>
      </w:pPr>
    </w:p>
    <w:p>
      <w:pPr>
        <w:ind w:right="200" w:firstLine="8"/>
        <w:spacing w:after="0" w:line="259" w:lineRule="auto"/>
        <w:tabs>
          <w:tab w:leader="none" w:pos="4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1.96 “</w:t>
      </w:r>
      <w:r>
        <w:rPr>
          <w:rFonts w:ascii="Arial" w:cs="Arial" w:eastAsia="Arial" w:hAnsi="Arial"/>
          <w:sz w:val="22"/>
          <w:szCs w:val="22"/>
          <w:b w:val="1"/>
          <w:bCs w:val="1"/>
          <w:color w:val="auto"/>
        </w:rPr>
        <w:t>Manufacturing</w:t>
      </w:r>
      <w:r>
        <w:rPr>
          <w:rFonts w:ascii="Arial" w:cs="Arial" w:eastAsia="Arial" w:hAnsi="Arial"/>
          <w:sz w:val="22"/>
          <w:szCs w:val="22"/>
          <w:color w:val="auto"/>
        </w:rPr>
        <w:t>” or “</w:t>
      </w:r>
      <w:r>
        <w:rPr>
          <w:rFonts w:ascii="Arial" w:cs="Arial" w:eastAsia="Arial" w:hAnsi="Arial"/>
          <w:sz w:val="22"/>
          <w:szCs w:val="22"/>
          <w:b w:val="1"/>
          <w:bCs w:val="1"/>
          <w:color w:val="auto"/>
        </w:rPr>
        <w:t>Manufacture</w:t>
      </w:r>
      <w:r>
        <w:rPr>
          <w:rFonts w:ascii="Arial" w:cs="Arial" w:eastAsia="Arial" w:hAnsi="Arial"/>
          <w:sz w:val="22"/>
          <w:szCs w:val="22"/>
          <w:color w:val="auto"/>
        </w:rPr>
        <w:t>” means activities directed to making, producing, manufacturing, processing, filling, finishing, packaging, labeling, quality assurance testing and release, shipping or storage of a product.</w:t>
      </w:r>
    </w:p>
    <w:p>
      <w:pPr>
        <w:spacing w:after="0" w:line="177"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Marginal Royalty Rates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1.98 “</w:t>
      </w:r>
      <w:r>
        <w:rPr>
          <w:rFonts w:ascii="Arial" w:cs="Arial" w:eastAsia="Arial" w:hAnsi="Arial"/>
          <w:sz w:val="22"/>
          <w:szCs w:val="22"/>
          <w:b w:val="1"/>
          <w:bCs w:val="1"/>
          <w:color w:val="auto"/>
        </w:rPr>
        <w:t>Mask</w:t>
      </w:r>
      <w:r>
        <w:rPr>
          <w:rFonts w:ascii="Arial" w:cs="Arial" w:eastAsia="Arial" w:hAnsi="Arial"/>
          <w:sz w:val="22"/>
          <w:szCs w:val="22"/>
          <w:color w:val="auto"/>
        </w:rPr>
        <w:t>” means a peptide linked to an Antibody that is capable of inhibiting the specific binding of the Antibody to its Target.</w:t>
      </w:r>
    </w:p>
    <w:p>
      <w:pPr>
        <w:spacing w:after="0" w:line="163" w:lineRule="exact"/>
        <w:rPr>
          <w:sz w:val="20"/>
          <w:szCs w:val="20"/>
          <w:color w:val="auto"/>
        </w:rPr>
      </w:pPr>
    </w:p>
    <w:p>
      <w:pPr>
        <w:ind w:left="1700"/>
        <w:spacing w:after="0"/>
        <w:tabs>
          <w:tab w:leader="none" w:pos="2700" w:val="left"/>
        </w:tabs>
        <w:rPr>
          <w:sz w:val="20"/>
          <w:szCs w:val="20"/>
          <w:color w:val="auto"/>
        </w:rPr>
      </w:pPr>
      <w:r>
        <w:rPr>
          <w:rFonts w:ascii="Arial" w:cs="Arial" w:eastAsia="Arial" w:hAnsi="Arial"/>
          <w:sz w:val="22"/>
          <w:szCs w:val="22"/>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Material Breach</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1.100 “</w:t>
      </w:r>
      <w:r>
        <w:rPr>
          <w:rFonts w:ascii="Arial" w:cs="Arial" w:eastAsia="Arial" w:hAnsi="Arial"/>
          <w:sz w:val="22"/>
          <w:szCs w:val="22"/>
          <w:b w:val="1"/>
          <w:bCs w:val="1"/>
          <w:color w:val="auto"/>
        </w:rPr>
        <w:t>MAY Compound</w:t>
      </w:r>
      <w:r>
        <w:rPr>
          <w:rFonts w:ascii="Arial" w:cs="Arial" w:eastAsia="Arial" w:hAnsi="Arial"/>
          <w:sz w:val="22"/>
          <w:szCs w:val="22"/>
          <w:color w:val="auto"/>
        </w:rPr>
        <w:t>” means [***], and shall include, without limitation, all variants, fragments or derivatives of any of the foregoing, in each case owned or Controlled by ImmunoGen.</w:t>
      </w:r>
    </w:p>
    <w:p>
      <w:pPr>
        <w:spacing w:after="0" w:line="163"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Milestone Payment</w:t>
      </w:r>
      <w:r>
        <w:rPr>
          <w:rFonts w:ascii="Arial" w:cs="Arial" w:eastAsia="Arial" w:hAnsi="Arial"/>
          <w:sz w:val="19"/>
          <w:szCs w:val="19"/>
          <w:color w:val="auto"/>
        </w:rPr>
        <w:t>” means any Development Milestone Payment or Sales Milestone Payment.</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Monies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5.4.2(e)</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Negotiation Period</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5.5.3(e)</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80" w:lineRule="auto"/>
        <w:rPr>
          <w:sz w:val="20"/>
          <w:szCs w:val="20"/>
          <w:color w:val="auto"/>
        </w:rPr>
      </w:pPr>
      <w:r>
        <w:rPr>
          <w:rFonts w:ascii="Arial" w:cs="Arial" w:eastAsia="Arial" w:hAnsi="Arial"/>
          <w:sz w:val="19"/>
          <w:szCs w:val="19"/>
          <w:color w:val="auto"/>
        </w:rPr>
        <w:t>1.104 “</w:t>
      </w:r>
      <w:r>
        <w:rPr>
          <w:rFonts w:ascii="Arial" w:cs="Arial" w:eastAsia="Arial" w:hAnsi="Arial"/>
          <w:sz w:val="19"/>
          <w:szCs w:val="19"/>
          <w:b w:val="1"/>
          <w:bCs w:val="1"/>
          <w:color w:val="auto"/>
        </w:rPr>
        <w:t>Net Sales</w:t>
      </w:r>
      <w:r>
        <w:rPr>
          <w:rFonts w:ascii="Arial" w:cs="Arial" w:eastAsia="Arial" w:hAnsi="Arial"/>
          <w:sz w:val="19"/>
          <w:szCs w:val="19"/>
          <w:color w:val="auto"/>
        </w:rPr>
        <w:t>” means, with respect to a Licensed Product, gross receipts from sales by CytomX and its Affiliates and Sublicensees of such Licensed Product to Third Parties in the Territory, less in each case (a) bad debts,</w:t>
      </w:r>
    </w:p>
    <w:p>
      <w:pPr>
        <w:jc w:val="both"/>
        <w:ind w:left="880" w:firstLine="5"/>
        <w:spacing w:after="0" w:line="270" w:lineRule="auto"/>
        <w:tabs>
          <w:tab w:leader="none" w:pos="1201" w:val="left"/>
        </w:tabs>
        <w:numPr>
          <w:ilvl w:val="0"/>
          <w:numId w:val="65"/>
        </w:numPr>
        <w:rPr>
          <w:rFonts w:ascii="Arial" w:cs="Arial" w:eastAsia="Arial" w:hAnsi="Arial"/>
          <w:sz w:val="19"/>
          <w:szCs w:val="19"/>
          <w:color w:val="auto"/>
        </w:rPr>
      </w:pPr>
      <w:r>
        <w:rPr>
          <w:rFonts w:ascii="Arial" w:cs="Arial" w:eastAsia="Arial" w:hAnsi="Arial"/>
          <w:sz w:val="19"/>
          <w:szCs w:val="19"/>
          <w:color w:val="auto"/>
        </w:rPr>
        <w:t>sales returns and allowances actually paid, granted or accrued, including trade, quantity and cash discounts and any other adjustments, including those granted on account of price adjustments, billing errors, rejected goods, damaged or defective goods, recalls, returns, rebates, chargeback rebates, reimbursements or similar payments granted or given to wholesalers or other distributors, buying groups, health care insurance carriers, chain pharmacies, mass merchandisers, staff model HMO’s, pharmacy benefit managers or other institutions in respect of the purchase price, (c) adjustments actually paid, granted or accrued arising from consumer discount programs or other similar programs, (d) customs or excise duties, sales tax, consumption tax, value added tax, and other taxes (except income taxes) or duties relating to sales, (e) any payment made by CytomX, its Affiliates or Sublicensees in respect of sales to the United States government, any state government or any foreign government, or to any other Governmental Authority, or with respect to any government-subsidized program or managed care organization, and (f) freight and freight insurance (to the extent that CytomX, its Affiliates or Sublicensees bears the cost of freight and freight insurance for the Licensed Product), in each case in accordance with GAAP, as consistently applied by CytomX with respect to its overall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3" w:lineRule="exact"/>
        <w:rPr>
          <w:sz w:val="20"/>
          <w:szCs w:val="20"/>
          <w:color w:val="auto"/>
        </w:rPr>
      </w:pPr>
    </w:p>
    <w:p>
      <w:pPr>
        <w:ind w:right="200" w:firstLine="8"/>
        <w:spacing w:after="0" w:line="259" w:lineRule="auto"/>
        <w:tabs>
          <w:tab w:leader="none" w:pos="4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880" w:firstLine="810"/>
        <w:spacing w:after="0" w:line="287" w:lineRule="auto"/>
        <w:rPr>
          <w:sz w:val="20"/>
          <w:szCs w:val="20"/>
          <w:color w:val="auto"/>
        </w:rPr>
      </w:pPr>
      <w:r>
        <w:rPr>
          <w:rFonts w:ascii="Arial" w:cs="Arial" w:eastAsia="Arial" w:hAnsi="Arial"/>
          <w:sz w:val="19"/>
          <w:szCs w:val="19"/>
          <w:color w:val="auto"/>
        </w:rPr>
        <w:t>Net Sales shall not include sales or transfers among CytomX and its Affiliates and Sublicensees where the Licensed Product is intended for subsequent sale to the end user. All the foregoing elements of Net Sales calculations shall be determined from the books and records of CytomX and its Sublicensees, maintained in accordance with the CytomX Accounting Standards or, in the case of Sublicensees, such similar accounting principles, consistently applied.</w:t>
      </w:r>
    </w:p>
    <w:p>
      <w:pPr>
        <w:spacing w:after="0" w:line="143" w:lineRule="exact"/>
        <w:rPr>
          <w:sz w:val="20"/>
          <w:szCs w:val="20"/>
          <w:color w:val="auto"/>
        </w:rPr>
      </w:pPr>
    </w:p>
    <w:p>
      <w:pPr>
        <w:jc w:val="both"/>
        <w:ind w:left="880" w:firstLine="810"/>
        <w:spacing w:after="0" w:line="274" w:lineRule="auto"/>
        <w:rPr>
          <w:sz w:val="20"/>
          <w:szCs w:val="20"/>
          <w:color w:val="auto"/>
        </w:rPr>
      </w:pPr>
      <w:r>
        <w:rPr>
          <w:rFonts w:ascii="Arial" w:cs="Arial" w:eastAsia="Arial" w:hAnsi="Arial"/>
          <w:sz w:val="19"/>
          <w:szCs w:val="19"/>
          <w:color w:val="auto"/>
        </w:rPr>
        <w:t>In the event a Licensed Product is sold as a component of a combination or bundled product that consists of a Licensed Product together with another therapeutically active product, or screening or diagnostic product, for the same indication (a “</w:t>
      </w:r>
      <w:r>
        <w:rPr>
          <w:rFonts w:ascii="Arial" w:cs="Arial" w:eastAsia="Arial" w:hAnsi="Arial"/>
          <w:sz w:val="19"/>
          <w:szCs w:val="19"/>
          <w:b w:val="1"/>
          <w:bCs w:val="1"/>
          <w:color w:val="auto"/>
        </w:rPr>
        <w:t>Combination</w:t>
      </w:r>
      <w:r>
        <w:rPr>
          <w:rFonts w:ascii="Arial" w:cs="Arial" w:eastAsia="Arial" w:hAnsi="Arial"/>
          <w:sz w:val="19"/>
          <w:szCs w:val="19"/>
          <w:color w:val="auto"/>
        </w:rPr>
        <w:t>”), the Net Sales from the Combination, for the purposes of determining royalty payments hereunder, shall be determined by multiplying the Net Sales of the Combination (as defined in the standard Net Sales definition above) by the fraction A/(A+B), where A is the weighted average per unit sale price of the Licensed Product when sold separately in finished form in the country in which the Combination is sold in similar volumes and of the same class, purity, potency and dosage form, and B is the weighted average per unit sale price of the other product(s) included in the Combination when sold separately in finished form in the country in which the Combination is sold in similar volumes and of the same class, purity, potency and dosage form.</w:t>
      </w:r>
    </w:p>
    <w:p>
      <w:pPr>
        <w:spacing w:after="0" w:line="159" w:lineRule="exact"/>
        <w:rPr>
          <w:sz w:val="20"/>
          <w:szCs w:val="20"/>
          <w:color w:val="auto"/>
        </w:rPr>
      </w:pPr>
    </w:p>
    <w:p>
      <w:pPr>
        <w:jc w:val="both"/>
        <w:ind w:left="880" w:firstLine="810"/>
        <w:spacing w:after="0" w:line="234" w:lineRule="auto"/>
        <w:rPr>
          <w:sz w:val="20"/>
          <w:szCs w:val="20"/>
          <w:color w:val="auto"/>
        </w:rPr>
      </w:pPr>
      <w:r>
        <w:rPr>
          <w:rFonts w:ascii="Arial" w:cs="Arial" w:eastAsia="Arial" w:hAnsi="Arial"/>
          <w:sz w:val="22"/>
          <w:szCs w:val="22"/>
          <w:color w:val="auto"/>
        </w:rPr>
        <w:t>In the event that the weighted average per unit sale price of the Licensed Product can be determined but the weighted average per unit sale price of the other product(s) included in the Combination cannot be determined, Net Sales for purposes of determining royalty payments shall be calculated by multiplying the Net Sales of the Combination (as defined in the standard Net Sales definition above) by the fraction A/C, where A is the weighted average sale price of the Licensed Product when sold separately in finished form in the country in which the Combination is sold in similar volumes and of the same class, purity, potency and dosage form, and C is the weighted average per unit sale price of the Combination.</w:t>
      </w:r>
    </w:p>
    <w:p>
      <w:pPr>
        <w:spacing w:after="0" w:line="191" w:lineRule="exact"/>
        <w:rPr>
          <w:sz w:val="20"/>
          <w:szCs w:val="20"/>
          <w:color w:val="auto"/>
        </w:rPr>
      </w:pPr>
    </w:p>
    <w:p>
      <w:pPr>
        <w:jc w:val="both"/>
        <w:ind w:left="880" w:firstLine="810"/>
        <w:spacing w:after="0" w:line="275" w:lineRule="auto"/>
        <w:rPr>
          <w:sz w:val="20"/>
          <w:szCs w:val="20"/>
          <w:color w:val="auto"/>
        </w:rPr>
      </w:pPr>
      <w:r>
        <w:rPr>
          <w:rFonts w:ascii="Arial" w:cs="Arial" w:eastAsia="Arial" w:hAnsi="Arial"/>
          <w:sz w:val="19"/>
          <w:szCs w:val="19"/>
          <w:color w:val="auto"/>
        </w:rPr>
        <w:t>In the event that the weighted average per unit sale price of the other product(s) included in the Combination can be determined but the weighted average per unit sale price of the Licensed Product in similar volumes and of the same class purity, potency and dosage form as in the Combination cannot be determined, Net Sales for purposes of determining royalty payments shall be calculated by multiplying Net Sales of the Combination (as defined in the standard Net Sales definition above) by a fraction determined by the following formula: one(l) minus (B/C) where B is the weighted average per unit sale price of the other product(s) included in the Combination when sold separately in finished form in the country in which the Combination is sold in similar volumes and of the same class, purity, potency and dosage form and C is the weighted average per unit sale price of the Combination.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13" w:lineRule="exact"/>
        <w:rPr>
          <w:sz w:val="20"/>
          <w:szCs w:val="20"/>
          <w:color w:val="auto"/>
        </w:rPr>
      </w:pPr>
    </w:p>
    <w:p>
      <w:pPr>
        <w:ind w:right="200" w:firstLine="8"/>
        <w:spacing w:after="0" w:line="259" w:lineRule="auto"/>
        <w:tabs>
          <w:tab w:leader="none" w:pos="435"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880" w:firstLine="810"/>
        <w:spacing w:after="0" w:line="238" w:lineRule="auto"/>
        <w:rPr>
          <w:sz w:val="20"/>
          <w:szCs w:val="20"/>
          <w:color w:val="auto"/>
        </w:rPr>
      </w:pPr>
      <w:r>
        <w:rPr>
          <w:rFonts w:ascii="Arial" w:cs="Arial" w:eastAsia="Arial" w:hAnsi="Arial"/>
          <w:sz w:val="22"/>
          <w:szCs w:val="22"/>
          <w:color w:val="auto"/>
        </w:rPr>
        <w:t>In the event that such average per unit sale price cannot be determined for the Licensed Product, on the one hand, and all other product(s) included in the Combination, on the other, Net Sales for the purposes of determining royalty payments shall be mutually agreed upon by the Parties based on the relative value contributed by each component, such agreement to be negotiated in good faith.</w:t>
      </w:r>
    </w:p>
    <w:p>
      <w:pPr>
        <w:spacing w:after="0" w:line="185" w:lineRule="exact"/>
        <w:rPr>
          <w:sz w:val="20"/>
          <w:szCs w:val="20"/>
          <w:color w:val="auto"/>
        </w:rPr>
      </w:pPr>
    </w:p>
    <w:p>
      <w:pPr>
        <w:jc w:val="both"/>
        <w:ind w:left="880" w:firstLine="810"/>
        <w:spacing w:after="0" w:line="244" w:lineRule="auto"/>
        <w:rPr>
          <w:sz w:val="20"/>
          <w:szCs w:val="20"/>
          <w:color w:val="auto"/>
        </w:rPr>
      </w:pPr>
      <w:r>
        <w:rPr>
          <w:rFonts w:ascii="Arial" w:cs="Arial" w:eastAsia="Arial" w:hAnsi="Arial"/>
          <w:sz w:val="21"/>
          <w:szCs w:val="21"/>
          <w:color w:val="auto"/>
        </w:rPr>
        <w:t>The weighted average per unit sale price for both the Licensed Product, on the one hand, and all other product(s) included in the Combination, on the other, shall be calculated once each Calendar Year and such price shall be used during all applicable royalty reporting periods for the entire following Calendar Year. When determining the weighted average per unit sale price of a Licensed Product, other product(s), or Combination, the weighted average per unit sale price shall be calculated by dividing sales dollars (translated into U.S. Dollars using the CytomX Standard Exchange Rate Methodology) by the units sold during the twelve (12) months (or the number of months in which sales occurred in a partial Calendar Year) of the preceding Calendar Year for the respective Licensed Product, other product(s), or Combination. In the initial Calendar Year, a forecasted weighted average per unit sale price will be used for the Licensed Product, other product(s), or Combination. Any over- or under-payment due to a difference between the forecasted and actual weighted average per unit sale price will be paid or credited in the first royalty payment of the following Calendar Year.</w:t>
      </w:r>
    </w:p>
    <w:p>
      <w:pPr>
        <w:spacing w:after="0" w:line="184"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Non-Disclosing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6.3.2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1.106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Notice of Dispute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10.9.1</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Party</w:t>
      </w:r>
      <w:r>
        <w:rPr>
          <w:rFonts w:ascii="Arial" w:cs="Arial" w:eastAsia="Arial" w:hAnsi="Arial"/>
          <w:sz w:val="19"/>
          <w:szCs w:val="19"/>
          <w:color w:val="auto"/>
        </w:rPr>
        <w:t>” and “</w:t>
      </w:r>
      <w:r>
        <w:rPr>
          <w:rFonts w:ascii="Arial" w:cs="Arial" w:eastAsia="Arial" w:hAnsi="Arial"/>
          <w:sz w:val="19"/>
          <w:szCs w:val="19"/>
          <w:b w:val="1"/>
          <w:bCs w:val="1"/>
          <w:color w:val="auto"/>
        </w:rPr>
        <w:t>Parties</w:t>
      </w:r>
      <w:r>
        <w:rPr>
          <w:rFonts w:ascii="Arial" w:cs="Arial" w:eastAsia="Arial" w:hAnsi="Arial"/>
          <w:sz w:val="19"/>
          <w:szCs w:val="19"/>
          <w:color w:val="auto"/>
        </w:rPr>
        <w:t>” is defined in the introduction to this Agreement.</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Patent Committee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5.2.4</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80" w:lineRule="auto"/>
        <w:rPr>
          <w:sz w:val="20"/>
          <w:szCs w:val="20"/>
          <w:color w:val="auto"/>
        </w:rPr>
      </w:pPr>
      <w:r>
        <w:rPr>
          <w:rFonts w:ascii="Arial" w:cs="Arial" w:eastAsia="Arial" w:hAnsi="Arial"/>
          <w:sz w:val="19"/>
          <w:szCs w:val="19"/>
          <w:color w:val="auto"/>
        </w:rPr>
        <w:t>1.109 “</w:t>
      </w:r>
      <w:r>
        <w:rPr>
          <w:rFonts w:ascii="Arial" w:cs="Arial" w:eastAsia="Arial" w:hAnsi="Arial"/>
          <w:sz w:val="19"/>
          <w:szCs w:val="19"/>
          <w:b w:val="1"/>
          <w:bCs w:val="1"/>
          <w:color w:val="auto"/>
        </w:rPr>
        <w:t>Patent Rights</w:t>
      </w:r>
      <w:r>
        <w:rPr>
          <w:rFonts w:ascii="Arial" w:cs="Arial" w:eastAsia="Arial" w:hAnsi="Arial"/>
          <w:sz w:val="19"/>
          <w:szCs w:val="19"/>
          <w:color w:val="auto"/>
        </w:rPr>
        <w:t>” means any and all (a) patents, (b) pending patent applications, including all provisional applications, substitutions, continuations, continuations-in-part, divisions and renewals, and all patents granted thereon, (c) all patents-of-addition, reissues, reexaminations and extensions or restorations by existing or future extension or restoration mechanisms, including patent term extensions, supplementary protection certificates or the equivalent thereof, (d) inventor’s certificates, (e) any other form of government-issued right substantially similar to any of the foregoing and (f) all United States and foreign counterparts of any of the foregoing.</w:t>
      </w:r>
    </w:p>
    <w:p>
      <w:pPr>
        <w:spacing w:after="0" w:line="145" w:lineRule="exact"/>
        <w:rPr>
          <w:sz w:val="20"/>
          <w:szCs w:val="20"/>
          <w:color w:val="auto"/>
        </w:rPr>
      </w:pPr>
    </w:p>
    <w:p>
      <w:pPr>
        <w:jc w:val="both"/>
        <w:ind w:left="880" w:right="20" w:firstLine="810"/>
        <w:spacing w:after="0" w:line="256" w:lineRule="auto"/>
        <w:rPr>
          <w:sz w:val="20"/>
          <w:szCs w:val="20"/>
          <w:color w:val="auto"/>
        </w:rPr>
      </w:pPr>
      <w:r>
        <w:rPr>
          <w:rFonts w:ascii="Arial" w:cs="Arial" w:eastAsia="Arial" w:hAnsi="Arial"/>
          <w:sz w:val="22"/>
          <w:szCs w:val="22"/>
          <w:color w:val="auto"/>
        </w:rPr>
        <w:t>1.110 “</w:t>
      </w:r>
      <w:r>
        <w:rPr>
          <w:rFonts w:ascii="Arial" w:cs="Arial" w:eastAsia="Arial" w:hAnsi="Arial"/>
          <w:sz w:val="22"/>
          <w:szCs w:val="22"/>
          <w:b w:val="1"/>
          <w:bCs w:val="1"/>
          <w:color w:val="auto"/>
        </w:rPr>
        <w:t>Payload</w:t>
      </w:r>
      <w:r>
        <w:rPr>
          <w:rFonts w:ascii="Arial" w:cs="Arial" w:eastAsia="Arial" w:hAnsi="Arial"/>
          <w:sz w:val="22"/>
          <w:szCs w:val="22"/>
          <w:color w:val="auto"/>
        </w:rPr>
        <w:t>” means a therapeutic cytotoxic or cytostatic compound, including, without limitation, a Cytotoxic Compound.</w:t>
      </w:r>
    </w:p>
    <w:p>
      <w:pPr>
        <w:spacing w:after="0" w:line="163"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1.111 “</w:t>
      </w:r>
      <w:r>
        <w:rPr>
          <w:rFonts w:ascii="Arial" w:cs="Arial" w:eastAsia="Arial" w:hAnsi="Arial"/>
          <w:sz w:val="22"/>
          <w:szCs w:val="22"/>
          <w:b w:val="1"/>
          <w:bCs w:val="1"/>
          <w:color w:val="auto"/>
        </w:rPr>
        <w:t>PDC</w:t>
      </w:r>
      <w:r>
        <w:rPr>
          <w:rFonts w:ascii="Arial" w:cs="Arial" w:eastAsia="Arial" w:hAnsi="Arial"/>
          <w:sz w:val="22"/>
          <w:szCs w:val="22"/>
          <w:color w:val="auto"/>
        </w:rPr>
        <w:t>” means a compound that incorporates, is comprised of or is otherwise derived from, a Probody conjugated to a Payload using a Linker.</w:t>
      </w:r>
    </w:p>
    <w:p>
      <w:pPr>
        <w:spacing w:after="0" w:line="163" w:lineRule="exact"/>
        <w:rPr>
          <w:sz w:val="20"/>
          <w:szCs w:val="20"/>
          <w:color w:val="auto"/>
        </w:rPr>
      </w:pPr>
    </w:p>
    <w:p>
      <w:pPr>
        <w:ind w:left="1700"/>
        <w:spacing w:after="0"/>
        <w:tabs>
          <w:tab w:leader="none" w:pos="280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Third Party Service Providers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hereof.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13" w:lineRule="exact"/>
        <w:rPr>
          <w:sz w:val="20"/>
          <w:szCs w:val="20"/>
          <w:color w:val="auto"/>
        </w:rPr>
      </w:pPr>
    </w:p>
    <w:p>
      <w:pPr>
        <w:ind w:right="200" w:firstLine="8"/>
        <w:spacing w:after="0" w:line="259" w:lineRule="auto"/>
        <w:tabs>
          <w:tab w:leader="none" w:pos="4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39" w:lineRule="auto"/>
        <w:rPr>
          <w:sz w:val="20"/>
          <w:szCs w:val="20"/>
          <w:color w:val="auto"/>
        </w:rPr>
      </w:pPr>
      <w:r>
        <w:rPr>
          <w:rFonts w:ascii="Arial" w:cs="Arial" w:eastAsia="Arial" w:hAnsi="Arial"/>
          <w:sz w:val="22"/>
          <w:szCs w:val="22"/>
          <w:color w:val="auto"/>
        </w:rPr>
        <w:t>1.113 “</w:t>
      </w:r>
      <w:r>
        <w:rPr>
          <w:rFonts w:ascii="Arial" w:cs="Arial" w:eastAsia="Arial" w:hAnsi="Arial"/>
          <w:sz w:val="22"/>
          <w:szCs w:val="22"/>
          <w:b w:val="1"/>
          <w:bCs w:val="1"/>
          <w:color w:val="auto"/>
        </w:rPr>
        <w:t>Person</w:t>
      </w:r>
      <w:r>
        <w:rPr>
          <w:rFonts w:ascii="Arial" w:cs="Arial" w:eastAsia="Arial" w:hAnsi="Arial"/>
          <w:sz w:val="22"/>
          <w:szCs w:val="22"/>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181" w:lineRule="exact"/>
        <w:rPr>
          <w:sz w:val="20"/>
          <w:szCs w:val="20"/>
          <w:color w:val="auto"/>
        </w:rPr>
      </w:pPr>
    </w:p>
    <w:p>
      <w:pPr>
        <w:jc w:val="both"/>
        <w:ind w:left="880" w:firstLine="810"/>
        <w:spacing w:after="0" w:line="239" w:lineRule="auto"/>
        <w:rPr>
          <w:sz w:val="20"/>
          <w:szCs w:val="20"/>
          <w:color w:val="auto"/>
        </w:rPr>
      </w:pPr>
      <w:r>
        <w:rPr>
          <w:rFonts w:ascii="Arial" w:cs="Arial" w:eastAsia="Arial" w:hAnsi="Arial"/>
          <w:sz w:val="22"/>
          <w:szCs w:val="22"/>
          <w:color w:val="auto"/>
        </w:rPr>
        <w:t>1.114 “</w:t>
      </w:r>
      <w:r>
        <w:rPr>
          <w:rFonts w:ascii="Arial" w:cs="Arial" w:eastAsia="Arial" w:hAnsi="Arial"/>
          <w:sz w:val="22"/>
          <w:szCs w:val="22"/>
          <w:b w:val="1"/>
          <w:bCs w:val="1"/>
          <w:color w:val="auto"/>
        </w:rPr>
        <w:t>Phase 1 Clinical Study</w:t>
      </w:r>
      <w:r>
        <w:rPr>
          <w:rFonts w:ascii="Arial" w:cs="Arial" w:eastAsia="Arial" w:hAnsi="Arial"/>
          <w:sz w:val="22"/>
          <w:szCs w:val="22"/>
          <w:color w:val="auto"/>
        </w:rPr>
        <w:t>” means an initial study of a Licensed Product in human subjects or patients with the endpoint of determining initial tolerance, safety, metabolism or pharmacokinetic information and clinical pharmacology of such product as and to the extent defined for the United States in 21 C.F.R. § 312.21(a), or its successor regulation, or the equivalent regulation in any other country.</w:t>
      </w:r>
    </w:p>
    <w:p>
      <w:pPr>
        <w:spacing w:after="0" w:line="181" w:lineRule="exact"/>
        <w:rPr>
          <w:sz w:val="20"/>
          <w:szCs w:val="20"/>
          <w:color w:val="auto"/>
        </w:rPr>
      </w:pPr>
    </w:p>
    <w:p>
      <w:pPr>
        <w:jc w:val="both"/>
        <w:ind w:left="880" w:firstLine="810"/>
        <w:spacing w:after="0" w:line="247" w:lineRule="auto"/>
        <w:rPr>
          <w:sz w:val="20"/>
          <w:szCs w:val="20"/>
          <w:color w:val="auto"/>
        </w:rPr>
      </w:pPr>
      <w:r>
        <w:rPr>
          <w:rFonts w:ascii="Arial" w:cs="Arial" w:eastAsia="Arial" w:hAnsi="Arial"/>
          <w:sz w:val="21"/>
          <w:szCs w:val="21"/>
          <w:color w:val="auto"/>
        </w:rPr>
        <w:t>1.115 “</w:t>
      </w:r>
      <w:r>
        <w:rPr>
          <w:rFonts w:ascii="Arial" w:cs="Arial" w:eastAsia="Arial" w:hAnsi="Arial"/>
          <w:sz w:val="21"/>
          <w:szCs w:val="21"/>
          <w:b w:val="1"/>
          <w:bCs w:val="1"/>
          <w:color w:val="auto"/>
        </w:rPr>
        <w:t>Phase 2 Clinical Study</w:t>
      </w:r>
      <w:r>
        <w:rPr>
          <w:rFonts w:ascii="Arial" w:cs="Arial" w:eastAsia="Arial" w:hAnsi="Arial"/>
          <w:sz w:val="21"/>
          <w:szCs w:val="21"/>
          <w:color w:val="auto"/>
        </w:rPr>
        <w:t xml:space="preserve">” means a study of a Licensed Product in human patients that is intended to obtain information on the Licensed Product’s activity for an indication at a prescribed (or otherwise limited) dose and administration schedule, as well as additional information on the Licensed Product’s safety and toxicity as and to the extent defined for the United States in 21 C.F.R. § 312.21(b), or its successor regulation, or the equivalent regulation in any other country. Without limiting the generality of the foregoing, a clinical study shall be deemed to be a “Phase 2 Clinical Study” hereunder if such study has been designated by the sponsor as a Phase 2 [II] clinical trial on </w:t>
      </w:r>
      <w:r>
        <w:rPr>
          <w:rFonts w:ascii="Arial" w:cs="Arial" w:eastAsia="Arial" w:hAnsi="Arial"/>
          <w:sz w:val="21"/>
          <w:szCs w:val="21"/>
          <w:u w:val="single" w:color="auto"/>
          <w:color w:val="auto"/>
        </w:rPr>
        <w:t>www.clinicaltrials.gov</w:t>
      </w:r>
      <w:r>
        <w:rPr>
          <w:rFonts w:ascii="Arial" w:cs="Arial" w:eastAsia="Arial" w:hAnsi="Arial"/>
          <w:sz w:val="21"/>
          <w:szCs w:val="21"/>
          <w:color w:val="auto"/>
        </w:rPr>
        <w:t xml:space="preserve"> (or any successor website maintained by the U.S. National Institutes of Health (or any successor agency of the U.S. Government)).</w:t>
      </w:r>
    </w:p>
    <w:p>
      <w:pPr>
        <w:spacing w:after="0" w:line="173" w:lineRule="exact"/>
        <w:rPr>
          <w:sz w:val="20"/>
          <w:szCs w:val="20"/>
          <w:color w:val="auto"/>
        </w:rPr>
      </w:pPr>
    </w:p>
    <w:p>
      <w:pPr>
        <w:jc w:val="both"/>
        <w:ind w:left="880" w:firstLine="810"/>
        <w:spacing w:after="0" w:line="273" w:lineRule="auto"/>
        <w:rPr>
          <w:sz w:val="20"/>
          <w:szCs w:val="20"/>
          <w:color w:val="auto"/>
        </w:rPr>
      </w:pPr>
      <w:r>
        <w:rPr>
          <w:rFonts w:ascii="Arial" w:cs="Arial" w:eastAsia="Arial" w:hAnsi="Arial"/>
          <w:sz w:val="19"/>
          <w:szCs w:val="19"/>
          <w:color w:val="auto"/>
        </w:rPr>
        <w:t>1.116 “</w:t>
      </w:r>
      <w:r>
        <w:rPr>
          <w:rFonts w:ascii="Arial" w:cs="Arial" w:eastAsia="Arial" w:hAnsi="Arial"/>
          <w:sz w:val="19"/>
          <w:szCs w:val="19"/>
          <w:b w:val="1"/>
          <w:bCs w:val="1"/>
          <w:color w:val="auto"/>
        </w:rPr>
        <w:t>Phase 3 Clinical Study</w:t>
      </w:r>
      <w:r>
        <w:rPr>
          <w:rFonts w:ascii="Arial" w:cs="Arial" w:eastAsia="Arial" w:hAnsi="Arial"/>
          <w:sz w:val="19"/>
          <w:szCs w:val="19"/>
          <w:color w:val="auto"/>
        </w:rPr>
        <w:t xml:space="preserve">” means a study of a Licensed Product in human patients with a defined dose or a set of defined doses of a Licensed Product designed to (a) ascertain efficacy and safety of such Licensed Product for its intended use; (b) define warnings, precautions and adverse reactions that are associated with the Licensed Product in the dosage range to be prescribed; and (c) support preparing and submitting applications for Regulatory Marketing Approval to the competent Regulatory Authorities in a country of the world, as and to the extent defined for the United States in 21 C.F.R. § 312.21(c), or its successor regulation, or the equivalent regulation in any other country. “Phase 3 Clinical Study” shall also include any other human clinical trial serving as a pivotal study from which the data are actually submitted to the applicable Regulatory Authority in connection with a Regulatory Marketing Approval Application, whether or not such trial is called a “Phase 3” study. Without limiting the generality of the foregoing, a clinical study shall be deemed to be a “Phase 3 Clinical Study” hereunder if such study has been designated by the sponsor as a Phase 3 [III] clinical trial on </w:t>
      </w:r>
      <w:r>
        <w:rPr>
          <w:rFonts w:ascii="Arial" w:cs="Arial" w:eastAsia="Arial" w:hAnsi="Arial"/>
          <w:sz w:val="19"/>
          <w:szCs w:val="19"/>
          <w:u w:val="single" w:color="auto"/>
          <w:color w:val="4E4D80"/>
        </w:rPr>
        <w:t>www.clinicaltrials.gov</w:t>
      </w:r>
      <w:r>
        <w:rPr>
          <w:rFonts w:ascii="Arial" w:cs="Arial" w:eastAsia="Arial" w:hAnsi="Arial"/>
          <w:sz w:val="19"/>
          <w:szCs w:val="19"/>
          <w:color w:val="auto"/>
        </w:rPr>
        <w:t xml:space="preserve"> (or any successor website maintained by the U.S. National Institutes of Health (or any successor agency of the U.S. Government)).</w:t>
      </w:r>
    </w:p>
    <w:p>
      <w:pPr>
        <w:spacing w:after="0" w:line="151" w:lineRule="exact"/>
        <w:rPr>
          <w:sz w:val="20"/>
          <w:szCs w:val="20"/>
          <w:color w:val="auto"/>
        </w:rPr>
      </w:pPr>
    </w:p>
    <w:p>
      <w:pPr>
        <w:ind w:left="1700"/>
        <w:spacing w:after="0"/>
        <w:tabs>
          <w:tab w:leader="none" w:pos="280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PHSA</w:t>
      </w:r>
      <w:r>
        <w:rPr>
          <w:rFonts w:ascii="Arial" w:cs="Arial" w:eastAsia="Arial" w:hAnsi="Arial"/>
          <w:sz w:val="19"/>
          <w:szCs w:val="19"/>
          <w:color w:val="auto"/>
        </w:rPr>
        <w:t xml:space="preserve">” means the Public Health Services Act, as amended (42 U.S.C. § 201 </w:t>
      </w:r>
      <w:r>
        <w:rPr>
          <w:rFonts w:ascii="Arial" w:cs="Arial" w:eastAsia="Arial" w:hAnsi="Arial"/>
          <w:sz w:val="19"/>
          <w:szCs w:val="19"/>
          <w:i w:val="1"/>
          <w:iCs w:val="1"/>
          <w:color w:val="auto"/>
        </w:rPr>
        <w:t>et seq.).</w:t>
      </w:r>
    </w:p>
    <w:p>
      <w:pPr>
        <w:spacing w:after="0" w:line="206" w:lineRule="exact"/>
        <w:rPr>
          <w:sz w:val="20"/>
          <w:szCs w:val="20"/>
          <w:color w:val="auto"/>
        </w:rPr>
      </w:pPr>
    </w:p>
    <w:p>
      <w:pPr>
        <w:ind w:left="1700"/>
        <w:spacing w:after="0"/>
        <w:tabs>
          <w:tab w:leader="none" w:pos="280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Pre-Market Notice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5.5.4(b)</w:t>
      </w:r>
      <w:r>
        <w:rPr>
          <w:rFonts w:ascii="Arial" w:cs="Arial" w:eastAsia="Arial" w:hAnsi="Arial"/>
          <w:sz w:val="19"/>
          <w:szCs w:val="19"/>
          <w:color w:val="auto"/>
        </w:rPr>
        <w:t xml:space="preserve"> hereof.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3" w:lineRule="exact"/>
        <w:rPr>
          <w:sz w:val="20"/>
          <w:szCs w:val="20"/>
          <w:color w:val="auto"/>
        </w:rPr>
      </w:pPr>
    </w:p>
    <w:p>
      <w:pPr>
        <w:ind w:right="200" w:firstLine="8"/>
        <w:spacing w:after="0" w:line="259" w:lineRule="auto"/>
        <w:tabs>
          <w:tab w:leader="none" w:pos="4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1.119 “</w:t>
      </w:r>
      <w:r>
        <w:rPr>
          <w:rFonts w:ascii="Arial" w:cs="Arial" w:eastAsia="Arial" w:hAnsi="Arial"/>
          <w:sz w:val="22"/>
          <w:szCs w:val="22"/>
          <w:b w:val="1"/>
          <w:bCs w:val="1"/>
          <w:color w:val="auto"/>
        </w:rPr>
        <w:t>Probody</w:t>
      </w:r>
      <w:r>
        <w:rPr>
          <w:rFonts w:ascii="Arial" w:cs="Arial" w:eastAsia="Arial" w:hAnsi="Arial"/>
          <w:sz w:val="22"/>
          <w:szCs w:val="22"/>
          <w:color w:val="auto"/>
        </w:rPr>
        <w:t>” means an Antibody linked to a Substrate and a Mask that is claimed or covered by CytomX Technology.</w:t>
      </w:r>
    </w:p>
    <w:p>
      <w:pPr>
        <w:spacing w:after="0" w:line="163"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Reserved</w:t>
      </w:r>
      <w:r>
        <w:rPr>
          <w:rFonts w:ascii="Arial" w:cs="Arial" w:eastAsia="Arial" w:hAnsi="Arial"/>
          <w:sz w:val="19"/>
          <w:szCs w:val="19"/>
          <w:color w:val="auto"/>
        </w:rPr>
        <w:t>]</w:t>
      </w:r>
    </w:p>
    <w:p>
      <w:pPr>
        <w:spacing w:after="0" w:line="206" w:lineRule="exact"/>
        <w:rPr>
          <w:sz w:val="20"/>
          <w:szCs w:val="20"/>
          <w:color w:val="auto"/>
        </w:rPr>
      </w:pPr>
    </w:p>
    <w:p>
      <w:pPr>
        <w:jc w:val="both"/>
        <w:ind w:left="880" w:firstLine="810"/>
        <w:spacing w:after="0" w:line="234" w:lineRule="auto"/>
        <w:rPr>
          <w:sz w:val="20"/>
          <w:szCs w:val="20"/>
          <w:color w:val="auto"/>
        </w:rPr>
      </w:pPr>
      <w:r>
        <w:rPr>
          <w:rFonts w:ascii="Arial" w:cs="Arial" w:eastAsia="Arial" w:hAnsi="Arial"/>
          <w:sz w:val="22"/>
          <w:szCs w:val="22"/>
          <w:color w:val="auto"/>
        </w:rPr>
        <w:t>1.121 “</w:t>
      </w:r>
      <w:r>
        <w:rPr>
          <w:rFonts w:ascii="Arial" w:cs="Arial" w:eastAsia="Arial" w:hAnsi="Arial"/>
          <w:sz w:val="22"/>
          <w:szCs w:val="22"/>
          <w:b w:val="1"/>
          <w:bCs w:val="1"/>
          <w:color w:val="auto"/>
        </w:rPr>
        <w:t>Program Technology</w:t>
      </w:r>
      <w:r>
        <w:rPr>
          <w:rFonts w:ascii="Arial" w:cs="Arial" w:eastAsia="Arial" w:hAnsi="Arial"/>
          <w:sz w:val="22"/>
          <w:szCs w:val="22"/>
          <w:color w:val="auto"/>
        </w:rPr>
        <w:t>” means all Know-How (other than TAP Platform Improvements) that either Party or any of its Affiliates, Sublicensees or Permitted Third Party Service Providers (or any of their respective employees, agents or independent contractors), alone or with others, makes, creates, develops, discovers, conceives or first actually reduces to practice pursuant to the Development, Manufacture, use or Commercialization of any Licensed Product, including any Patent Rights related thereto. Program Technology also includes “Program Technology” (as defined in the Research Collaboration Agreement) that is necessary or useful for Developing, Manufacturing, using or Commercializing Licensed Products and that claims, covers or is specifically directed to the composition of, or any method of using or method of making any Licensed Product, Linker or Cytotoxic Compound comprised in any Licensed Product.</w:t>
      </w:r>
    </w:p>
    <w:p>
      <w:pPr>
        <w:spacing w:after="0" w:line="184"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Proposed Biosimilar Product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5.5.1</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Proposed Patent List</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5.5.3(a)</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Publishing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6.3.2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Receiving Party</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1.27</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39" w:lineRule="auto"/>
        <w:rPr>
          <w:sz w:val="20"/>
          <w:szCs w:val="20"/>
          <w:color w:val="auto"/>
        </w:rPr>
      </w:pPr>
      <w:r>
        <w:rPr>
          <w:rFonts w:ascii="Arial" w:cs="Arial" w:eastAsia="Arial" w:hAnsi="Arial"/>
          <w:sz w:val="22"/>
          <w:szCs w:val="22"/>
          <w:color w:val="auto"/>
        </w:rPr>
        <w:t>1.126 “</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any technical, medical, scientific or other license, registration, authorization or approval of any Regulatory Authority (including any approval of a New Drug Application or Biologic License Application) necessary for the Development, Manufacture, use or Commercialization of a pharmaceutical product in any regulatory jurisdiction.</w:t>
      </w:r>
    </w:p>
    <w:p>
      <w:pPr>
        <w:spacing w:after="0" w:line="181"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1.127 “</w:t>
      </w:r>
      <w:r>
        <w:rPr>
          <w:rFonts w:ascii="Arial" w:cs="Arial" w:eastAsia="Arial" w:hAnsi="Arial"/>
          <w:sz w:val="22"/>
          <w:szCs w:val="22"/>
          <w:b w:val="1"/>
          <w:bCs w:val="1"/>
          <w:color w:val="auto"/>
        </w:rPr>
        <w:t>Regulatory Approval Application</w:t>
      </w:r>
      <w:r>
        <w:rPr>
          <w:rFonts w:ascii="Arial" w:cs="Arial" w:eastAsia="Arial" w:hAnsi="Arial"/>
          <w:sz w:val="22"/>
          <w:szCs w:val="22"/>
          <w:color w:val="auto"/>
        </w:rPr>
        <w:t>” means any application submitted to an appropriate Regulatory Authority seeking any Regulatory Approval.</w:t>
      </w:r>
    </w:p>
    <w:p>
      <w:pPr>
        <w:spacing w:after="0" w:line="163" w:lineRule="exact"/>
        <w:rPr>
          <w:sz w:val="20"/>
          <w:szCs w:val="20"/>
          <w:color w:val="auto"/>
        </w:rPr>
      </w:pPr>
    </w:p>
    <w:p>
      <w:pPr>
        <w:jc w:val="both"/>
        <w:ind w:left="880" w:firstLine="810"/>
        <w:spacing w:after="0" w:line="239" w:lineRule="auto"/>
        <w:rPr>
          <w:sz w:val="20"/>
          <w:szCs w:val="20"/>
          <w:color w:val="auto"/>
        </w:rPr>
      </w:pPr>
      <w:r>
        <w:rPr>
          <w:rFonts w:ascii="Arial" w:cs="Arial" w:eastAsia="Arial" w:hAnsi="Arial"/>
          <w:sz w:val="22"/>
          <w:szCs w:val="22"/>
          <w:color w:val="auto"/>
        </w:rPr>
        <w:t>1.128 “</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the FDA or any counterpart of the FDA outside the United States, or other national, supra-national, regional, state or local regulatory jurisdiction, any agency, department, bureau, commission, council or other governmental entity with authority over the Development, Manufacture, use or Commercialization of a Licensed Product.</w:t>
      </w:r>
    </w:p>
    <w:p>
      <w:pPr>
        <w:spacing w:after="0" w:line="181" w:lineRule="exact"/>
        <w:rPr>
          <w:sz w:val="20"/>
          <w:szCs w:val="20"/>
          <w:color w:val="auto"/>
        </w:rPr>
      </w:pPr>
    </w:p>
    <w:p>
      <w:pPr>
        <w:jc w:val="both"/>
        <w:ind w:left="880" w:firstLine="810"/>
        <w:spacing w:after="0" w:line="237" w:lineRule="auto"/>
        <w:rPr>
          <w:sz w:val="20"/>
          <w:szCs w:val="20"/>
          <w:color w:val="auto"/>
        </w:rPr>
      </w:pPr>
      <w:r>
        <w:rPr>
          <w:rFonts w:ascii="Arial" w:cs="Arial" w:eastAsia="Arial" w:hAnsi="Arial"/>
          <w:sz w:val="22"/>
          <w:szCs w:val="22"/>
          <w:color w:val="auto"/>
        </w:rPr>
        <w:t>1.129 “</w:t>
      </w:r>
      <w:r>
        <w:rPr>
          <w:rFonts w:ascii="Arial" w:cs="Arial" w:eastAsia="Arial" w:hAnsi="Arial"/>
          <w:sz w:val="22"/>
          <w:szCs w:val="22"/>
          <w:b w:val="1"/>
          <w:bCs w:val="1"/>
          <w:color w:val="auto"/>
        </w:rPr>
        <w:t>Regulatory Marketing Approval</w:t>
      </w:r>
      <w:r>
        <w:rPr>
          <w:rFonts w:ascii="Arial" w:cs="Arial" w:eastAsia="Arial" w:hAnsi="Arial"/>
          <w:sz w:val="22"/>
          <w:szCs w:val="22"/>
          <w:color w:val="auto"/>
        </w:rPr>
        <w:t>” means, with respect to any pharmaceutical product and any indication, Regulatory Approval (including any supplement thereto) to sell such pharmaceutical product for such indication, including, in any jurisdiction other than the United States, to the extent required for any sale in such country, all pricing and reimbursement approvals to be obtained from the Regulatory Authority granting such Regulatory Approval or any affiliated Regulatory Authority.</w:t>
      </w:r>
    </w:p>
    <w:p>
      <w:pPr>
        <w:spacing w:after="0" w:line="183"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Representatives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1.27</w:t>
      </w:r>
      <w:r>
        <w:rPr>
          <w:rFonts w:ascii="Arial" w:cs="Arial" w:eastAsia="Arial" w:hAnsi="Arial"/>
          <w:sz w:val="19"/>
          <w:szCs w:val="19"/>
          <w:color w:val="auto"/>
        </w:rPr>
        <w:t xml:space="preserve"> hereof.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3" w:lineRule="exact"/>
        <w:rPr>
          <w:sz w:val="20"/>
          <w:szCs w:val="20"/>
          <w:color w:val="auto"/>
        </w:rPr>
      </w:pPr>
    </w:p>
    <w:p>
      <w:pPr>
        <w:ind w:right="200" w:firstLine="8"/>
        <w:spacing w:after="0" w:line="259" w:lineRule="auto"/>
        <w:tabs>
          <w:tab w:leader="none" w:pos="4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1.131 “</w:t>
      </w:r>
      <w:r>
        <w:rPr>
          <w:rFonts w:ascii="Arial" w:cs="Arial" w:eastAsia="Arial" w:hAnsi="Arial"/>
          <w:sz w:val="22"/>
          <w:szCs w:val="22"/>
          <w:b w:val="1"/>
          <w:bCs w:val="1"/>
          <w:color w:val="auto"/>
        </w:rPr>
        <w:t>Research Collaboration Agreement</w:t>
      </w:r>
      <w:r>
        <w:rPr>
          <w:rFonts w:ascii="Arial" w:cs="Arial" w:eastAsia="Arial" w:hAnsi="Arial"/>
          <w:sz w:val="22"/>
          <w:szCs w:val="22"/>
          <w:color w:val="auto"/>
        </w:rPr>
        <w:t>” means that certain Research Collaboration Agreement effective as of January 8, 2014 by and between CytomX and ImmunoGen, as the same may be amended from time to time.</w:t>
      </w:r>
    </w:p>
    <w:p>
      <w:pPr>
        <w:spacing w:after="0" w:line="177"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1.132 “</w:t>
      </w:r>
      <w:r>
        <w:rPr>
          <w:rFonts w:ascii="Arial" w:cs="Arial" w:eastAsia="Arial" w:hAnsi="Arial"/>
          <w:sz w:val="22"/>
          <w:szCs w:val="22"/>
          <w:b w:val="1"/>
          <w:bCs w:val="1"/>
          <w:color w:val="auto"/>
        </w:rPr>
        <w:t>Research Program</w:t>
      </w:r>
      <w:r>
        <w:rPr>
          <w:rFonts w:ascii="Arial" w:cs="Arial" w:eastAsia="Arial" w:hAnsi="Arial"/>
          <w:sz w:val="22"/>
          <w:szCs w:val="22"/>
          <w:color w:val="auto"/>
        </w:rPr>
        <w:t>” has the meaning ascribed to such term in the Research Collaboration Agreement.</w:t>
      </w:r>
    </w:p>
    <w:p>
      <w:pPr>
        <w:spacing w:after="0" w:line="163"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 Period</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6.3.2</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71" w:lineRule="auto"/>
        <w:rPr>
          <w:sz w:val="20"/>
          <w:szCs w:val="20"/>
          <w:color w:val="auto"/>
        </w:rPr>
      </w:pPr>
      <w:r>
        <w:rPr>
          <w:rFonts w:ascii="Arial" w:cs="Arial" w:eastAsia="Arial" w:hAnsi="Arial"/>
          <w:sz w:val="19"/>
          <w:szCs w:val="19"/>
          <w:color w:val="auto"/>
        </w:rPr>
        <w:t>1.134 “</w:t>
      </w:r>
      <w:r>
        <w:rPr>
          <w:rFonts w:ascii="Arial" w:cs="Arial" w:eastAsia="Arial" w:hAnsi="Arial"/>
          <w:sz w:val="19"/>
          <w:szCs w:val="19"/>
          <w:b w:val="1"/>
          <w:bCs w:val="1"/>
          <w:color w:val="auto"/>
        </w:rPr>
        <w:t>Royalty Term</w:t>
      </w:r>
      <w:r>
        <w:rPr>
          <w:rFonts w:ascii="Arial" w:cs="Arial" w:eastAsia="Arial" w:hAnsi="Arial"/>
          <w:sz w:val="19"/>
          <w:szCs w:val="19"/>
          <w:color w:val="auto"/>
        </w:rPr>
        <w:t>” means, on a Licensed Product-by-Licensed Product and country-by-country basis, the period of time from the First Commercial Sale of such Licensed Product in such country until the later of (a) the expiration of the last Valid Claim that would, but for the license granted hereunder, be infringed by the manufacture, use, sale, offer for sale or importation of such Licensed Product in such country or (b) the twelfth (12</w:t>
      </w:r>
      <w:r>
        <w:rPr>
          <w:rFonts w:ascii="Arial" w:cs="Arial" w:eastAsia="Arial" w:hAnsi="Arial"/>
          <w:sz w:val="16"/>
          <w:szCs w:val="16"/>
          <w:color w:val="auto"/>
        </w:rPr>
        <w:t>th</w:t>
      </w:r>
      <w:r>
        <w:rPr>
          <w:rFonts w:ascii="Arial" w:cs="Arial" w:eastAsia="Arial" w:hAnsi="Arial"/>
          <w:sz w:val="19"/>
          <w:szCs w:val="19"/>
          <w:color w:val="auto"/>
        </w:rPr>
        <w:t>) anniversary of the date of the First Commercial Sale of such Licensed Product in such country, but in the case of (b), in no event later than the twentieth (20</w:t>
      </w:r>
      <w:r>
        <w:rPr>
          <w:rFonts w:ascii="Arial" w:cs="Arial" w:eastAsia="Arial" w:hAnsi="Arial"/>
          <w:sz w:val="16"/>
          <w:szCs w:val="16"/>
          <w:color w:val="auto"/>
        </w:rPr>
        <w:t>th</w:t>
      </w:r>
      <w:r>
        <w:rPr>
          <w:rFonts w:ascii="Arial" w:cs="Arial" w:eastAsia="Arial" w:hAnsi="Arial"/>
          <w:sz w:val="19"/>
          <w:szCs w:val="19"/>
          <w:color w:val="auto"/>
        </w:rPr>
        <w:t xml:space="preserve">) anniversary of the earlier of the date of the First Commercial Sale of such Licensed Product in the United States or the date of the First Commercial Sale of such Licensed Product in any Major EU Market Country. Anything contained in this Agreement to the contrary notwithstanding, if the Licensed Product (or any component or intermediate thereof) was manufactured in a country where such manufacture would, at the time of such manufacture, have infringed a Valid Claim within the Licensed Patent Rights in the country of manufacture in the absence of the license granted under </w:t>
      </w:r>
      <w:r>
        <w:rPr>
          <w:rFonts w:ascii="Arial" w:cs="Arial" w:eastAsia="Arial" w:hAnsi="Arial"/>
          <w:sz w:val="19"/>
          <w:szCs w:val="19"/>
          <w:u w:val="single" w:color="auto"/>
          <w:color w:val="auto"/>
        </w:rPr>
        <w:t>Section 3.3.1</w:t>
      </w:r>
      <w:r>
        <w:rPr>
          <w:rFonts w:ascii="Arial" w:cs="Arial" w:eastAsia="Arial" w:hAnsi="Arial"/>
          <w:sz w:val="19"/>
          <w:szCs w:val="19"/>
          <w:color w:val="auto"/>
        </w:rPr>
        <w:t xml:space="preserve"> hereof, then the Royalty Term in the country of sale of such Licensed Product, if otherwise expired pursuant to the first sentence of this Section, shall be extended or reinstated, as the case may be, but only with respect to sales of Licensed Products so manufactured. In determining infringement of Valid Claims for purposes of this definition of Royalty Term, (i) any Valid Claim within the Licensed Patent Rights that is jointly owned by CytomX (or any of its Affiliates) with ImmunoGen (or any of its Affiliates) shall be deemed to be owned solely by ImmunoGen or an Affiliate of ImmunoGen, and (ii) claims contained in patent applications that have not resulted in the issuance of a patent in a country will be disregarded for purposes of determining the expiration of the Royalty Term for a Licensed Product in such country under this definition.</w:t>
      </w:r>
    </w:p>
    <w:p>
      <w:pPr>
        <w:spacing w:after="0" w:line="398"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Sales Milestone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Sales Milestone Payment</w:t>
      </w:r>
      <w:r>
        <w:rPr>
          <w:rFonts w:ascii="Arial" w:cs="Arial" w:eastAsia="Arial" w:hAnsi="Arial"/>
          <w:sz w:val="19"/>
          <w:szCs w:val="19"/>
          <w:color w:val="auto"/>
        </w:rPr>
        <w:t>” is defined in Secti</w:t>
      </w:r>
      <w:r>
        <w:rPr>
          <w:rFonts w:ascii="Arial" w:cs="Arial" w:eastAsia="Arial" w:hAnsi="Arial"/>
          <w:sz w:val="19"/>
          <w:szCs w:val="19"/>
          <w:u w:val="single" w:color="auto"/>
          <w:color w:val="auto"/>
        </w:rPr>
        <w:t>on 4.1.2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Sales Threshold</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4.1.2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Strain</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1.66</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1.139 “</w:t>
      </w:r>
      <w:r>
        <w:rPr>
          <w:rFonts w:ascii="Arial" w:cs="Arial" w:eastAsia="Arial" w:hAnsi="Arial"/>
          <w:sz w:val="22"/>
          <w:szCs w:val="22"/>
          <w:b w:val="1"/>
          <w:bCs w:val="1"/>
          <w:color w:val="auto"/>
        </w:rPr>
        <w:t>Sublicensee</w:t>
      </w:r>
      <w:r>
        <w:rPr>
          <w:rFonts w:ascii="Arial" w:cs="Arial" w:eastAsia="Arial" w:hAnsi="Arial"/>
          <w:sz w:val="22"/>
          <w:szCs w:val="22"/>
          <w:color w:val="auto"/>
        </w:rPr>
        <w:t>” means any Third Party to whom CytomX or an Affiliate of CytomX grants or has granted, directly or indirectly, a sublicense of rights licensed by ImmunoGen under this Agreement, in accordance with the provisions of this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3" w:lineRule="exact"/>
        <w:rPr>
          <w:sz w:val="20"/>
          <w:szCs w:val="20"/>
          <w:color w:val="auto"/>
        </w:rPr>
      </w:pPr>
    </w:p>
    <w:p>
      <w:pPr>
        <w:ind w:right="200" w:firstLine="8"/>
        <w:spacing w:after="0" w:line="259" w:lineRule="auto"/>
        <w:tabs>
          <w:tab w:leader="none" w:pos="4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1.140 “</w:t>
      </w:r>
      <w:r>
        <w:rPr>
          <w:rFonts w:ascii="Arial" w:cs="Arial" w:eastAsia="Arial" w:hAnsi="Arial"/>
          <w:sz w:val="22"/>
          <w:szCs w:val="22"/>
          <w:b w:val="1"/>
          <w:bCs w:val="1"/>
          <w:color w:val="auto"/>
        </w:rPr>
        <w:t>Substrate</w:t>
      </w:r>
      <w:r>
        <w:rPr>
          <w:rFonts w:ascii="Arial" w:cs="Arial" w:eastAsia="Arial" w:hAnsi="Arial"/>
          <w:sz w:val="22"/>
          <w:szCs w:val="22"/>
          <w:color w:val="auto"/>
        </w:rPr>
        <w:t>” means a moiety that is linked to the Antibody and to the Mask of a Probody and is capable of being cleaved, reduced or photolysed.</w:t>
      </w:r>
    </w:p>
    <w:p>
      <w:pPr>
        <w:spacing w:after="0" w:line="163" w:lineRule="exact"/>
        <w:rPr>
          <w:sz w:val="20"/>
          <w:szCs w:val="20"/>
          <w:color w:val="auto"/>
        </w:rPr>
      </w:pPr>
    </w:p>
    <w:p>
      <w:pPr>
        <w:jc w:val="both"/>
        <w:ind w:left="880" w:firstLine="810"/>
        <w:spacing w:after="0" w:line="246" w:lineRule="auto"/>
        <w:rPr>
          <w:sz w:val="20"/>
          <w:szCs w:val="20"/>
          <w:color w:val="auto"/>
        </w:rPr>
      </w:pPr>
      <w:r>
        <w:rPr>
          <w:rFonts w:ascii="Arial" w:cs="Arial" w:eastAsia="Arial" w:hAnsi="Arial"/>
          <w:sz w:val="21"/>
          <w:szCs w:val="21"/>
          <w:color w:val="auto"/>
        </w:rPr>
        <w:t>1.141 “</w:t>
      </w:r>
      <w:r>
        <w:rPr>
          <w:rFonts w:ascii="Arial" w:cs="Arial" w:eastAsia="Arial" w:hAnsi="Arial"/>
          <w:sz w:val="21"/>
          <w:szCs w:val="21"/>
          <w:b w:val="1"/>
          <w:bCs w:val="1"/>
          <w:color w:val="auto"/>
        </w:rPr>
        <w:t>TAP Platform Improvements</w:t>
      </w:r>
      <w:r>
        <w:rPr>
          <w:rFonts w:ascii="Arial" w:cs="Arial" w:eastAsia="Arial" w:hAnsi="Arial"/>
          <w:sz w:val="21"/>
          <w:szCs w:val="21"/>
          <w:color w:val="auto"/>
        </w:rPr>
        <w:t>” means any enhancement, improvement or modification (each, an “</w:t>
      </w:r>
      <w:r>
        <w:rPr>
          <w:rFonts w:ascii="Arial" w:cs="Arial" w:eastAsia="Arial" w:hAnsi="Arial"/>
          <w:sz w:val="21"/>
          <w:szCs w:val="21"/>
          <w:b w:val="1"/>
          <w:bCs w:val="1"/>
          <w:color w:val="auto"/>
        </w:rPr>
        <w:t>Improvement</w:t>
      </w:r>
      <w:r>
        <w:rPr>
          <w:rFonts w:ascii="Arial" w:cs="Arial" w:eastAsia="Arial" w:hAnsi="Arial"/>
          <w:sz w:val="21"/>
          <w:szCs w:val="21"/>
          <w:color w:val="auto"/>
        </w:rPr>
        <w:t>”) to the Licensed Intellectual Property that is (a) an Improvement to the composition of or methods of making any Cytotoxic Compound, (b) an Improvement to the conjugation process for making ADCs or PDCs (including, for example, reaction conditions or changes in process that create improvements in the yield of such conjugate), (c) an Improvement to the composition of or methods for making Linkers, (d) an Improvement to any of the analytical methods used for making, releasing and characterizing any Cytotoxic Compound, Linker, ADCs or PDCs, or (e) an Improvement to the formulation of ADCs or PDCs. Licensed Products, in and of themselves, will not be deemed to be TAP Platform Improvements, although the Parties acknowledge that TAP Platform Improvements may be incorporated into Licensed Products.</w:t>
      </w:r>
    </w:p>
    <w:p>
      <w:pPr>
        <w:spacing w:after="0" w:line="176" w:lineRule="exact"/>
        <w:rPr>
          <w:sz w:val="20"/>
          <w:szCs w:val="20"/>
          <w:color w:val="auto"/>
        </w:rPr>
      </w:pPr>
    </w:p>
    <w:p>
      <w:pPr>
        <w:jc w:val="both"/>
        <w:ind w:left="880" w:right="20" w:firstLine="810"/>
        <w:spacing w:after="0" w:line="256" w:lineRule="auto"/>
        <w:rPr>
          <w:sz w:val="20"/>
          <w:szCs w:val="20"/>
          <w:color w:val="auto"/>
        </w:rPr>
      </w:pPr>
      <w:r>
        <w:rPr>
          <w:rFonts w:ascii="Arial" w:cs="Arial" w:eastAsia="Arial" w:hAnsi="Arial"/>
          <w:sz w:val="22"/>
          <w:szCs w:val="22"/>
          <w:color w:val="auto"/>
        </w:rPr>
        <w:t>1.142 “</w:t>
      </w:r>
      <w:r>
        <w:rPr>
          <w:rFonts w:ascii="Arial" w:cs="Arial" w:eastAsia="Arial" w:hAnsi="Arial"/>
          <w:sz w:val="22"/>
          <w:szCs w:val="22"/>
          <w:b w:val="1"/>
          <w:bCs w:val="1"/>
          <w:color w:val="auto"/>
        </w:rPr>
        <w:t>Target</w:t>
      </w:r>
      <w:r>
        <w:rPr>
          <w:rFonts w:ascii="Arial" w:cs="Arial" w:eastAsia="Arial" w:hAnsi="Arial"/>
          <w:sz w:val="22"/>
          <w:szCs w:val="22"/>
          <w:color w:val="auto"/>
        </w:rPr>
        <w:t>” means a protein described by a unique UniProtKB/Swiss Prot accession number (and all fragments, mutations and splice variants thereof) that is bound by an Antibody or a Probody.</w:t>
      </w:r>
    </w:p>
    <w:p>
      <w:pPr>
        <w:spacing w:after="0" w:line="163" w:lineRule="exact"/>
        <w:rPr>
          <w:sz w:val="20"/>
          <w:szCs w:val="20"/>
          <w:color w:val="auto"/>
        </w:rPr>
      </w:pPr>
    </w:p>
    <w:p>
      <w:pPr>
        <w:jc w:val="both"/>
        <w:ind w:left="880" w:firstLine="810"/>
        <w:spacing w:after="0" w:line="243" w:lineRule="auto"/>
        <w:rPr>
          <w:sz w:val="20"/>
          <w:szCs w:val="20"/>
          <w:color w:val="auto"/>
        </w:rPr>
      </w:pPr>
      <w:r>
        <w:rPr>
          <w:rFonts w:ascii="Arial" w:cs="Arial" w:eastAsia="Arial" w:hAnsi="Arial"/>
          <w:sz w:val="22"/>
          <w:szCs w:val="22"/>
          <w:color w:val="auto"/>
        </w:rPr>
        <w:t>1.143 “</w:t>
      </w:r>
      <w:r>
        <w:rPr>
          <w:rFonts w:ascii="Arial" w:cs="Arial" w:eastAsia="Arial" w:hAnsi="Arial"/>
          <w:sz w:val="22"/>
          <w:szCs w:val="22"/>
          <w:b w:val="1"/>
          <w:bCs w:val="1"/>
          <w:color w:val="auto"/>
        </w:rPr>
        <w:t>Target</w:t>
      </w:r>
      <w:r>
        <w:rPr>
          <w:rFonts w:ascii="Arial" w:cs="Arial" w:eastAsia="Arial" w:hAnsi="Arial"/>
          <w:sz w:val="22"/>
          <w:szCs w:val="22"/>
          <w:color w:val="auto"/>
        </w:rPr>
        <w:t>,” “</w:t>
      </w:r>
      <w:r>
        <w:rPr>
          <w:rFonts w:ascii="Arial" w:cs="Arial" w:eastAsia="Arial" w:hAnsi="Arial"/>
          <w:sz w:val="22"/>
          <w:szCs w:val="22"/>
          <w:b w:val="1"/>
          <w:bCs w:val="1"/>
          <w:color w:val="auto"/>
        </w:rPr>
        <w:t>Targeting</w:t>
      </w:r>
      <w:r>
        <w:rPr>
          <w:rFonts w:ascii="Arial" w:cs="Arial" w:eastAsia="Arial" w:hAnsi="Arial"/>
          <w:sz w:val="22"/>
          <w:szCs w:val="22"/>
          <w:color w:val="auto"/>
        </w:rPr>
        <w:t>” or “</w:t>
      </w:r>
      <w:r>
        <w:rPr>
          <w:rFonts w:ascii="Arial" w:cs="Arial" w:eastAsia="Arial" w:hAnsi="Arial"/>
          <w:sz w:val="22"/>
          <w:szCs w:val="22"/>
          <w:b w:val="1"/>
          <w:bCs w:val="1"/>
          <w:color w:val="auto"/>
        </w:rPr>
        <w:t>Targeted</w:t>
      </w:r>
      <w:r>
        <w:rPr>
          <w:rFonts w:ascii="Arial" w:cs="Arial" w:eastAsia="Arial" w:hAnsi="Arial"/>
          <w:sz w:val="22"/>
          <w:szCs w:val="22"/>
          <w:color w:val="auto"/>
        </w:rPr>
        <w:t>” means, when used as a verb to describe the relationship between a molecule and a Target, where the molecule’s primary intended mechanism of action requires that it bind to the Target (or a portion thereof).</w:t>
      </w:r>
    </w:p>
    <w:p>
      <w:pPr>
        <w:spacing w:after="0" w:line="177" w:lineRule="exact"/>
        <w:rPr>
          <w:sz w:val="20"/>
          <w:szCs w:val="20"/>
          <w:color w:val="auto"/>
        </w:rPr>
      </w:pPr>
    </w:p>
    <w:p>
      <w:pPr>
        <w:jc w:val="both"/>
        <w:ind w:left="880" w:firstLine="810"/>
        <w:spacing w:after="0" w:line="256" w:lineRule="exact"/>
        <w:rPr>
          <w:sz w:val="20"/>
          <w:szCs w:val="20"/>
          <w:color w:val="auto"/>
        </w:rPr>
      </w:pPr>
      <w:r>
        <w:rPr>
          <w:rFonts w:ascii="Arial" w:cs="Arial" w:eastAsia="Arial" w:hAnsi="Arial"/>
          <w:sz w:val="22"/>
          <w:szCs w:val="22"/>
          <w:color w:val="auto"/>
        </w:rPr>
        <w:t>1.144 “</w:t>
      </w:r>
      <w:r>
        <w:rPr>
          <w:rFonts w:ascii="Arial" w:cs="Arial" w:eastAsia="Arial" w:hAnsi="Arial"/>
          <w:sz w:val="22"/>
          <w:szCs w:val="22"/>
          <w:b w:val="1"/>
          <w:bCs w:val="1"/>
          <w:color w:val="auto"/>
        </w:rPr>
        <w:t>Target-Binding Probody</w:t>
      </w:r>
      <w:r>
        <w:rPr>
          <w:rFonts w:ascii="Arial" w:cs="Arial" w:eastAsia="Arial" w:hAnsi="Arial"/>
          <w:sz w:val="22"/>
          <w:szCs w:val="22"/>
          <w:color w:val="auto"/>
        </w:rPr>
        <w:t xml:space="preserve">” means a Probody that Targets the Licensed Target. For purposes of clarity, “Target-Binding Probody” does </w:t>
      </w:r>
      <w:r>
        <w:rPr>
          <w:rFonts w:ascii="Arial" w:cs="Arial" w:eastAsia="Arial" w:hAnsi="Arial"/>
          <w:sz w:val="22"/>
          <w:szCs w:val="22"/>
          <w:i w:val="1"/>
          <w:iCs w:val="1"/>
          <w:color w:val="auto"/>
        </w:rPr>
        <w:t>not</w:t>
      </w:r>
      <w:r>
        <w:rPr>
          <w:rFonts w:ascii="Arial" w:cs="Arial" w:eastAsia="Arial" w:hAnsi="Arial"/>
          <w:sz w:val="22"/>
          <w:szCs w:val="22"/>
          <w:color w:val="auto"/>
        </w:rPr>
        <w:t xml:space="preserve"> include bi-specific or multi</w:t>
      </w:r>
      <w:r>
        <w:rPr>
          <w:rFonts w:ascii="MS PGothic" w:cs="MS PGothic" w:eastAsia="MS PGothic" w:hAnsi="MS PGothic"/>
          <w:sz w:val="22"/>
          <w:szCs w:val="22"/>
          <w:color w:val="auto"/>
        </w:rPr>
        <w:t>‑</w:t>
      </w:r>
      <w:r>
        <w:rPr>
          <w:rFonts w:ascii="Arial" w:cs="Arial" w:eastAsia="Arial" w:hAnsi="Arial"/>
          <w:sz w:val="22"/>
          <w:szCs w:val="22"/>
          <w:color w:val="auto"/>
        </w:rPr>
        <w:t>specific Probodies (</w:t>
      </w:r>
      <w:r>
        <w:rPr>
          <w:rFonts w:ascii="Arial" w:cs="Arial" w:eastAsia="Arial" w:hAnsi="Arial"/>
          <w:sz w:val="22"/>
          <w:szCs w:val="22"/>
          <w:i w:val="1"/>
          <w:iCs w:val="1"/>
          <w:color w:val="auto"/>
        </w:rPr>
        <w:t>i.e</w:t>
      </w:r>
      <w:r>
        <w:rPr>
          <w:rFonts w:ascii="Arial" w:cs="Arial" w:eastAsia="Arial" w:hAnsi="Arial"/>
          <w:sz w:val="22"/>
          <w:szCs w:val="22"/>
          <w:color w:val="auto"/>
        </w:rPr>
        <w:t>., Probodies that Target more than one Target).</w:t>
      </w:r>
    </w:p>
    <w:p>
      <w:pPr>
        <w:spacing w:after="0" w:line="180"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1.146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entire world.</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1.147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CytomX, ImmunoGen or their respective Affiliates.</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1.148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Payments</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4.2.3(a)</w:t>
      </w:r>
      <w:r>
        <w:rPr>
          <w:rFonts w:ascii="Arial" w:cs="Arial" w:eastAsia="Arial" w:hAnsi="Arial"/>
          <w:sz w:val="19"/>
          <w:szCs w:val="19"/>
          <w:color w:val="auto"/>
        </w:rPr>
        <w:t xml:space="preserve"> hereof.</w:t>
      </w:r>
    </w:p>
    <w:p>
      <w:pPr>
        <w:spacing w:after="0" w:line="206" w:lineRule="exact"/>
        <w:rPr>
          <w:sz w:val="20"/>
          <w:szCs w:val="20"/>
          <w:color w:val="auto"/>
        </w:rPr>
      </w:pPr>
    </w:p>
    <w:p>
      <w:pPr>
        <w:ind w:left="1700"/>
        <w:spacing w:after="0"/>
        <w:tabs>
          <w:tab w:leader="none" w:pos="2820" w:val="left"/>
        </w:tabs>
        <w:rPr>
          <w:sz w:val="20"/>
          <w:szCs w:val="20"/>
          <w:color w:val="auto"/>
        </w:rPr>
      </w:pPr>
      <w:r>
        <w:rPr>
          <w:rFonts w:ascii="Arial" w:cs="Arial" w:eastAsia="Arial" w:hAnsi="Arial"/>
          <w:sz w:val="22"/>
          <w:szCs w:val="22"/>
          <w:color w:val="auto"/>
        </w:rPr>
        <w:t>1.150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Unauthorized Use</w:t>
      </w:r>
      <w:r>
        <w:rPr>
          <w:rFonts w:ascii="Arial" w:cs="Arial" w:eastAsia="Arial" w:hAnsi="Arial"/>
          <w:sz w:val="19"/>
          <w:szCs w:val="19"/>
          <w:color w:val="auto"/>
        </w:rPr>
        <w:t xml:space="preserve">” is defined in </w:t>
      </w:r>
      <w:r>
        <w:rPr>
          <w:rFonts w:ascii="Arial" w:cs="Arial" w:eastAsia="Arial" w:hAnsi="Arial"/>
          <w:sz w:val="19"/>
          <w:szCs w:val="19"/>
          <w:u w:val="single" w:color="auto"/>
          <w:color w:val="auto"/>
        </w:rPr>
        <w:t>Section 2.6.3</w:t>
      </w:r>
      <w:r>
        <w:rPr>
          <w:rFonts w:ascii="Arial" w:cs="Arial" w:eastAsia="Arial" w:hAnsi="Arial"/>
          <w:sz w:val="19"/>
          <w:szCs w:val="19"/>
          <w:color w:val="auto"/>
        </w:rPr>
        <w:t xml:space="preserve"> hereof.</w:t>
      </w:r>
    </w:p>
    <w:p>
      <w:pPr>
        <w:spacing w:after="0" w:line="206" w:lineRule="exact"/>
        <w:rPr>
          <w:sz w:val="20"/>
          <w:szCs w:val="20"/>
          <w:color w:val="auto"/>
        </w:rPr>
      </w:pPr>
    </w:p>
    <w:p>
      <w:pPr>
        <w:jc w:val="both"/>
        <w:ind w:left="880" w:firstLine="810"/>
        <w:spacing w:after="0" w:line="256" w:lineRule="auto"/>
        <w:rPr>
          <w:sz w:val="20"/>
          <w:szCs w:val="20"/>
          <w:color w:val="auto"/>
        </w:rPr>
      </w:pPr>
      <w:r>
        <w:rPr>
          <w:rFonts w:ascii="Arial" w:cs="Arial" w:eastAsia="Arial" w:hAnsi="Arial"/>
          <w:sz w:val="22"/>
          <w:szCs w:val="22"/>
          <w:color w:val="auto"/>
        </w:rPr>
        <w:t>1.151 “</w:t>
      </w:r>
      <w:r>
        <w:rPr>
          <w:rFonts w:ascii="Arial" w:cs="Arial" w:eastAsia="Arial" w:hAnsi="Arial"/>
          <w:sz w:val="22"/>
          <w:szCs w:val="22"/>
          <w:b w:val="1"/>
          <w:bCs w:val="1"/>
          <w:color w:val="auto"/>
        </w:rPr>
        <w:t>Unconjugated Probody Platform Improvements</w:t>
      </w:r>
      <w:r>
        <w:rPr>
          <w:rFonts w:ascii="Arial" w:cs="Arial" w:eastAsia="Arial" w:hAnsi="Arial"/>
          <w:sz w:val="22"/>
          <w:szCs w:val="22"/>
          <w:color w:val="auto"/>
        </w:rPr>
        <w:t>” has the meaning ascribed to such term in the Research Collaboration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3" w:lineRule="exact"/>
        <w:rPr>
          <w:sz w:val="20"/>
          <w:szCs w:val="20"/>
          <w:color w:val="auto"/>
        </w:rPr>
      </w:pPr>
    </w:p>
    <w:p>
      <w:pPr>
        <w:ind w:right="200" w:firstLine="8"/>
        <w:spacing w:after="0" w:line="259" w:lineRule="auto"/>
        <w:tabs>
          <w:tab w:leader="none" w:pos="4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firstLine="810"/>
        <w:spacing w:after="0" w:line="270" w:lineRule="auto"/>
        <w:rPr>
          <w:sz w:val="20"/>
          <w:szCs w:val="20"/>
          <w:color w:val="auto"/>
        </w:rPr>
      </w:pPr>
      <w:r>
        <w:rPr>
          <w:rFonts w:ascii="Arial" w:cs="Arial" w:eastAsia="Arial" w:hAnsi="Arial"/>
          <w:sz w:val="19"/>
          <w:szCs w:val="19"/>
          <w:color w:val="auto"/>
        </w:rPr>
        <w:t>1.152 “</w:t>
      </w:r>
      <w:r>
        <w:rPr>
          <w:rFonts w:ascii="Arial" w:cs="Arial" w:eastAsia="Arial" w:hAnsi="Arial"/>
          <w:sz w:val="19"/>
          <w:szCs w:val="19"/>
          <w:b w:val="1"/>
          <w:bCs w:val="1"/>
          <w:color w:val="auto"/>
        </w:rPr>
        <w:t>Valid Claim</w:t>
      </w:r>
      <w:r>
        <w:rPr>
          <w:rFonts w:ascii="Arial" w:cs="Arial" w:eastAsia="Arial" w:hAnsi="Arial"/>
          <w:sz w:val="19"/>
          <w:szCs w:val="19"/>
          <w:color w:val="auto"/>
        </w:rPr>
        <w:t xml:space="preserve">” means, with respect to a particular country, (a) a claim of an issued and unexpired patent right included within the Licensed Patent Rights that (i) has not been held permanently revoked, unenforceable or invalid by a decision of a court or other governmental authority of competent jurisdiction, which decision is unappealed or unappealable within the time allowed for appeal, and (ii) has not been cancelled, withdrawn, abandoned, disclaimed or admitted to be invalid or unenforceable through reissue, disclaimer or otherwise; or (b)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claim of a pending patent application included within the Licensed Patent Rights that has not been (i) cancelled, withdrawn or abandoned without being refiled in another application in the applicable jurisdiction or (ii) finally rejected by an administrative agency action from which no appeal can be taken or that has not been appealed within the time allowed for appeal, provided that any claim in any patent application pending for more than seven (7) years from the earliest date on which such patent application claims priority shall not be considered a Valid Claim for purposes of the Agreement from and after such seven (7) year date unless and until a patent containing such claim issues from such patent application and solely if such patent issues while another Valid Claim covers the relevant Licensed Product in the relevant country. Anything contained in this Agreement to the contrary notwithstanding, a claim within an issued and unexpired patent within the Licensed Patent Rights shall remain a Valid Claim for all purposes under this Agreement, notwithstanding a determination that such claim is unenforceable pursuant to the operation of the BPCIA, if such determination is exclusively caused by or results solely from any act or omission by CytomX (or any of its Affiliates or Sublicensee) determined to have been made negligently or in bad faith in the performance of CytomX’s obligations under </w:t>
      </w:r>
      <w:r>
        <w:rPr>
          <w:rFonts w:ascii="Arial" w:cs="Arial" w:eastAsia="Arial" w:hAnsi="Arial"/>
          <w:sz w:val="19"/>
          <w:szCs w:val="19"/>
          <w:u w:val="single" w:color="auto"/>
          <w:color w:val="auto"/>
        </w:rPr>
        <w:t>Section 5.5.3</w:t>
      </w:r>
      <w:r>
        <w:rPr>
          <w:rFonts w:ascii="Arial" w:cs="Arial" w:eastAsia="Arial" w:hAnsi="Arial"/>
          <w:sz w:val="19"/>
          <w:szCs w:val="19"/>
          <w:color w:val="auto"/>
        </w:rPr>
        <w:t xml:space="preserve"> hereof that results in actual prejudice to ImmunoGen’s ability to preserve its rights in the Licensed Patent Rights and eliminate the infringement threatened by the Applicant (excluding any acts or omissions undertaken pursuant to the specific written instruction of ImmunoGen).</w:t>
      </w:r>
    </w:p>
    <w:p>
      <w:pPr>
        <w:spacing w:after="0" w:line="200" w:lineRule="exact"/>
        <w:rPr>
          <w:sz w:val="20"/>
          <w:szCs w:val="20"/>
          <w:color w:val="auto"/>
        </w:rPr>
      </w:pPr>
    </w:p>
    <w:p>
      <w:pPr>
        <w:spacing w:after="0" w:line="208" w:lineRule="exact"/>
        <w:rPr>
          <w:sz w:val="20"/>
          <w:szCs w:val="20"/>
          <w:color w:val="auto"/>
        </w:rPr>
      </w:pPr>
    </w:p>
    <w:p>
      <w:pPr>
        <w:ind w:left="1700" w:hanging="818"/>
        <w:spacing w:after="0"/>
        <w:tabs>
          <w:tab w:leader="none" w:pos="170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PRODUCT DEVELOPMENT, MANUFACTURING AND COMMERCIALIZATION.</w:t>
      </w:r>
    </w:p>
    <w:p>
      <w:pPr>
        <w:spacing w:after="0" w:line="206" w:lineRule="exact"/>
        <w:rPr>
          <w:sz w:val="20"/>
          <w:szCs w:val="20"/>
          <w:color w:val="auto"/>
        </w:rPr>
      </w:pPr>
    </w:p>
    <w:p>
      <w:pPr>
        <w:jc w:val="both"/>
        <w:ind w:left="880"/>
        <w:spacing w:after="0" w:line="246"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General</w:t>
      </w:r>
      <w:r>
        <w:rPr>
          <w:rFonts w:ascii="Arial" w:cs="Arial" w:eastAsia="Arial" w:hAnsi="Arial"/>
          <w:sz w:val="21"/>
          <w:szCs w:val="21"/>
          <w:color w:val="auto"/>
        </w:rPr>
        <w:t>. CytomX shall have sole authority over, responsibility for and control of (notwithstanding the formation of the JDC or its decisions and/or disputes among the membership of the JDC) the Development, Manufacture, use and Commercialization of the Licensed Products, and shall bear all costs associated with such Development, Manufacture, use and Commercialization. To the extent it has not already done so or is not required to do so under the Research Collaboration Agreement, upon request by CytomX, ImmunoGen will provide CytomX and/or its designated Permitted Third Party Service Providers with the ImmunoGen Technology Transfer Materials. In addition, upon reasonable request by CytomX, ImmunoGen shall use reasonable efforts to provide CytomX with technical advice to assist CytomX in its use of the ImmunoGen Technology Transfer Materials in connection with the Development and Manufacture of Licensed Products hereunder.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3" w:lineRule="exact"/>
        <w:rPr>
          <w:sz w:val="20"/>
          <w:szCs w:val="20"/>
          <w:color w:val="auto"/>
        </w:rPr>
      </w:pPr>
    </w:p>
    <w:p>
      <w:pPr>
        <w:ind w:right="200" w:firstLine="8"/>
        <w:spacing w:after="0" w:line="259" w:lineRule="auto"/>
        <w:tabs>
          <w:tab w:leader="none" w:pos="4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ind w:left="3360"/>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color w:val="auto"/>
        </w:rPr>
        <w:t>Development Diligence</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45" w:lineRule="auto"/>
        <w:rPr>
          <w:sz w:val="20"/>
          <w:szCs w:val="20"/>
          <w:color w:val="auto"/>
        </w:rPr>
      </w:pPr>
      <w:r>
        <w:rPr>
          <w:rFonts w:ascii="Arial" w:cs="Arial" w:eastAsia="Arial" w:hAnsi="Arial"/>
          <w:sz w:val="21"/>
          <w:szCs w:val="21"/>
          <w:color w:val="auto"/>
        </w:rPr>
        <w:t xml:space="preserve">2.2.1. </w:t>
      </w:r>
      <w:r>
        <w:rPr>
          <w:rFonts w:ascii="Arial" w:cs="Arial" w:eastAsia="Arial" w:hAnsi="Arial"/>
          <w:sz w:val="21"/>
          <w:szCs w:val="21"/>
          <w:b w:val="1"/>
          <w:bCs w:val="1"/>
          <w:color w:val="auto"/>
        </w:rPr>
        <w:t>CytomX Diligence</w:t>
      </w:r>
      <w:r>
        <w:rPr>
          <w:rFonts w:ascii="Arial" w:cs="Arial" w:eastAsia="Arial" w:hAnsi="Arial"/>
          <w:sz w:val="21"/>
          <w:szCs w:val="21"/>
          <w:color w:val="auto"/>
        </w:rPr>
        <w:t xml:space="preserve">. CytomX will use Commercially Reasonable Efforts to Develop Licensed Products and to undertake investigations and actions required to obtain Regulatory Marketing Approval in the Territory; provided that the obligations set forth in this Section shall cease upon the achievement of the first Regulatory Marketing Approval for any Licensed Product in any country or other jurisdiction in the Territory. For avoidance of doubt, any actions taken by CytomX’s Affiliates or Sublicensees under this Agreement shall be treated as actions taken by CytomX in regard to satisfaction of the requirements of this </w:t>
      </w:r>
      <w:r>
        <w:rPr>
          <w:rFonts w:ascii="Arial" w:cs="Arial" w:eastAsia="Arial" w:hAnsi="Arial"/>
          <w:sz w:val="21"/>
          <w:szCs w:val="21"/>
          <w:u w:val="single" w:color="auto"/>
          <w:color w:val="auto"/>
        </w:rPr>
        <w:t>Section 2.2.1</w:t>
      </w:r>
      <w:r>
        <w:rPr>
          <w:rFonts w:ascii="Arial" w:cs="Arial" w:eastAsia="Arial" w:hAnsi="Arial"/>
          <w:sz w:val="21"/>
          <w:szCs w:val="21"/>
          <w:color w:val="auto"/>
        </w:rPr>
        <w:t>. Beginning on the sixth (6</w:t>
      </w:r>
      <w:r>
        <w:rPr>
          <w:rFonts w:ascii="Arial" w:cs="Arial" w:eastAsia="Arial" w:hAnsi="Arial"/>
          <w:sz w:val="17"/>
          <w:szCs w:val="17"/>
          <w:color w:val="auto"/>
        </w:rPr>
        <w:t>th</w:t>
      </w:r>
      <w:r>
        <w:rPr>
          <w:rFonts w:ascii="Arial" w:cs="Arial" w:eastAsia="Arial" w:hAnsi="Arial"/>
          <w:sz w:val="21"/>
          <w:szCs w:val="21"/>
          <w:color w:val="auto"/>
        </w:rPr>
        <w:t>) anniversary of the Effective Date and thereafter, CytomX will make non-refundable and non-creditable maintenance payments in the amounts set forth below (the “</w:t>
      </w:r>
      <w:r>
        <w:rPr>
          <w:rFonts w:ascii="Arial" w:cs="Arial" w:eastAsia="Arial" w:hAnsi="Arial"/>
          <w:sz w:val="21"/>
          <w:szCs w:val="21"/>
          <w:b w:val="1"/>
          <w:bCs w:val="1"/>
          <w:color w:val="auto"/>
        </w:rPr>
        <w:t>Annual</w:t>
      </w:r>
      <w:r>
        <w:rPr>
          <w:rFonts w:ascii="Arial" w:cs="Arial" w:eastAsia="Arial" w:hAnsi="Arial"/>
          <w:sz w:val="21"/>
          <w:szCs w:val="21"/>
          <w:color w:val="auto"/>
        </w:rPr>
        <w:t xml:space="preserve"> </w:t>
      </w:r>
      <w:r>
        <w:rPr>
          <w:rFonts w:ascii="Arial" w:cs="Arial" w:eastAsia="Arial" w:hAnsi="Arial"/>
          <w:sz w:val="21"/>
          <w:szCs w:val="21"/>
          <w:b w:val="1"/>
          <w:bCs w:val="1"/>
          <w:color w:val="auto"/>
        </w:rPr>
        <w:t>Maintenance Fees</w:t>
      </w:r>
      <w:r>
        <w:rPr>
          <w:rFonts w:ascii="Arial" w:cs="Arial" w:eastAsia="Arial" w:hAnsi="Arial"/>
          <w:sz w:val="21"/>
          <w:szCs w:val="21"/>
          <w:color w:val="auto"/>
        </w:rPr>
        <w:t>”) until the earlier of (a) the first filing of an IND in the U.S. or in any European Union</w:t>
      </w:r>
      <w:r>
        <w:rPr>
          <w:rFonts w:ascii="Arial" w:cs="Arial" w:eastAsia="Arial" w:hAnsi="Arial"/>
          <w:sz w:val="21"/>
          <w:szCs w:val="21"/>
          <w:b w:val="1"/>
          <w:bCs w:val="1"/>
          <w:color w:val="auto"/>
        </w:rPr>
        <w:t xml:space="preserve"> </w:t>
      </w:r>
      <w:r>
        <w:rPr>
          <w:rFonts w:ascii="Arial" w:cs="Arial" w:eastAsia="Arial" w:hAnsi="Arial"/>
          <w:sz w:val="21"/>
          <w:szCs w:val="21"/>
          <w:color w:val="auto"/>
        </w:rPr>
        <w:t>country for any Licensed Product or (b) the termination of this Agreement in accordance with its terms. The amounts of the Annual Maintenance Fee accruing as of each anniversary of the Effective Date, beginning with the sixth (6</w:t>
      </w:r>
      <w:r>
        <w:rPr>
          <w:rFonts w:ascii="Arial" w:cs="Arial" w:eastAsia="Arial" w:hAnsi="Arial"/>
          <w:sz w:val="17"/>
          <w:szCs w:val="17"/>
          <w:color w:val="auto"/>
        </w:rPr>
        <w:t>th</w:t>
      </w:r>
      <w:r>
        <w:rPr>
          <w:rFonts w:ascii="Arial" w:cs="Arial" w:eastAsia="Arial" w:hAnsi="Arial"/>
          <w:sz w:val="21"/>
          <w:szCs w:val="21"/>
          <w:color w:val="auto"/>
        </w:rPr>
        <w:t>) anniversary are as follows:</w:t>
      </w:r>
    </w:p>
    <w:p>
      <w:pPr>
        <w:spacing w:after="0" w:line="183" w:lineRule="exact"/>
        <w:rPr>
          <w:sz w:val="20"/>
          <w:szCs w:val="20"/>
          <w:color w:val="auto"/>
        </w:rPr>
      </w:pPr>
    </w:p>
    <w:tbl>
      <w:tblPr>
        <w:tblLayout w:type="fixed"/>
        <w:tblInd w:w="1750" w:type="dxa"/>
        <w:tblCellMar>
          <w:top w:w="0" w:type="dxa"/>
          <w:left w:w="0" w:type="dxa"/>
          <w:bottom w:w="0" w:type="dxa"/>
          <w:right w:w="0" w:type="dxa"/>
        </w:tblCellMar>
      </w:tblPr>
      <w:tr>
        <w:trPr>
          <w:trHeight w:val="248"/>
        </w:trPr>
        <w:tc>
          <w:tcPr>
            <w:tcW w:w="520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Anniversary of the Effective Date</w:t>
            </w:r>
          </w:p>
        </w:tc>
        <w:tc>
          <w:tcPr>
            <w:tcW w:w="448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Maintenance Fee</w:t>
            </w:r>
          </w:p>
        </w:tc>
      </w:tr>
      <w:tr>
        <w:trPr>
          <w:trHeight w:val="198"/>
        </w:trPr>
        <w:tc>
          <w:tcPr>
            <w:tcW w:w="5200" w:type="dxa"/>
            <w:vAlign w:val="bottom"/>
            <w:tcBorders>
              <w:left w:val="single" w:sz="8" w:color="auto"/>
              <w:bottom w:val="single" w:sz="8" w:color="auto"/>
              <w:right w:val="single" w:sz="8" w:color="auto"/>
            </w:tcBorders>
            <w:shd w:val="clear" w:color="auto" w:fill="D9D9D9"/>
          </w:tcPr>
          <w:p>
            <w:pPr>
              <w:spacing w:after="0"/>
              <w:rPr>
                <w:sz w:val="17"/>
                <w:szCs w:val="17"/>
                <w:color w:val="auto"/>
              </w:rPr>
            </w:pPr>
          </w:p>
        </w:tc>
        <w:tc>
          <w:tcPr>
            <w:tcW w:w="4480" w:type="dxa"/>
            <w:vAlign w:val="bottom"/>
            <w:tcBorders>
              <w:bottom w:val="single" w:sz="8" w:color="auto"/>
              <w:right w:val="single" w:sz="8" w:color="auto"/>
            </w:tcBorders>
            <w:shd w:val="clear" w:color="auto" w:fill="D9D9D9"/>
          </w:tcPr>
          <w:p>
            <w:pPr>
              <w:spacing w:after="0"/>
              <w:rPr>
                <w:sz w:val="17"/>
                <w:szCs w:val="17"/>
                <w:color w:val="auto"/>
              </w:rPr>
            </w:pPr>
          </w:p>
        </w:tc>
      </w:tr>
      <w:tr>
        <w:trPr>
          <w:trHeight w:val="224"/>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Sixth (6th) anniversary</w:t>
            </w: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02"/>
        </w:trPr>
        <w:tc>
          <w:tcPr>
            <w:tcW w:w="520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r>
      <w:tr>
        <w:trPr>
          <w:trHeight w:val="224"/>
        </w:trPr>
        <w:tc>
          <w:tcPr>
            <w:tcW w:w="5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Seventh (7th) anniversary</w:t>
            </w: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02"/>
        </w:trPr>
        <w:tc>
          <w:tcPr>
            <w:tcW w:w="5200" w:type="dxa"/>
            <w:vAlign w:val="bottom"/>
            <w:tcBorders>
              <w:left w:val="single" w:sz="8" w:color="auto"/>
              <w:bottom w:val="single" w:sz="8" w:color="auto"/>
              <w:right w:val="single" w:sz="8" w:color="auto"/>
            </w:tcBorders>
          </w:tcPr>
          <w:p>
            <w:pPr>
              <w:spacing w:after="0"/>
              <w:rPr>
                <w:sz w:val="17"/>
                <w:szCs w:val="17"/>
                <w:color w:val="auto"/>
              </w:rPr>
            </w:pPr>
          </w:p>
        </w:tc>
        <w:tc>
          <w:tcPr>
            <w:tcW w:w="4480" w:type="dxa"/>
            <w:vAlign w:val="bottom"/>
            <w:tcBorders>
              <w:bottom w:val="single" w:sz="8" w:color="auto"/>
              <w:right w:val="single" w:sz="8" w:color="auto"/>
            </w:tcBorders>
          </w:tcPr>
          <w:p>
            <w:pPr>
              <w:spacing w:after="0"/>
              <w:rPr>
                <w:sz w:val="17"/>
                <w:szCs w:val="17"/>
                <w:color w:val="auto"/>
              </w:rPr>
            </w:pPr>
          </w:p>
        </w:tc>
      </w:tr>
      <w:tr>
        <w:trPr>
          <w:trHeight w:val="195"/>
        </w:trPr>
        <w:tc>
          <w:tcPr>
            <w:tcW w:w="520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Eighth (8th) anniversary and each anniversary thereafter</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0"/>
              </w:rPr>
              <w:t>The amount payable with respect to the previous anniversary,</w:t>
            </w:r>
          </w:p>
        </w:tc>
      </w:tr>
      <w:tr>
        <w:trPr>
          <w:trHeight w:val="230"/>
        </w:trPr>
        <w:tc>
          <w:tcPr>
            <w:tcW w:w="5200" w:type="dxa"/>
            <w:vAlign w:val="bottom"/>
            <w:tcBorders>
              <w:left w:val="single" w:sz="8" w:color="auto"/>
              <w:right w:val="single" w:sz="8" w:color="auto"/>
            </w:tcBorders>
          </w:tcPr>
          <w:p>
            <w:pPr>
              <w:spacing w:after="0"/>
              <w:rPr>
                <w:sz w:val="20"/>
                <w:szCs w:val="20"/>
                <w:color w:val="auto"/>
              </w:rPr>
            </w:pPr>
          </w:p>
        </w:tc>
        <w:tc>
          <w:tcPr>
            <w:tcW w:w="44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plus [***]</w:t>
            </w:r>
          </w:p>
        </w:tc>
      </w:tr>
      <w:tr>
        <w:trPr>
          <w:trHeight w:val="216"/>
        </w:trPr>
        <w:tc>
          <w:tcPr>
            <w:tcW w:w="5200" w:type="dxa"/>
            <w:vAlign w:val="bottom"/>
            <w:tcBorders>
              <w:left w:val="single" w:sz="8" w:color="auto"/>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r>
    </w:tbl>
    <w:p>
      <w:pPr>
        <w:spacing w:after="0" w:line="20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 xml:space="preserve">CytomX will pay the applicable Annual Maintenance Fee in accordance with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hereof within sixty</w:t>
      </w:r>
    </w:p>
    <w:p>
      <w:pPr>
        <w:spacing w:after="0" w:line="43" w:lineRule="exact"/>
        <w:rPr>
          <w:sz w:val="20"/>
          <w:szCs w:val="20"/>
          <w:color w:val="auto"/>
        </w:rPr>
      </w:pPr>
    </w:p>
    <w:p>
      <w:pPr>
        <w:jc w:val="both"/>
        <w:ind w:left="1740" w:hanging="3"/>
        <w:spacing w:after="0" w:line="232" w:lineRule="auto"/>
        <w:tabs>
          <w:tab w:leader="none" w:pos="2191"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days after the applicable anniversary of the Effective Date. Payment of Annual Maintenance Fees by CytomX shall not establish that CytomX has satisfied its due diligence obligations under this </w:t>
      </w:r>
      <w:r>
        <w:rPr>
          <w:rFonts w:ascii="Arial" w:cs="Arial" w:eastAsia="Arial" w:hAnsi="Arial"/>
          <w:sz w:val="22"/>
          <w:szCs w:val="22"/>
          <w:u w:val="single" w:color="auto"/>
          <w:color w:val="auto"/>
        </w:rPr>
        <w:t>Section 2.2</w:t>
      </w:r>
      <w:r>
        <w:rPr>
          <w:rFonts w:ascii="Arial" w:cs="Arial" w:eastAsia="Arial" w:hAnsi="Arial"/>
          <w:sz w:val="22"/>
          <w:szCs w:val="22"/>
          <w:color w:val="auto"/>
        </w:rPr>
        <w:t>. and such payments shall be given no consideration or weight in determining whether CytomX has satisfied such due diligence obligations. Anything contained in this Agreement to the contrary notwithstanding, CytomX shall have no obligation to pay Annual Maintenance Fees hereunder if the first filing of an IND in the U.S. or in any European Union country for any Licensed Product has occurred prior to the sixth (6</w:t>
      </w:r>
      <w:r>
        <w:rPr>
          <w:rFonts w:ascii="Arial" w:cs="Arial" w:eastAsia="Arial" w:hAnsi="Arial"/>
          <w:sz w:val="18"/>
          <w:szCs w:val="18"/>
          <w:color w:val="auto"/>
        </w:rPr>
        <w:t>th</w:t>
      </w:r>
      <w:r>
        <w:rPr>
          <w:rFonts w:ascii="Arial" w:cs="Arial" w:eastAsia="Arial" w:hAnsi="Arial"/>
          <w:sz w:val="22"/>
          <w:szCs w:val="22"/>
          <w:color w:val="auto"/>
        </w:rPr>
        <w:t>) anniversary of the Effective Date.</w:t>
      </w:r>
    </w:p>
    <w:p>
      <w:pPr>
        <w:spacing w:after="0" w:line="182"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b w:val="1"/>
          <w:bCs w:val="1"/>
          <w:color w:val="auto"/>
        </w:rPr>
        <w:t>Exceptions to Diligence Obligations</w:t>
      </w:r>
    </w:p>
    <w:p>
      <w:pPr>
        <w:spacing w:after="0" w:line="212" w:lineRule="exact"/>
        <w:rPr>
          <w:sz w:val="20"/>
          <w:szCs w:val="20"/>
          <w:color w:val="auto"/>
        </w:rPr>
      </w:pPr>
    </w:p>
    <w:p>
      <w:pPr>
        <w:jc w:val="both"/>
        <w:ind w:left="880" w:firstLine="816"/>
        <w:spacing w:after="0" w:line="236" w:lineRule="auto"/>
        <w:tabs>
          <w:tab w:leader="none" w:pos="1803"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this Agreement to the contrary, CytomX will be relieved from and will have no obligation to undertake any efforts with respect to any diligence obligation under </w:t>
      </w:r>
      <w:r>
        <w:rPr>
          <w:rFonts w:ascii="Arial" w:cs="Arial" w:eastAsia="Arial" w:hAnsi="Arial"/>
          <w:sz w:val="22"/>
          <w:szCs w:val="22"/>
          <w:u w:val="single" w:color="auto"/>
          <w:color w:val="auto"/>
        </w:rPr>
        <w:t>Section 3.2.1</w:t>
      </w:r>
      <w:r>
        <w:rPr>
          <w:rFonts w:ascii="Arial" w:cs="Arial" w:eastAsia="Arial" w:hAnsi="Arial"/>
          <w:sz w:val="22"/>
          <w:szCs w:val="22"/>
          <w:color w:val="auto"/>
        </w:rPr>
        <w:t xml:space="preserve"> with respect to a given Licensed Product (each, a “</w:t>
      </w:r>
      <w:r>
        <w:rPr>
          <w:rFonts w:ascii="Arial" w:cs="Arial" w:eastAsia="Arial" w:hAnsi="Arial"/>
          <w:sz w:val="22"/>
          <w:szCs w:val="22"/>
          <w:b w:val="1"/>
          <w:bCs w:val="1"/>
          <w:color w:val="auto"/>
        </w:rPr>
        <w:t>Diligence Obligation</w:t>
      </w:r>
      <w:r>
        <w:rPr>
          <w:rFonts w:ascii="Arial" w:cs="Arial" w:eastAsia="Arial" w:hAnsi="Arial"/>
          <w:sz w:val="22"/>
          <w:szCs w:val="22"/>
          <w:color w:val="auto"/>
        </w:rPr>
        <w:t>”) in the event that ImmunoGen materially breaches any of its Development or other obligations under this Agreement related to such Licensed Product upon which performance of the applicable Diligence Obligation is dependent.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3" w:lineRule="exact"/>
        <w:rPr>
          <w:sz w:val="20"/>
          <w:szCs w:val="20"/>
          <w:color w:val="auto"/>
        </w:rPr>
      </w:pPr>
    </w:p>
    <w:p>
      <w:pPr>
        <w:ind w:right="200" w:firstLine="8"/>
        <w:spacing w:after="0" w:line="259" w:lineRule="auto"/>
        <w:tabs>
          <w:tab w:leader="none" w:pos="4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spacing w:after="0" w:line="256" w:lineRule="auto"/>
        <w:rPr>
          <w:sz w:val="20"/>
          <w:szCs w:val="20"/>
          <w:color w:val="auto"/>
        </w:rPr>
      </w:pPr>
      <w:r>
        <w:rPr>
          <w:rFonts w:ascii="Arial" w:cs="Arial" w:eastAsia="Arial" w:hAnsi="Arial"/>
          <w:sz w:val="22"/>
          <w:szCs w:val="22"/>
          <w:color w:val="auto"/>
        </w:rPr>
        <w:t xml:space="preserve">2.2.3. </w:t>
      </w:r>
      <w:r>
        <w:rPr>
          <w:rFonts w:ascii="Arial" w:cs="Arial" w:eastAsia="Arial" w:hAnsi="Arial"/>
          <w:sz w:val="22"/>
          <w:szCs w:val="22"/>
          <w:b w:val="1"/>
          <w:bCs w:val="1"/>
          <w:color w:val="auto"/>
        </w:rPr>
        <w:t>Remedies for Breach of Diligence Obligations</w:t>
      </w:r>
      <w:r>
        <w:rPr>
          <w:rFonts w:ascii="Arial" w:cs="Arial" w:eastAsia="Arial" w:hAnsi="Arial"/>
          <w:sz w:val="22"/>
          <w:szCs w:val="22"/>
          <w:color w:val="auto"/>
        </w:rPr>
        <w:t>. A material breach of any Diligence Obligation by CytomX shall be deemed to be a Material Breach by CytomX hereunder.</w:t>
      </w:r>
    </w:p>
    <w:p>
      <w:pPr>
        <w:spacing w:after="0" w:line="16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Joint Development Committee</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74" w:lineRule="auto"/>
        <w:rPr>
          <w:sz w:val="20"/>
          <w:szCs w:val="20"/>
          <w:color w:val="auto"/>
        </w:rPr>
      </w:pPr>
      <w:r>
        <w:rPr>
          <w:rFonts w:ascii="Arial" w:cs="Arial" w:eastAsia="Arial" w:hAnsi="Arial"/>
          <w:sz w:val="19"/>
          <w:szCs w:val="19"/>
          <w:color w:val="auto"/>
        </w:rPr>
        <w:t xml:space="preserve">2.3.1. </w:t>
      </w:r>
      <w:r>
        <w:rPr>
          <w:rFonts w:ascii="Arial" w:cs="Arial" w:eastAsia="Arial" w:hAnsi="Arial"/>
          <w:sz w:val="19"/>
          <w:szCs w:val="19"/>
          <w:b w:val="1"/>
          <w:bCs w:val="1"/>
          <w:color w:val="auto"/>
        </w:rPr>
        <w:t>Formation of the Joint Development Committee</w:t>
      </w:r>
      <w:r>
        <w:rPr>
          <w:rFonts w:ascii="Arial" w:cs="Arial" w:eastAsia="Arial" w:hAnsi="Arial"/>
          <w:sz w:val="19"/>
          <w:szCs w:val="19"/>
          <w:color w:val="auto"/>
        </w:rPr>
        <w:t>. As soon as practicable after the Effective Date, CytomX and ImmunoGen shall establish a “</w:t>
      </w:r>
      <w:r>
        <w:rPr>
          <w:rFonts w:ascii="Arial" w:cs="Arial" w:eastAsia="Arial" w:hAnsi="Arial"/>
          <w:sz w:val="19"/>
          <w:szCs w:val="19"/>
          <w:b w:val="1"/>
          <w:bCs w:val="1"/>
          <w:color w:val="auto"/>
        </w:rPr>
        <w:t>Joint Development Committee</w:t>
      </w:r>
      <w:r>
        <w:rPr>
          <w:rFonts w:ascii="Arial" w:cs="Arial" w:eastAsia="Arial" w:hAnsi="Arial"/>
          <w:sz w:val="19"/>
          <w:szCs w:val="19"/>
          <w:color w:val="auto"/>
        </w:rPr>
        <w:t>” (or “</w:t>
      </w:r>
      <w:r>
        <w:rPr>
          <w:rFonts w:ascii="Arial" w:cs="Arial" w:eastAsia="Arial" w:hAnsi="Arial"/>
          <w:sz w:val="19"/>
          <w:szCs w:val="19"/>
          <w:b w:val="1"/>
          <w:bCs w:val="1"/>
          <w:color w:val="auto"/>
        </w:rPr>
        <w:t>JDC</w:t>
      </w:r>
      <w:r>
        <w:rPr>
          <w:rFonts w:ascii="Arial" w:cs="Arial" w:eastAsia="Arial" w:hAnsi="Arial"/>
          <w:sz w:val="19"/>
          <w:szCs w:val="19"/>
          <w:color w:val="auto"/>
        </w:rPr>
        <w:t>”) to coordinate the sharing of safety data and minutes of meetings with Regulatory Authorities with regard to Licensed Products. The JDC shall also serve as a forum to facilitate communications between the Parties regarding this Agreement. The JDC shall be comprised of two (2) representatives from each Party as appointed by such Party, with such representatives possessing appropriate expertise and seniority. The JDC may change its size from time to time by mutual consent of its members. A Party may replace one or more of its representatives from time to time upon written notice to the other Party. The JDC shall exist until the expiration of the Term or earlier termination of the Agreement, unless the Parties otherwise agree in writing, provided that CytomX may dissolve the JDC upon the achievement of the first Regulatory Marketing Approval for any Licensed Product in any country or other jurisdiction in the Territory.</w:t>
      </w:r>
    </w:p>
    <w:p>
      <w:pPr>
        <w:spacing w:after="0" w:line="396" w:lineRule="exact"/>
        <w:rPr>
          <w:sz w:val="20"/>
          <w:szCs w:val="20"/>
          <w:color w:val="auto"/>
        </w:rPr>
      </w:pPr>
    </w:p>
    <w:p>
      <w:pPr>
        <w:jc w:val="both"/>
        <w:ind w:left="1760"/>
        <w:spacing w:after="0" w:line="244" w:lineRule="auto"/>
        <w:rPr>
          <w:sz w:val="20"/>
          <w:szCs w:val="20"/>
          <w:color w:val="auto"/>
        </w:rPr>
      </w:pPr>
      <w:r>
        <w:rPr>
          <w:rFonts w:ascii="Arial" w:cs="Arial" w:eastAsia="Arial" w:hAnsi="Arial"/>
          <w:sz w:val="21"/>
          <w:szCs w:val="21"/>
          <w:color w:val="auto"/>
        </w:rPr>
        <w:t xml:space="preserve">2.3.2. </w:t>
      </w:r>
      <w:r>
        <w:rPr>
          <w:rFonts w:ascii="Arial" w:cs="Arial" w:eastAsia="Arial" w:hAnsi="Arial"/>
          <w:sz w:val="21"/>
          <w:szCs w:val="21"/>
          <w:b w:val="1"/>
          <w:bCs w:val="1"/>
          <w:color w:val="auto"/>
        </w:rPr>
        <w:t>Chairperson and Secretary of the Joint Development Committee</w:t>
      </w:r>
      <w:r>
        <w:rPr>
          <w:rFonts w:ascii="Arial" w:cs="Arial" w:eastAsia="Arial" w:hAnsi="Arial"/>
          <w:sz w:val="21"/>
          <w:szCs w:val="21"/>
          <w:color w:val="auto"/>
        </w:rPr>
        <w:t>. CytomX shall designate a chairperson of the JDC, and a secretary of the JDC shall be designated by agreement of the members of the JDC. CytomX may change the designation of the chairperson from time to time upon written notice to ImmunoGen. The chairperson or his or her designee shall be responsible for scheduling meetings of the JDC, preparing agendas for meetings and sending to all JDC members notices of all regular meetings and agendas for such meetings at least five (5) Business Days before such meetings. The chairperson shall solicit input from both Parties regarding matters to be included on the agenda, and any matter either Party desires to have included on the agenda shall be included for discussion. Nothing herein shall be construed to prohibit the JDC from discussing or acting on matters not included on the applicable agenda. The secretary shall (a) record the minutes of the meeting, (b) circulate copies of meeting minutes to the Parties and each JDC member promptly following the meeting for review, comment and approval by the JDC members and (c) finalize approved meeting minutes. The chairperson shall be a member of the JDC but the secretary need not be a member of the JDC.</w:t>
      </w:r>
    </w:p>
    <w:p>
      <w:pPr>
        <w:spacing w:after="0" w:line="185" w:lineRule="exact"/>
        <w:rPr>
          <w:sz w:val="20"/>
          <w:szCs w:val="20"/>
          <w:color w:val="auto"/>
        </w:rPr>
      </w:pPr>
    </w:p>
    <w:p>
      <w:pPr>
        <w:jc w:val="both"/>
        <w:ind w:left="1760"/>
        <w:spacing w:after="0" w:line="251" w:lineRule="auto"/>
        <w:rPr>
          <w:sz w:val="20"/>
          <w:szCs w:val="20"/>
          <w:color w:val="auto"/>
        </w:rPr>
      </w:pPr>
      <w:r>
        <w:rPr>
          <w:rFonts w:ascii="Arial" w:cs="Arial" w:eastAsia="Arial" w:hAnsi="Arial"/>
          <w:sz w:val="21"/>
          <w:szCs w:val="21"/>
          <w:color w:val="auto"/>
        </w:rPr>
        <w:t xml:space="preserve">2.3.3. </w:t>
      </w:r>
      <w:r>
        <w:rPr>
          <w:rFonts w:ascii="Arial" w:cs="Arial" w:eastAsia="Arial" w:hAnsi="Arial"/>
          <w:sz w:val="21"/>
          <w:szCs w:val="21"/>
          <w:b w:val="1"/>
          <w:bCs w:val="1"/>
          <w:color w:val="auto"/>
        </w:rPr>
        <w:t>Meetings</w:t>
      </w:r>
      <w:r>
        <w:rPr>
          <w:rFonts w:ascii="Arial" w:cs="Arial" w:eastAsia="Arial" w:hAnsi="Arial"/>
          <w:sz w:val="21"/>
          <w:szCs w:val="21"/>
          <w:color w:val="auto"/>
        </w:rPr>
        <w:t xml:space="preserve">. The JDC shall meet at least three (3) times each Calendar Year (unless the Parties mutually agree in advance of any scheduled meeting that there is no need for such meeting, in which case the next JDC meeting shall also be scheduled as agreed upon by the Parties) until it has been terminated in accordance with </w:t>
      </w:r>
      <w:r>
        <w:rPr>
          <w:rFonts w:ascii="Arial" w:cs="Arial" w:eastAsia="Arial" w:hAnsi="Arial"/>
          <w:sz w:val="21"/>
          <w:szCs w:val="21"/>
          <w:u w:val="single" w:color="auto"/>
          <w:color w:val="auto"/>
        </w:rPr>
        <w:t>Section 2.3.1</w:t>
      </w:r>
      <w:r>
        <w:rPr>
          <w:rFonts w:ascii="Arial" w:cs="Arial" w:eastAsia="Arial" w:hAnsi="Arial"/>
          <w:sz w:val="21"/>
          <w:szCs w:val="21"/>
          <w:color w:val="auto"/>
        </w:rPr>
        <w:t xml:space="preserve"> hereof at dates and times mutually agreed by the JDC. The initial meeting of the JDC shall be held within sixty (60) days after the Effective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3" w:lineRule="exact"/>
        <w:rPr>
          <w:sz w:val="20"/>
          <w:szCs w:val="20"/>
          <w:color w:val="auto"/>
        </w:rPr>
      </w:pPr>
    </w:p>
    <w:p>
      <w:pPr>
        <w:ind w:right="200" w:firstLine="8"/>
        <w:spacing w:after="0" w:line="259" w:lineRule="auto"/>
        <w:tabs>
          <w:tab w:leader="none" w:pos="4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70" w:lineRule="auto"/>
        <w:rPr>
          <w:sz w:val="20"/>
          <w:szCs w:val="20"/>
          <w:color w:val="auto"/>
        </w:rPr>
      </w:pPr>
      <w:r>
        <w:rPr>
          <w:rFonts w:ascii="Arial" w:cs="Arial" w:eastAsia="Arial" w:hAnsi="Arial"/>
          <w:sz w:val="19"/>
          <w:szCs w:val="19"/>
          <w:color w:val="auto"/>
        </w:rPr>
        <w:t>Either Party may call a special meeting of the JDC on fifteen (15) days written notice to the other Party’s members of the JDC (or upon such shorter notice as exigent circumstances may require). Such written notice shall include an agenda for the special meeting. In-person meetings, including special meetings, of the JDC shall alternate between the offices of the Parties, unless otherwise agreed upon by the members of the JDC. Meetings of the JDC may be held telephonically or by video conference; provided, however, that at least two</w:t>
      </w:r>
    </w:p>
    <w:p>
      <w:pPr>
        <w:spacing w:after="0" w:line="4" w:lineRule="exact"/>
        <w:rPr>
          <w:sz w:val="20"/>
          <w:szCs w:val="20"/>
          <w:color w:val="auto"/>
        </w:rPr>
      </w:pPr>
    </w:p>
    <w:p>
      <w:pPr>
        <w:jc w:val="both"/>
        <w:ind w:left="1760" w:firstLine="3"/>
        <w:spacing w:after="0" w:line="280" w:lineRule="auto"/>
        <w:tabs>
          <w:tab w:leader="none" w:pos="2086" w:val="left"/>
        </w:tabs>
        <w:numPr>
          <w:ilvl w:val="0"/>
          <w:numId w:val="79"/>
        </w:numPr>
        <w:rPr>
          <w:rFonts w:ascii="Arial" w:cs="Arial" w:eastAsia="Arial" w:hAnsi="Arial"/>
          <w:sz w:val="19"/>
          <w:szCs w:val="19"/>
          <w:color w:val="auto"/>
        </w:rPr>
      </w:pPr>
      <w:r>
        <w:rPr>
          <w:rFonts w:ascii="Arial" w:cs="Arial" w:eastAsia="Arial" w:hAnsi="Arial"/>
          <w:sz w:val="19"/>
          <w:szCs w:val="19"/>
          <w:color w:val="auto"/>
        </w:rPr>
        <w:t>meetings per year shall be held in-person. Meetings of the JDC shall be effective only if at least one (1) representative of each Party is in attendance or participating in the meeting. Members of the JDC shall have the right to participate in at meetings held by telephone or video conference. In addition, the JDC may act on any matter or issue without a meeting if it is documented in a written consent signed by each member of the JDC.</w:t>
      </w:r>
    </w:p>
    <w:p>
      <w:pPr>
        <w:spacing w:after="0" w:line="145" w:lineRule="exact"/>
        <w:rPr>
          <w:sz w:val="20"/>
          <w:szCs w:val="20"/>
          <w:color w:val="auto"/>
        </w:rPr>
      </w:pPr>
    </w:p>
    <w:p>
      <w:pPr>
        <w:jc w:val="both"/>
        <w:ind w:left="1760"/>
        <w:spacing w:after="0" w:line="275" w:lineRule="auto"/>
        <w:rPr>
          <w:sz w:val="20"/>
          <w:szCs w:val="20"/>
          <w:color w:val="auto"/>
        </w:rPr>
      </w:pPr>
      <w:r>
        <w:rPr>
          <w:rFonts w:ascii="Arial" w:cs="Arial" w:eastAsia="Arial" w:hAnsi="Arial"/>
          <w:sz w:val="19"/>
          <w:szCs w:val="19"/>
          <w:color w:val="auto"/>
        </w:rPr>
        <w:t xml:space="preserve">2.3.4. </w:t>
      </w:r>
      <w:r>
        <w:rPr>
          <w:rFonts w:ascii="Arial" w:cs="Arial" w:eastAsia="Arial" w:hAnsi="Arial"/>
          <w:sz w:val="19"/>
          <w:szCs w:val="19"/>
          <w:b w:val="1"/>
          <w:bCs w:val="1"/>
          <w:color w:val="auto"/>
        </w:rPr>
        <w:t>Responsibilities of the Joint Development Committee</w:t>
      </w:r>
      <w:r>
        <w:rPr>
          <w:rFonts w:ascii="Arial" w:cs="Arial" w:eastAsia="Arial" w:hAnsi="Arial"/>
          <w:sz w:val="19"/>
          <w:szCs w:val="19"/>
          <w:color w:val="auto"/>
        </w:rPr>
        <w:t>. The JDC shall be responsible for (a) receiving and reviewing all safety data, relevant regulatory information and other related information obtained by either Party in connection with the Development, Manufacture, use and Commercialization of Licensed Products; (b) facilitating communication between the Parties, (c) resolving Disputes between the Parties, such as Disputes about interpretation of this Agreement, understanding that CytomX has sole authority over the Development, Manufacturing, use and Commercialization of Licensed Products; and (d) such other functions as expressly specified hereunder or as agreed by the Parties. At the time that the first Licensed Product enters a clinical trial, the Parties shall negotiate in good faith the terms of a separate written safety data exchange agreement that, among other things, will govern the exchange of pharmacovigilance information.</w:t>
      </w:r>
    </w:p>
    <w:p>
      <w:pPr>
        <w:spacing w:after="0" w:line="151" w:lineRule="exact"/>
        <w:rPr>
          <w:sz w:val="20"/>
          <w:szCs w:val="20"/>
          <w:color w:val="auto"/>
        </w:rPr>
      </w:pPr>
    </w:p>
    <w:p>
      <w:pPr>
        <w:jc w:val="both"/>
        <w:ind w:left="1760"/>
        <w:spacing w:after="0" w:line="289" w:lineRule="auto"/>
        <w:rPr>
          <w:sz w:val="20"/>
          <w:szCs w:val="20"/>
          <w:color w:val="auto"/>
        </w:rPr>
      </w:pPr>
      <w:r>
        <w:rPr>
          <w:rFonts w:ascii="Arial" w:cs="Arial" w:eastAsia="Arial" w:hAnsi="Arial"/>
          <w:sz w:val="19"/>
          <w:szCs w:val="19"/>
          <w:color w:val="auto"/>
        </w:rPr>
        <w:t xml:space="preserve">2.3.5. </w:t>
      </w:r>
      <w:r>
        <w:rPr>
          <w:rFonts w:ascii="Arial" w:cs="Arial" w:eastAsia="Arial" w:hAnsi="Arial"/>
          <w:sz w:val="19"/>
          <w:szCs w:val="19"/>
          <w:b w:val="1"/>
          <w:bCs w:val="1"/>
          <w:color w:val="auto"/>
        </w:rPr>
        <w:t>Resolution by Consensus</w:t>
      </w:r>
      <w:r>
        <w:rPr>
          <w:rFonts w:ascii="Arial" w:cs="Arial" w:eastAsia="Arial" w:hAnsi="Arial"/>
          <w:sz w:val="19"/>
          <w:szCs w:val="19"/>
          <w:color w:val="auto"/>
        </w:rPr>
        <w:t xml:space="preserve">. All resolution of Disputes by the JDC shall be made by unanimous agreement of both Parties’ representatives, with each Party having a single vote, irrespective of the number of JDC representatives in attendance at a meeting. If the JDC cannot or does not reach unanimous agreement on a Dispute, then such Dispute shall be resolved in accordance with </w:t>
      </w:r>
      <w:r>
        <w:rPr>
          <w:rFonts w:ascii="Arial" w:cs="Arial" w:eastAsia="Arial" w:hAnsi="Arial"/>
          <w:sz w:val="19"/>
          <w:szCs w:val="19"/>
          <w:u w:val="single" w:color="auto"/>
          <w:color w:val="auto"/>
        </w:rPr>
        <w:t>Section 10.9</w:t>
      </w:r>
      <w:r>
        <w:rPr>
          <w:rFonts w:ascii="Arial" w:cs="Arial" w:eastAsia="Arial" w:hAnsi="Arial"/>
          <w:sz w:val="19"/>
          <w:szCs w:val="19"/>
          <w:color w:val="auto"/>
        </w:rPr>
        <w:t xml:space="preserve"> hereof.</w:t>
      </w:r>
    </w:p>
    <w:p>
      <w:pPr>
        <w:spacing w:after="0" w:line="136" w:lineRule="exact"/>
        <w:rPr>
          <w:sz w:val="20"/>
          <w:szCs w:val="20"/>
          <w:color w:val="auto"/>
        </w:rPr>
      </w:pPr>
    </w:p>
    <w:p>
      <w:pPr>
        <w:jc w:val="both"/>
        <w:ind w:left="880"/>
        <w:spacing w:after="0" w:line="254"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color w:val="auto"/>
        </w:rPr>
        <w:t>Alliance Managers</w:t>
      </w:r>
      <w:r>
        <w:rPr>
          <w:rFonts w:ascii="Arial" w:cs="Arial" w:eastAsia="Arial" w:hAnsi="Arial"/>
          <w:sz w:val="21"/>
          <w:szCs w:val="21"/>
          <w:color w:val="auto"/>
        </w:rPr>
        <w:t>. In addition to the foregoing governance provisions, each of the Parties shall appoint a single individual to serve as that Party’s alliance manager (“</w:t>
      </w:r>
      <w:r>
        <w:rPr>
          <w:rFonts w:ascii="Arial" w:cs="Arial" w:eastAsia="Arial" w:hAnsi="Arial"/>
          <w:sz w:val="21"/>
          <w:szCs w:val="21"/>
          <w:b w:val="1"/>
          <w:bCs w:val="1"/>
          <w:color w:val="auto"/>
        </w:rPr>
        <w:t>Alliance Manager</w:t>
      </w:r>
      <w:r>
        <w:rPr>
          <w:rFonts w:ascii="Arial" w:cs="Arial" w:eastAsia="Arial" w:hAnsi="Arial"/>
          <w:sz w:val="21"/>
          <w:szCs w:val="21"/>
          <w:color w:val="auto"/>
        </w:rPr>
        <w:t>”). The role of each Alliance Manager will be to participate and otherwise facilitate the relationship between the Parties as established by this Agreement. A Party may replace its Alliance Manager from time to time upon written notice to the other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3" w:lineRule="exact"/>
        <w:rPr>
          <w:sz w:val="20"/>
          <w:szCs w:val="20"/>
          <w:color w:val="auto"/>
        </w:rPr>
      </w:pPr>
    </w:p>
    <w:p>
      <w:pPr>
        <w:ind w:right="200" w:firstLine="8"/>
        <w:spacing w:after="0" w:line="259" w:lineRule="auto"/>
        <w:tabs>
          <w:tab w:leader="none" w:pos="4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ind w:left="3360"/>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b w:val="1"/>
          <w:bCs w:val="1"/>
          <w:color w:val="auto"/>
        </w:rPr>
        <w:t>Updates and Reports; Product Recalls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75" w:lineRule="auto"/>
        <w:rPr>
          <w:sz w:val="20"/>
          <w:szCs w:val="20"/>
          <w:color w:val="auto"/>
        </w:rPr>
      </w:pPr>
      <w:r>
        <w:rPr>
          <w:rFonts w:ascii="Arial" w:cs="Arial" w:eastAsia="Arial" w:hAnsi="Arial"/>
          <w:sz w:val="19"/>
          <w:szCs w:val="19"/>
          <w:color w:val="auto"/>
        </w:rPr>
        <w:t xml:space="preserve">2.5.1. </w:t>
      </w:r>
      <w:r>
        <w:rPr>
          <w:rFonts w:ascii="Arial" w:cs="Arial" w:eastAsia="Arial" w:hAnsi="Arial"/>
          <w:sz w:val="19"/>
          <w:szCs w:val="19"/>
          <w:b w:val="1"/>
          <w:bCs w:val="1"/>
          <w:color w:val="auto"/>
        </w:rPr>
        <w:t>Development Updates</w:t>
      </w:r>
      <w:r>
        <w:rPr>
          <w:rFonts w:ascii="Arial" w:cs="Arial" w:eastAsia="Arial" w:hAnsi="Arial"/>
          <w:sz w:val="19"/>
          <w:szCs w:val="19"/>
          <w:color w:val="auto"/>
        </w:rPr>
        <w:t xml:space="preserve">. Upon the request of ImmunoGen, CytomX shall provide ImmunoGen with brief written reports, which ImmunoGen may request no more frequently than once per Calendar Year until satisfaction of CytomX’s obligations under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hereof, that shall summarize CytomX’s efforts to Develop the Licensed Products in the Field in the Territory in sufficient detail to establish that CytomX is using Commercially Reasonable Efforts to Develop the Licensed Product, identify the applications for Regulatory Approval that CytomX or its Affiliates or Sublicensees have filed, sought or attempted to obtain in the prior twelve (12)-month period, and any they reasonably expect to file, seek or attempt to obtain in the following twelve (12)-month period. The Parties agree that the minutes of the JDC meetings may serve as reports hereunder, to the extent such minutes adequately address the above subject matter.</w:t>
      </w:r>
    </w:p>
    <w:p>
      <w:pPr>
        <w:spacing w:after="0" w:line="151" w:lineRule="exact"/>
        <w:rPr>
          <w:sz w:val="20"/>
          <w:szCs w:val="20"/>
          <w:color w:val="auto"/>
        </w:rPr>
      </w:pPr>
    </w:p>
    <w:p>
      <w:pPr>
        <w:jc w:val="both"/>
        <w:ind w:left="1760"/>
        <w:spacing w:after="0" w:line="245" w:lineRule="auto"/>
        <w:rPr>
          <w:sz w:val="20"/>
          <w:szCs w:val="20"/>
          <w:color w:val="auto"/>
        </w:rPr>
      </w:pPr>
      <w:r>
        <w:rPr>
          <w:rFonts w:ascii="Arial" w:cs="Arial" w:eastAsia="Arial" w:hAnsi="Arial"/>
          <w:sz w:val="21"/>
          <w:szCs w:val="21"/>
          <w:color w:val="auto"/>
        </w:rPr>
        <w:t xml:space="preserve">2.5.2. </w:t>
      </w:r>
      <w:r>
        <w:rPr>
          <w:rFonts w:ascii="Arial" w:cs="Arial" w:eastAsia="Arial" w:hAnsi="Arial"/>
          <w:sz w:val="21"/>
          <w:szCs w:val="21"/>
          <w:b w:val="1"/>
          <w:bCs w:val="1"/>
          <w:color w:val="auto"/>
        </w:rPr>
        <w:t>Correspondence for Licensed Products</w:t>
      </w:r>
      <w:r>
        <w:rPr>
          <w:rFonts w:ascii="Arial" w:cs="Arial" w:eastAsia="Arial" w:hAnsi="Arial"/>
          <w:sz w:val="21"/>
          <w:szCs w:val="21"/>
          <w:color w:val="auto"/>
        </w:rPr>
        <w:t>. To the extent reasonably practicable and subject to any Third Party confidentiality obligations, CytomX shall provide ImmunoGen with copies of any material documents or correspondence pertaining to ImmunoGen’s manufacture or supply of Cytotoxic Compound or Licensed Product in drug substance form and prepared for submission to any Regulatory Authority and any material documents or other correspondence received from any Regulatory Authority pertaining to ImmunoGen’s manufacture or supply of Cytotoxic Compound or Licensed Product in drug substance form. ImmunoGen shall complete its review within ten (10) Business Days after receipt of the proposed submission. When requested in writing, ImmunoGen shall use commercially reasonable efforts to provide assistance to CytomX in obtaining Regulatory Approvals for Licensed Products. Notwithstanding the foregoing, CytomX shall have the sole responsibility for, and ImmunoGen agrees that CytomX shall be the sole owner of, any Regulatory Approval for the Licensed Products.</w:t>
      </w:r>
    </w:p>
    <w:p>
      <w:pPr>
        <w:spacing w:after="0" w:line="178" w:lineRule="exact"/>
        <w:rPr>
          <w:sz w:val="20"/>
          <w:szCs w:val="20"/>
          <w:color w:val="auto"/>
        </w:rPr>
      </w:pPr>
    </w:p>
    <w:p>
      <w:pPr>
        <w:jc w:val="both"/>
        <w:ind w:left="1760"/>
        <w:spacing w:after="0" w:line="272" w:lineRule="auto"/>
        <w:rPr>
          <w:sz w:val="20"/>
          <w:szCs w:val="20"/>
          <w:color w:val="auto"/>
        </w:rPr>
      </w:pPr>
      <w:r>
        <w:rPr>
          <w:rFonts w:ascii="Arial" w:cs="Arial" w:eastAsia="Arial" w:hAnsi="Arial"/>
          <w:sz w:val="19"/>
          <w:szCs w:val="19"/>
          <w:color w:val="auto"/>
        </w:rPr>
        <w:t xml:space="preserve">2.5.3. </w:t>
      </w:r>
      <w:r>
        <w:rPr>
          <w:rFonts w:ascii="Arial" w:cs="Arial" w:eastAsia="Arial" w:hAnsi="Arial"/>
          <w:sz w:val="19"/>
          <w:szCs w:val="19"/>
          <w:b w:val="1"/>
          <w:bCs w:val="1"/>
          <w:color w:val="auto"/>
        </w:rPr>
        <w:t>Product Recalls</w:t>
      </w:r>
      <w:r>
        <w:rPr>
          <w:rFonts w:ascii="Arial" w:cs="Arial" w:eastAsia="Arial" w:hAnsi="Arial"/>
          <w:sz w:val="19"/>
          <w:szCs w:val="19"/>
          <w:color w:val="auto"/>
        </w:rPr>
        <w:t>. In the event any Regulatory Authority issues or requests a recall or takes similar action with respect to a Licensed Product that CytomX reasonably believes is or may be attributable to or otherwise relates to the Licensed Intellectual Property, or in the event either Party reasonably believes that an event, incident or circumstance has occurred that may result in the need for such a recall, such Party shall promptly notify the other Party thereof by telephone, facsimile or email. Following such notification, CytomX shall decide and have control of whether to conduct a recall or market withdrawal (except in the event of a recall or market withdrawal mandated by a Regulatory Authority, in which case it shall be required) or take such other corrective action in any country and the manner in which any such recall, market withdrawal or corrective action shall be conducted, provided that CytomX shall keep ImmunoGen informed regarding any such recall, market withdrawal or corrective action as ImmunoGen from time to time may reasonably request, but only to the extent CytomX is legally permitted to do so. CytomX shall bear all expenses of any such recall, market withdrawal or corrective action, including, without limitation, expenses of notification, destruction and return of the affected Licensed Product and any refund to customers of the amounts paid for such Licensed Product.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3" w:lineRule="exact"/>
        <w:rPr>
          <w:sz w:val="20"/>
          <w:szCs w:val="20"/>
          <w:color w:val="auto"/>
        </w:rPr>
      </w:pPr>
    </w:p>
    <w:p>
      <w:pPr>
        <w:ind w:right="200" w:firstLine="8"/>
        <w:spacing w:after="0" w:line="259" w:lineRule="auto"/>
        <w:tabs>
          <w:tab w:leader="none" w:pos="43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spacing w:after="0" w:line="239" w:lineRule="auto"/>
        <w:rPr>
          <w:sz w:val="20"/>
          <w:szCs w:val="20"/>
          <w:color w:val="auto"/>
        </w:rPr>
      </w:pPr>
      <w:r>
        <w:rPr>
          <w:rFonts w:ascii="Arial" w:cs="Arial" w:eastAsia="Arial" w:hAnsi="Arial"/>
          <w:sz w:val="22"/>
          <w:szCs w:val="22"/>
          <w:color w:val="auto"/>
        </w:rPr>
        <w:t xml:space="preserve">2.5.4.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All reports, updates, product complaints and other information provided by the Disclosing Party to the Receiving Party under this Agreement (including under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2.5</w:t>
      </w:r>
      <w:r>
        <w:rPr>
          <w:rFonts w:ascii="Arial" w:cs="Arial" w:eastAsia="Arial" w:hAnsi="Arial"/>
          <w:sz w:val="22"/>
          <w:szCs w:val="22"/>
          <w:color w:val="auto"/>
        </w:rPr>
        <w:t xml:space="preserve">), shall be considered Confidential Information of the Disclosing Party, subject to the terms of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hereof.</w:t>
      </w:r>
    </w:p>
    <w:p>
      <w:pPr>
        <w:spacing w:after="0" w:line="18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b w:val="1"/>
          <w:bCs w:val="1"/>
          <w:color w:val="auto"/>
        </w:rPr>
        <w:t>Transfer and Use of Proprietary Materials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71" w:lineRule="auto"/>
        <w:rPr>
          <w:sz w:val="20"/>
          <w:szCs w:val="20"/>
          <w:color w:val="auto"/>
        </w:rPr>
      </w:pPr>
      <w:r>
        <w:rPr>
          <w:rFonts w:ascii="Arial" w:cs="Arial" w:eastAsia="Arial" w:hAnsi="Arial"/>
          <w:sz w:val="19"/>
          <w:szCs w:val="19"/>
          <w:color w:val="auto"/>
        </w:rPr>
        <w:t xml:space="preserve">2.6.1. </w:t>
      </w:r>
      <w:r>
        <w:rPr>
          <w:rFonts w:ascii="Arial" w:cs="Arial" w:eastAsia="Arial" w:hAnsi="Arial"/>
          <w:sz w:val="19"/>
          <w:szCs w:val="19"/>
          <w:b w:val="1"/>
          <w:bCs w:val="1"/>
          <w:color w:val="auto"/>
        </w:rPr>
        <w:t>Transfer and Use of ImmunoGen Proprietary Materials</w:t>
      </w:r>
      <w:r>
        <w:rPr>
          <w:rFonts w:ascii="Arial" w:cs="Arial" w:eastAsia="Arial" w:hAnsi="Arial"/>
          <w:sz w:val="19"/>
          <w:szCs w:val="19"/>
          <w:color w:val="auto"/>
        </w:rPr>
        <w:t>. From time to time during the Term, ImmunoGen may provide CytomX with ImmunoGen Proprietary Materials for use in the Development and Manufacture of Licensed Products under this Agreement. ImmunoGen’s Proprietary Materials are provided by ImmunoGen on an “as-is” basis without representation or warranty of any type, express or implied, including any representation or warranty of merchantability, non-infringement, title or fitness for a particular purpose, each of which is hereby disclaimed by ImmunoGen. In connection with the foregoing, CytomX agrees that (a) it shall not use ImmunoGen’s Proprietary Materials provided under this Agreement for any purpose other than exercising its rights and performing its obligations hereunder; (b) it shall not use ImmunoGen Proprietary Materials provided under this Agreement in any human subject; (c) it shall use ImmunoGen Proprietary Materials in compliance with all Applicable Laws; (d) it does not acquire any right, title or interest in or to ImmunoGen Proprietary Materials as a result of such provision by ImmunoGen; and (e) upon expiration or termination of this Agreement for any reason, CytomX shall, if and as instructed by ImmunoGen, either destroy or return ImmunoGen Proprietary Materials provided under this Agreement that are not the subject of a continuing license hereunder. CytomX shall be entitled to transfer ImmunoGen Proprietary Materials to any Affiliate, Sublicensee or Permitted Third Party Service Provider under terms obligating such Affiliate, Sublicensee or Permitted Third Party Service Provider not to use or transfer such ImmunoGen Proprietary Materials except in compliance with the preceding sentence.</w:t>
      </w:r>
    </w:p>
    <w:p>
      <w:pPr>
        <w:spacing w:after="0" w:line="200" w:lineRule="exact"/>
        <w:rPr>
          <w:sz w:val="20"/>
          <w:szCs w:val="20"/>
          <w:color w:val="auto"/>
        </w:rPr>
      </w:pPr>
    </w:p>
    <w:p>
      <w:pPr>
        <w:spacing w:after="0" w:line="201" w:lineRule="exact"/>
        <w:rPr>
          <w:sz w:val="20"/>
          <w:szCs w:val="20"/>
          <w:color w:val="auto"/>
        </w:rPr>
      </w:pPr>
    </w:p>
    <w:p>
      <w:pPr>
        <w:jc w:val="both"/>
        <w:ind w:left="1760"/>
        <w:spacing w:after="0" w:line="273" w:lineRule="auto"/>
        <w:rPr>
          <w:sz w:val="20"/>
          <w:szCs w:val="20"/>
          <w:color w:val="auto"/>
        </w:rPr>
      </w:pPr>
      <w:r>
        <w:rPr>
          <w:rFonts w:ascii="Arial" w:cs="Arial" w:eastAsia="Arial" w:hAnsi="Arial"/>
          <w:sz w:val="19"/>
          <w:szCs w:val="19"/>
          <w:color w:val="auto"/>
        </w:rPr>
        <w:t xml:space="preserve">2.6.2. </w:t>
      </w:r>
      <w:r>
        <w:rPr>
          <w:rFonts w:ascii="Arial" w:cs="Arial" w:eastAsia="Arial" w:hAnsi="Arial"/>
          <w:sz w:val="19"/>
          <w:szCs w:val="19"/>
          <w:b w:val="1"/>
          <w:bCs w:val="1"/>
          <w:color w:val="auto"/>
        </w:rPr>
        <w:t>Transfer and Use of CytomX Proprietary Materials</w:t>
      </w:r>
      <w:r>
        <w:rPr>
          <w:rFonts w:ascii="Arial" w:cs="Arial" w:eastAsia="Arial" w:hAnsi="Arial"/>
          <w:sz w:val="19"/>
          <w:szCs w:val="19"/>
          <w:color w:val="auto"/>
        </w:rPr>
        <w:t>. From time to time during the Term, CytomX may provide ImmunoGen with CytomX Proprietary Materials. ImmunoGen shall use the CytomX Proprietary Materials solely in connection with conducting the specific activities for which such CytomX Proprietary Materials are provided to ImmunoGen, and for no other purpose. Without limiting the generality of the foregoing, except as expressly set forth in this Agreement or in other written authorization by CytomX, ImmunoGen shall not make or attempt to make analogues, progeny or derivatives of, or modifications to, the CytomX Proprietary Materials, using CytomX’s Confidential Information, and ImmunoGen shall not use the CytomX Proprietary Materials for the benefit of any Third Party or of its own internal research programs, ImmunoGen shall comply with all Applicable Laws regarding the handling and use of the CytomX Proprietary Materials. ImmunoGen agrees to retain possession over the CytomX Proprietary Materials and not to provide the CytomX Proprietary Materials to any Third Party without CytomX’s prior written consent.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13" w:lineRule="exact"/>
        <w:rPr>
          <w:sz w:val="20"/>
          <w:szCs w:val="20"/>
          <w:color w:val="auto"/>
        </w:rPr>
      </w:pPr>
    </w:p>
    <w:p>
      <w:pPr>
        <w:ind w:right="200" w:firstLine="8"/>
        <w:spacing w:after="0" w:line="259" w:lineRule="auto"/>
        <w:tabs>
          <w:tab w:leader="none" w:pos="4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2.6.3.</w:t>
      </w:r>
      <w:r>
        <w:rPr>
          <w:sz w:val="20"/>
          <w:szCs w:val="20"/>
          <w:color w:val="auto"/>
        </w:rPr>
        <w:tab/>
      </w:r>
      <w:r>
        <w:rPr>
          <w:rFonts w:ascii="Arial" w:cs="Arial" w:eastAsia="Arial" w:hAnsi="Arial"/>
          <w:sz w:val="19"/>
          <w:szCs w:val="19"/>
          <w:b w:val="1"/>
          <w:bCs w:val="1"/>
          <w:color w:val="auto"/>
        </w:rPr>
        <w:t>Unauthorized Use of Confidential Information and Proprietary Materials</w:t>
      </w:r>
      <w:r>
        <w:rPr>
          <w:rFonts w:ascii="Arial" w:cs="Arial" w:eastAsia="Arial" w:hAnsi="Arial"/>
          <w:sz w:val="19"/>
          <w:szCs w:val="19"/>
          <w:color w:val="auto"/>
        </w:rPr>
        <w:t>. In the event that</w:t>
      </w:r>
    </w:p>
    <w:p>
      <w:pPr>
        <w:spacing w:after="0" w:line="14" w:lineRule="exact"/>
        <w:rPr>
          <w:sz w:val="20"/>
          <w:szCs w:val="20"/>
          <w:color w:val="auto"/>
        </w:rPr>
      </w:pPr>
    </w:p>
    <w:p>
      <w:pPr>
        <w:jc w:val="both"/>
        <w:ind w:left="1760" w:firstLine="3"/>
        <w:spacing w:after="0" w:line="270" w:lineRule="auto"/>
        <w:tabs>
          <w:tab w:leader="none" w:pos="2085" w:val="left"/>
        </w:tabs>
        <w:numPr>
          <w:ilvl w:val="0"/>
          <w:numId w:val="83"/>
        </w:numPr>
        <w:rPr>
          <w:rFonts w:ascii="Arial" w:cs="Arial" w:eastAsia="Arial" w:hAnsi="Arial"/>
          <w:sz w:val="19"/>
          <w:szCs w:val="19"/>
          <w:color w:val="auto"/>
        </w:rPr>
      </w:pPr>
      <w:r>
        <w:rPr>
          <w:rFonts w:ascii="Arial" w:cs="Arial" w:eastAsia="Arial" w:hAnsi="Arial"/>
          <w:sz w:val="19"/>
          <w:szCs w:val="19"/>
          <w:color w:val="auto"/>
        </w:rPr>
        <w:t>CytomX or any of its Affiliates or Sublicensees use ImmunoGen’s Confidential Information (including, without limitation, any Confidential Information within the Licensed Know-How) or ImmunoGen Proprietary Materials for any purpose other than in connection with CytomX’s exercise of its rights and performance of its obligations hereunder or the Research Collaboration Agreement (if then in effect) or (b) ImmunoGen or any of its Affiliates uses CytomX’s Confidential Information or CytomX Proprietary Materials for any purpose other than the purposes authorized herein or in any other License Agreement or the Research Collaboration Agreement (if then in effect) (in each case, an “</w:t>
      </w:r>
      <w:r>
        <w:rPr>
          <w:rFonts w:ascii="Arial" w:cs="Arial" w:eastAsia="Arial" w:hAnsi="Arial"/>
          <w:sz w:val="19"/>
          <w:szCs w:val="19"/>
          <w:b w:val="1"/>
          <w:bCs w:val="1"/>
          <w:color w:val="auto"/>
        </w:rPr>
        <w:t>Unauthorized Use</w:t>
      </w:r>
      <w:r>
        <w:rPr>
          <w:rFonts w:ascii="Arial" w:cs="Arial" w:eastAsia="Arial" w:hAnsi="Arial"/>
          <w:sz w:val="19"/>
          <w:szCs w:val="19"/>
          <w:color w:val="auto"/>
        </w:rPr>
        <w:t>”), the results of such Unauthorized Use, and any discoveries or inventions that arise from such Unauthorized Use, whether patentable or not, shall belong solely and exclusively to the providing Party. If required in order to perfect or enforce the providing Party’s ownership of such results, discoveries or inventions, each Party, on behalf of itself and its Affiliates (and in the case of CytomX, its Sublicensees), each hereby assigns and agrees to assign to the providing Party all of its and their right, title and interest in and to all such results, discoveries or inventions made through such Unauthorized Use. Each Party agrees to cooperate, and to cause its Affiliates (and in the case of CytomX, its Sublicensees) to cooperate, with the providing Party, and to execute and deliver any and all documents that the providing Party reasonably deems necessary, to perfect and enforce its rights hereunder.</w:t>
      </w:r>
    </w:p>
    <w:p>
      <w:pPr>
        <w:spacing w:after="0" w:line="15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b w:val="1"/>
          <w:bCs w:val="1"/>
          <w:color w:val="auto"/>
        </w:rPr>
        <w:t>Services</w:t>
      </w:r>
      <w:r>
        <w:rPr>
          <w:rFonts w:ascii="Arial" w:cs="Arial" w:eastAsia="Arial" w:hAnsi="Arial"/>
          <w:sz w:val="19"/>
          <w:szCs w:val="19"/>
          <w:color w:val="auto"/>
        </w:rPr>
        <w:t>. If, during the Term, CytomX requests that ImmunoGen provide additional services with respect to</w:t>
      </w:r>
    </w:p>
    <w:p>
      <w:pPr>
        <w:spacing w:after="0" w:line="14" w:lineRule="exact"/>
        <w:rPr>
          <w:sz w:val="20"/>
          <w:szCs w:val="20"/>
          <w:color w:val="auto"/>
        </w:rPr>
      </w:pPr>
    </w:p>
    <w:p>
      <w:pPr>
        <w:jc w:val="both"/>
        <w:ind w:left="880" w:firstLine="5"/>
        <w:spacing w:after="0" w:line="277" w:lineRule="auto"/>
        <w:tabs>
          <w:tab w:leader="none" w:pos="1199" w:val="left"/>
        </w:tabs>
        <w:numPr>
          <w:ilvl w:val="1"/>
          <w:numId w:val="84"/>
        </w:numPr>
        <w:rPr>
          <w:rFonts w:ascii="Arial" w:cs="Arial" w:eastAsia="Arial" w:hAnsi="Arial"/>
          <w:sz w:val="19"/>
          <w:szCs w:val="19"/>
          <w:color w:val="auto"/>
        </w:rPr>
      </w:pPr>
      <w:r>
        <w:rPr>
          <w:rFonts w:ascii="Arial" w:cs="Arial" w:eastAsia="Arial" w:hAnsi="Arial"/>
          <w:sz w:val="19"/>
          <w:szCs w:val="19"/>
          <w:color w:val="auto"/>
        </w:rPr>
        <w:t>process development, (b) analytical method development, or (c) manufacturing and supply of Licensed Product in drug substance form for any GLP toxicology studies, clinical studies, or commercial scale-up, but excluding pivotal studies and commercial supply, or (d) any other tasks in connection with the Development, Manufacture, use or Commercialization of Licensed Products with respect to which the Parties may mutually agree, then the Parties shall negotiate in good faith the terms of separate written agreements with respect to such activities.</w:t>
      </w:r>
    </w:p>
    <w:p>
      <w:pPr>
        <w:spacing w:after="0" w:line="146" w:lineRule="exact"/>
        <w:rPr>
          <w:rFonts w:ascii="Arial" w:cs="Arial" w:eastAsia="Arial" w:hAnsi="Arial"/>
          <w:sz w:val="19"/>
          <w:szCs w:val="19"/>
          <w:color w:val="auto"/>
        </w:rPr>
      </w:pPr>
    </w:p>
    <w:p>
      <w:pPr>
        <w:ind w:left="880" w:hanging="872"/>
        <w:spacing w:after="0"/>
        <w:tabs>
          <w:tab w:leader="none" w:pos="88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LICENSE GRANTS.</w:t>
      </w:r>
    </w:p>
    <w:p>
      <w:pPr>
        <w:spacing w:after="0" w:line="206"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3.1</w:t>
      </w:r>
      <w:r>
        <w:rPr>
          <w:rFonts w:ascii="Arial" w:cs="Arial" w:eastAsia="Arial" w:hAnsi="Arial"/>
          <w:sz w:val="19"/>
          <w:szCs w:val="19"/>
          <w:b w:val="1"/>
          <w:bCs w:val="1"/>
          <w:color w:val="auto"/>
        </w:rPr>
        <w:t>License Grants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75"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b w:val="1"/>
          <w:bCs w:val="1"/>
          <w:color w:val="auto"/>
        </w:rPr>
        <w:t>Commercial License</w:t>
      </w:r>
      <w:r>
        <w:rPr>
          <w:rFonts w:ascii="Arial" w:cs="Arial" w:eastAsia="Arial" w:hAnsi="Arial"/>
          <w:sz w:val="19"/>
          <w:szCs w:val="19"/>
          <w:color w:val="auto"/>
        </w:rPr>
        <w:t xml:space="preserve">. Subject to the terms and conditions of this Agreement, ImmunoGen hereby grants to CytomX and its Affiliates an exclusive (even as to ImmunoGen), non-transferable (except as expressly permitted in this Agreement), royalty-bearing license, including the right to grant sublicenses as described in </w:t>
      </w:r>
      <w:r>
        <w:rPr>
          <w:rFonts w:ascii="Arial" w:cs="Arial" w:eastAsia="Arial" w:hAnsi="Arial"/>
          <w:sz w:val="19"/>
          <w:szCs w:val="19"/>
          <w:u w:val="single" w:color="auto"/>
          <w:color w:val="auto"/>
        </w:rPr>
        <w:t>Section 3.1.2</w:t>
      </w:r>
      <w:r>
        <w:rPr>
          <w:rFonts w:ascii="Arial" w:cs="Arial" w:eastAsia="Arial" w:hAnsi="Arial"/>
          <w:sz w:val="19"/>
          <w:szCs w:val="19"/>
          <w:color w:val="auto"/>
        </w:rPr>
        <w:t xml:space="preserve"> hereof, under the Licensed Intellectual Property, to Develop, make, have made, use, sell, offer for sale, import and otherwise Commercialize Licensed Products in the Field in the Territory. CytomX and its Affiliates shall have the right to engage one or more Affiliates or Third Parties (the latter being referred to herein as “</w:t>
      </w:r>
      <w:r>
        <w:rPr>
          <w:rFonts w:ascii="Arial" w:cs="Arial" w:eastAsia="Arial" w:hAnsi="Arial"/>
          <w:sz w:val="19"/>
          <w:szCs w:val="19"/>
          <w:b w:val="1"/>
          <w:bCs w:val="1"/>
          <w:color w:val="auto"/>
        </w:rPr>
        <w:t>Permitted Third Party Service Providers</w:t>
      </w:r>
      <w:r>
        <w:rPr>
          <w:rFonts w:ascii="Arial" w:cs="Arial" w:eastAsia="Arial" w:hAnsi="Arial"/>
          <w:sz w:val="19"/>
          <w:szCs w:val="19"/>
          <w:color w:val="auto"/>
        </w:rPr>
        <w:t>”) as subcontractors to perform designated functions in connection with its activities tinder this Agreement (including transferring Licensed Know-How and ImmunoGen Proprietary Materials as may be necessary for such Permitted Third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3" w:lineRule="exact"/>
        <w:rPr>
          <w:sz w:val="20"/>
          <w:szCs w:val="20"/>
          <w:color w:val="auto"/>
        </w:rPr>
      </w:pPr>
    </w:p>
    <w:p>
      <w:pPr>
        <w:ind w:right="200" w:firstLine="8"/>
        <w:spacing w:after="0" w:line="259" w:lineRule="auto"/>
        <w:tabs>
          <w:tab w:leader="none" w:pos="4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77" w:lineRule="auto"/>
        <w:rPr>
          <w:sz w:val="20"/>
          <w:szCs w:val="20"/>
          <w:color w:val="auto"/>
        </w:rPr>
      </w:pPr>
      <w:r>
        <w:rPr>
          <w:rFonts w:ascii="Arial" w:cs="Arial" w:eastAsia="Arial" w:hAnsi="Arial"/>
          <w:sz w:val="19"/>
          <w:szCs w:val="19"/>
          <w:color w:val="auto"/>
        </w:rPr>
        <w:t>Party Service Providers to perform such designated functions); provided that (a) CytomX shall remain responsible for the conduct of such activities in accordance with the terms and conditions of this Agreement and (b) CytomX shall cause each such Affiliate or Third Party Service Provider to assign or license (with a right to sublicense to ImmunoGen to the extent required under this Agreement) to CytomX all intellectual property rights (including, without limitation, Patent Rights) in and to any TAP Platform Improvements, whether patentable or not, the inventors of which (alone or with others) are employees of, or others obligated to assign inventions to, such Permitted Third Party Service Provider in the performance of services for CytomX.</w:t>
      </w:r>
    </w:p>
    <w:p>
      <w:pPr>
        <w:spacing w:after="0" w:line="147" w:lineRule="exact"/>
        <w:rPr>
          <w:sz w:val="20"/>
          <w:szCs w:val="20"/>
          <w:color w:val="auto"/>
        </w:rPr>
      </w:pPr>
    </w:p>
    <w:p>
      <w:pPr>
        <w:jc w:val="both"/>
        <w:ind w:left="1760"/>
        <w:spacing w:after="0" w:line="272"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b w:val="1"/>
          <w:bCs w:val="1"/>
          <w:color w:val="auto"/>
        </w:rPr>
        <w:t>Right to Sublicense</w:t>
      </w:r>
      <w:r>
        <w:rPr>
          <w:rFonts w:ascii="Arial" w:cs="Arial" w:eastAsia="Arial" w:hAnsi="Arial"/>
          <w:sz w:val="19"/>
          <w:szCs w:val="19"/>
          <w:color w:val="auto"/>
        </w:rPr>
        <w:t xml:space="preserve">. CytomX and its Affiliates shall have the right to grant sublicenses under the rights granted to them under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hereof with respect to any Licensed Product to any Sublicensee, provided that (a) each such sublicense shall be consistent with the terms and conditions of this Agreement, (b) CytomX shall provide the identity of each Sublicensee within twenty (20) Business Days after execution of such sublicense, (c) CytomX and its Affiliates shall cause each Sublicensee to assign or license (with a right to sublicense to ImmunoGen to the extent required by this Agreement) to CytomX all intellectual property rights (including, without limitation, Patent Rights) in and to any TAP Platform Improvements, whether or not patentable, the inventors of which (alone or with others) are employees of, or others obligated to assign inventions to, such Sublicensee in connection with its exercise of its rights under the applicable sublicense, (d) CytomX shall be jointly and severally responsible with its Sublicensees to ImmunoGen for failure by its Sublicensees to comply with the terms and conditions of this Agreement and (e) CytomX shall remain responsible for the payment to ImmunoGen of all Milestone Payments and royalties payable with respect to the activities and Net Sales of any Sublicensee.</w:t>
      </w:r>
    </w:p>
    <w:p>
      <w:pPr>
        <w:spacing w:after="0" w:line="200" w:lineRule="exact"/>
        <w:rPr>
          <w:sz w:val="20"/>
          <w:szCs w:val="20"/>
          <w:color w:val="auto"/>
        </w:rPr>
      </w:pPr>
    </w:p>
    <w:p>
      <w:pPr>
        <w:spacing w:after="0" w:line="205"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Retained Rights and Covenants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80"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b w:val="1"/>
          <w:bCs w:val="1"/>
          <w:color w:val="auto"/>
        </w:rPr>
        <w:t>Retained Rights</w:t>
      </w:r>
      <w:r>
        <w:rPr>
          <w:rFonts w:ascii="Arial" w:cs="Arial" w:eastAsia="Arial" w:hAnsi="Arial"/>
          <w:sz w:val="19"/>
          <w:szCs w:val="19"/>
          <w:color w:val="auto"/>
        </w:rPr>
        <w:t xml:space="preserve"> . Subject to the other terms of this Agreement (including, without limitation, </w:t>
      </w:r>
      <w:r>
        <w:rPr>
          <w:rFonts w:ascii="Arial" w:cs="Arial" w:eastAsia="Arial" w:hAnsi="Arial"/>
          <w:sz w:val="19"/>
          <w:szCs w:val="19"/>
          <w:u w:val="single" w:color="auto"/>
          <w:color w:val="auto"/>
        </w:rPr>
        <w:t>Section 3.2.2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3.3</w:t>
      </w:r>
      <w:r>
        <w:rPr>
          <w:rFonts w:ascii="Arial" w:cs="Arial" w:eastAsia="Arial" w:hAnsi="Arial"/>
          <w:sz w:val="19"/>
          <w:szCs w:val="19"/>
          <w:color w:val="auto"/>
        </w:rPr>
        <w:t xml:space="preserve"> hereof), ImmunoGen retains the right to use the unpatented Licensed Know-How and practice the Licensed Patent Rights (a) to develop, make, have made, use, sell, offer for sale, import or otherwise commercialize any product (excluding, on a country-by-country basis, while the exclusive license granted under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hereof remains in effect in such country, any PDC that Targets the Licensed Target), and to grant licenses to Third Parties to do the same; and (b) for any and all uses outside of the Field.</w:t>
      </w:r>
    </w:p>
    <w:p>
      <w:pPr>
        <w:spacing w:after="0" w:line="145" w:lineRule="exact"/>
        <w:rPr>
          <w:sz w:val="20"/>
          <w:szCs w:val="20"/>
          <w:color w:val="auto"/>
        </w:rPr>
      </w:pPr>
    </w:p>
    <w:p>
      <w:pPr>
        <w:jc w:val="both"/>
        <w:ind w:left="1760"/>
        <w:spacing w:after="0" w:line="251" w:lineRule="exact"/>
        <w:rPr>
          <w:sz w:val="20"/>
          <w:szCs w:val="20"/>
          <w:color w:val="auto"/>
        </w:rPr>
      </w:pPr>
      <w:r>
        <w:rPr>
          <w:rFonts w:ascii="Arial" w:cs="Arial" w:eastAsia="Arial" w:hAnsi="Arial"/>
          <w:sz w:val="21"/>
          <w:szCs w:val="21"/>
          <w:color w:val="auto"/>
        </w:rPr>
        <w:t xml:space="preserve">3.2.2. </w:t>
      </w:r>
      <w:r>
        <w:rPr>
          <w:rFonts w:ascii="Arial" w:cs="Arial" w:eastAsia="Arial" w:hAnsi="Arial"/>
          <w:sz w:val="21"/>
          <w:szCs w:val="21"/>
          <w:b w:val="1"/>
          <w:bCs w:val="1"/>
          <w:color w:val="auto"/>
        </w:rPr>
        <w:t>Covenants</w:t>
      </w:r>
      <w:r>
        <w:rPr>
          <w:rFonts w:ascii="Arial" w:cs="Arial" w:eastAsia="Arial" w:hAnsi="Arial"/>
          <w:sz w:val="21"/>
          <w:szCs w:val="21"/>
          <w:color w:val="auto"/>
        </w:rPr>
        <w:t xml:space="preserve">. Anything contained in </w:t>
      </w:r>
      <w:r>
        <w:rPr>
          <w:rFonts w:ascii="Arial" w:cs="Arial" w:eastAsia="Arial" w:hAnsi="Arial"/>
          <w:sz w:val="21"/>
          <w:szCs w:val="21"/>
          <w:u w:val="single" w:color="auto"/>
          <w:color w:val="auto"/>
        </w:rPr>
        <w:t>Section 3.2.1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3.3</w:t>
      </w:r>
      <w:r>
        <w:rPr>
          <w:rFonts w:ascii="Arial" w:cs="Arial" w:eastAsia="Arial" w:hAnsi="Arial"/>
          <w:sz w:val="21"/>
          <w:szCs w:val="21"/>
          <w:color w:val="auto"/>
        </w:rPr>
        <w:t xml:space="preserve"> hereof to the contrary notwithstanding, ImmunoGen hereby agrees that, on a country</w:t>
      </w:r>
      <w:r>
        <w:rPr>
          <w:rFonts w:ascii="MS PGothic" w:cs="MS PGothic" w:eastAsia="MS PGothic" w:hAnsi="MS PGothic"/>
          <w:sz w:val="21"/>
          <w:szCs w:val="21"/>
          <w:color w:val="auto"/>
        </w:rPr>
        <w:t>‑</w:t>
      </w:r>
      <w:r>
        <w:rPr>
          <w:rFonts w:ascii="Arial" w:cs="Arial" w:eastAsia="Arial" w:hAnsi="Arial"/>
          <w:sz w:val="21"/>
          <w:szCs w:val="21"/>
          <w:color w:val="auto"/>
        </w:rPr>
        <w:t>by</w:t>
      </w:r>
      <w:r>
        <w:rPr>
          <w:rFonts w:ascii="MS PGothic" w:cs="MS PGothic" w:eastAsia="MS PGothic" w:hAnsi="MS PGothic"/>
          <w:sz w:val="21"/>
          <w:szCs w:val="21"/>
          <w:color w:val="auto"/>
        </w:rPr>
        <w:t>‑</w:t>
      </w:r>
      <w:r>
        <w:rPr>
          <w:rFonts w:ascii="Arial" w:cs="Arial" w:eastAsia="Arial" w:hAnsi="Arial"/>
          <w:sz w:val="21"/>
          <w:szCs w:val="21"/>
          <w:color w:val="auto"/>
        </w:rPr>
        <w:t xml:space="preserve">country basis, during the period that the exclusive license granted under </w:t>
      </w:r>
      <w:r>
        <w:rPr>
          <w:rFonts w:ascii="Arial" w:cs="Arial" w:eastAsia="Arial" w:hAnsi="Arial"/>
          <w:sz w:val="21"/>
          <w:szCs w:val="21"/>
          <w:u w:val="single" w:color="auto"/>
          <w:color w:val="auto"/>
        </w:rPr>
        <w:t>Section 3.3.1</w:t>
      </w:r>
      <w:r>
        <w:rPr>
          <w:rFonts w:ascii="Arial" w:cs="Arial" w:eastAsia="Arial" w:hAnsi="Arial"/>
          <w:sz w:val="21"/>
          <w:szCs w:val="21"/>
          <w:color w:val="auto"/>
        </w:rPr>
        <w:t xml:space="preserve"> hereof remains in effect in such country, neither it nor any of its Affiliates shall (a) develop or commercialize any PDC that Targets the Licensed Target, or (b) grant to any Third Party any license or other right under any Patent Rights or Know-How owned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13" w:lineRule="exact"/>
        <w:rPr>
          <w:sz w:val="20"/>
          <w:szCs w:val="20"/>
          <w:color w:val="auto"/>
        </w:rPr>
      </w:pPr>
    </w:p>
    <w:p>
      <w:pPr>
        <w:ind w:right="200" w:firstLine="8"/>
        <w:spacing w:after="0" w:line="259" w:lineRule="auto"/>
        <w:tabs>
          <w:tab w:leader="none" w:pos="43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or Controlled by ImmunoGen to develop or commercialize any PDC that Targets the Licensed Target; provided that the foregoing shall not restrict ImmunoGen’s or its Affiliates’ right to grant to Third Parties research licenses under any Patent Rights or Know-How owned or Controlled by ImmunoGen that are not Target-specific.</w:t>
      </w:r>
    </w:p>
    <w:p>
      <w:pPr>
        <w:spacing w:after="0" w:line="179" w:lineRule="exact"/>
        <w:rPr>
          <w:sz w:val="20"/>
          <w:szCs w:val="20"/>
          <w:color w:val="auto"/>
        </w:rPr>
      </w:pPr>
    </w:p>
    <w:p>
      <w:pPr>
        <w:jc w:val="both"/>
        <w:ind w:left="880"/>
        <w:spacing w:after="0" w:line="276"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b w:val="1"/>
          <w:bCs w:val="1"/>
          <w:color w:val="auto"/>
        </w:rPr>
        <w:t>License to CytomX TAP Platform Improvements</w:t>
      </w:r>
      <w:r>
        <w:rPr>
          <w:rFonts w:ascii="Arial" w:cs="Arial" w:eastAsia="Arial" w:hAnsi="Arial"/>
          <w:sz w:val="19"/>
          <w:szCs w:val="19"/>
          <w:color w:val="auto"/>
        </w:rPr>
        <w:t xml:space="preserve">. CytomX, on behalf of itself and its Affiliates, hereby grants to ImmunoGen a non-exclusive, sublicensable, perpetual, irrevocable, royalty-free worldwide license under CytomX ’s interest in any CytomX TAP Platform Improvements, including, without limitation, any Patent Rights claiming such CytomX TAP Platform Improvements, to exploit such CytomX TAP Platform Improvements (a) for any purpose in the Field other than developing, manufacturing, using or commercializing PDCs and (b) for any purpose outside of the Field. Nothing in this Agreement shall be construed as obligating CytomX to engage in any technology transfer or provision of written documentation to ImmunoGen (other than as provided in </w:t>
      </w:r>
      <w:r>
        <w:rPr>
          <w:rFonts w:ascii="Arial" w:cs="Arial" w:eastAsia="Arial" w:hAnsi="Arial"/>
          <w:sz w:val="19"/>
          <w:szCs w:val="19"/>
          <w:u w:val="single" w:color="auto"/>
          <w:color w:val="auto"/>
        </w:rPr>
        <w:t>Section 5.2.3</w:t>
      </w:r>
      <w:r>
        <w:rPr>
          <w:rFonts w:ascii="Arial" w:cs="Arial" w:eastAsia="Arial" w:hAnsi="Arial"/>
          <w:sz w:val="19"/>
          <w:szCs w:val="19"/>
          <w:color w:val="auto"/>
        </w:rPr>
        <w:t xml:space="preserve"> hereof) or any of its Affiliates or any Third Party disclosing, describing or otherwise relating to CytomX TAP Platform Improvements.</w:t>
      </w:r>
    </w:p>
    <w:p>
      <w:pPr>
        <w:spacing w:after="0" w:line="151" w:lineRule="exact"/>
        <w:rPr>
          <w:sz w:val="20"/>
          <w:szCs w:val="20"/>
          <w:color w:val="auto"/>
        </w:rPr>
      </w:pPr>
    </w:p>
    <w:p>
      <w:pPr>
        <w:jc w:val="both"/>
        <w:ind w:left="880"/>
        <w:spacing w:after="0" w:line="280"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b w:val="1"/>
          <w:bCs w:val="1"/>
          <w:color w:val="auto"/>
        </w:rPr>
        <w:t>Section 365(n) of Bankruptcy Code</w:t>
      </w:r>
      <w:r>
        <w:rPr>
          <w:rFonts w:ascii="Arial" w:cs="Arial" w:eastAsia="Arial" w:hAnsi="Arial"/>
          <w:sz w:val="19"/>
          <w:szCs w:val="19"/>
          <w:color w:val="auto"/>
        </w:rPr>
        <w:t xml:space="preserve">. All rights and licenses now or hereinafter granted by either Party to the other Party under or pursuant to any section of this Agreement, including the licensed granted in this </w:t>
      </w:r>
      <w:r>
        <w:rPr>
          <w:rFonts w:ascii="Arial" w:cs="Arial" w:eastAsia="Arial" w:hAnsi="Arial"/>
          <w:sz w:val="19"/>
          <w:szCs w:val="19"/>
          <w:u w:val="single" w:color="auto"/>
          <w:color w:val="auto"/>
        </w:rPr>
        <w:t>Article 3</w:t>
      </w:r>
      <w:r>
        <w:rPr>
          <w:rFonts w:ascii="Arial" w:cs="Arial" w:eastAsia="Arial" w:hAnsi="Arial"/>
          <w:sz w:val="19"/>
          <w:szCs w:val="19"/>
          <w:color w:val="auto"/>
        </w:rPr>
        <w:t>, are rights to “intellectual property” (as defined in Section 101(35A) of Title 11 of the United States Code, as amended (such Title 11, the “</w:t>
      </w:r>
      <w:r>
        <w:rPr>
          <w:rFonts w:ascii="Arial" w:cs="Arial" w:eastAsia="Arial" w:hAnsi="Arial"/>
          <w:sz w:val="19"/>
          <w:szCs w:val="19"/>
          <w:b w:val="1"/>
          <w:bCs w:val="1"/>
          <w:color w:val="auto"/>
        </w:rPr>
        <w:t>Bankruptcy Code</w:t>
      </w:r>
      <w:r>
        <w:rPr>
          <w:rFonts w:ascii="Arial" w:cs="Arial" w:eastAsia="Arial" w:hAnsi="Arial"/>
          <w:sz w:val="19"/>
          <w:szCs w:val="19"/>
          <w:color w:val="auto"/>
        </w:rPr>
        <w:t xml:space="preserve">”)). The Parties hereto acknowledge and agree that the payments provided for under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hereof, other than royalty payments pursuant to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hereof, do not constitute royalties within the meaning of Section 365(n) of the Bankruptcy Code or relate to licenses of intellectual property under this Agreement.</w:t>
      </w:r>
    </w:p>
    <w:p>
      <w:pPr>
        <w:spacing w:after="0" w:line="145" w:lineRule="exact"/>
        <w:rPr>
          <w:sz w:val="20"/>
          <w:szCs w:val="20"/>
          <w:color w:val="auto"/>
        </w:rPr>
      </w:pPr>
    </w:p>
    <w:p>
      <w:pPr>
        <w:jc w:val="both"/>
        <w:ind w:left="880"/>
        <w:spacing w:after="0" w:line="243"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b w:val="1"/>
          <w:bCs w:val="1"/>
          <w:color w:val="auto"/>
        </w:rPr>
        <w:t>No Implied Rights</w:t>
      </w:r>
      <w:r>
        <w:rPr>
          <w:rFonts w:ascii="Arial" w:cs="Arial" w:eastAsia="Arial" w:hAnsi="Arial"/>
          <w:sz w:val="22"/>
          <w:szCs w:val="22"/>
          <w:color w:val="auto"/>
        </w:rPr>
        <w:t>. Except as expressly provided in this Agreement, neither Party shall be deemed, by estoppel, implication or otherwise, to have granted the other Party any license or other right with respect to any intellectual property of such Party.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13" w:lineRule="exact"/>
        <w:rPr>
          <w:sz w:val="20"/>
          <w:szCs w:val="20"/>
          <w:color w:val="auto"/>
        </w:rPr>
      </w:pPr>
    </w:p>
    <w:p>
      <w:pPr>
        <w:ind w:right="200" w:firstLine="8"/>
        <w:spacing w:after="0" w:line="259" w:lineRule="auto"/>
        <w:tabs>
          <w:tab w:leader="none" w:pos="4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880" w:hanging="872"/>
        <w:spacing w:after="0"/>
        <w:tabs>
          <w:tab w:leader="none" w:pos="88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PAYMENTS.</w:t>
      </w:r>
    </w:p>
    <w:p>
      <w:pPr>
        <w:spacing w:after="0" w:line="206"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4.1</w:t>
      </w:r>
      <w:r>
        <w:rPr>
          <w:rFonts w:ascii="Arial" w:cs="Arial" w:eastAsia="Arial" w:hAnsi="Arial"/>
          <w:sz w:val="19"/>
          <w:szCs w:val="19"/>
          <w:b w:val="1"/>
          <w:bCs w:val="1"/>
          <w:color w:val="auto"/>
        </w:rPr>
        <w:t>Milestone Payments</w:t>
      </w:r>
      <w:r>
        <w:rPr>
          <w:rFonts w:ascii="Arial" w:cs="Arial" w:eastAsia="Arial" w:hAnsi="Arial"/>
          <w:sz w:val="19"/>
          <w:szCs w:val="19"/>
          <w:color w:val="auto"/>
        </w:rPr>
        <w:t>.</w:t>
      </w:r>
    </w:p>
    <w:p>
      <w:pPr>
        <w:spacing w:after="0" w:line="206" w:lineRule="exact"/>
        <w:rPr>
          <w:sz w:val="20"/>
          <w:szCs w:val="20"/>
          <w:color w:val="auto"/>
        </w:rPr>
      </w:pPr>
    </w:p>
    <w:p>
      <w:pPr>
        <w:jc w:val="both"/>
        <w:ind w:left="1660" w:firstLine="20"/>
        <w:spacing w:after="0" w:line="235"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b w:val="1"/>
          <w:bCs w:val="1"/>
          <w:color w:val="auto"/>
        </w:rPr>
        <w:t>Development Milestones</w:t>
      </w:r>
      <w:r>
        <w:rPr>
          <w:rFonts w:ascii="Arial" w:cs="Arial" w:eastAsia="Arial" w:hAnsi="Arial"/>
          <w:sz w:val="22"/>
          <w:szCs w:val="22"/>
          <w:color w:val="auto"/>
        </w:rPr>
        <w:t>. Within ten (10) Business Days following the first occurrence of each event (each, a “</w:t>
      </w:r>
      <w:r>
        <w:rPr>
          <w:rFonts w:ascii="Arial" w:cs="Arial" w:eastAsia="Arial" w:hAnsi="Arial"/>
          <w:sz w:val="22"/>
          <w:szCs w:val="22"/>
          <w:b w:val="1"/>
          <w:bCs w:val="1"/>
          <w:color w:val="auto"/>
        </w:rPr>
        <w:t>Development Milestone</w:t>
      </w:r>
      <w:r>
        <w:rPr>
          <w:rFonts w:ascii="Arial" w:cs="Arial" w:eastAsia="Arial" w:hAnsi="Arial"/>
          <w:sz w:val="22"/>
          <w:szCs w:val="22"/>
          <w:color w:val="auto"/>
        </w:rPr>
        <w:t>”) described below for the first Licensed Product that achieves such milestone, CytomX shall provide written notice to ImmunoGen identifying the Development Milestone achieved, and CytomX shall pay to ImmunoGen the amount set forth below within forty-five (45) days of receipt of ImmunoGen’s notice with respect to such Development Milestone (each such amount, a “</w:t>
      </w:r>
      <w:r>
        <w:rPr>
          <w:rFonts w:ascii="Arial" w:cs="Arial" w:eastAsia="Arial" w:hAnsi="Arial"/>
          <w:sz w:val="22"/>
          <w:szCs w:val="22"/>
          <w:b w:val="1"/>
          <w:bCs w:val="1"/>
          <w:color w:val="auto"/>
        </w:rPr>
        <w:t>Development Milestone Payment</w:t>
      </w:r>
      <w:r>
        <w:rPr>
          <w:rFonts w:ascii="Arial" w:cs="Arial" w:eastAsia="Arial" w:hAnsi="Arial"/>
          <w:sz w:val="22"/>
          <w:szCs w:val="22"/>
          <w:color w:val="auto"/>
        </w:rPr>
        <w:t>”) to be payable only once regardless of how many Licensed Products achieve such Development Milestone.</w:t>
      </w:r>
    </w:p>
    <w:p>
      <w:pPr>
        <w:spacing w:after="0" w:line="191" w:lineRule="exact"/>
        <w:rPr>
          <w:sz w:val="20"/>
          <w:szCs w:val="20"/>
          <w:color w:val="auto"/>
        </w:rPr>
      </w:pPr>
    </w:p>
    <w:tbl>
      <w:tblPr>
        <w:tblLayout w:type="fixed"/>
        <w:tblInd w:w="1750" w:type="dxa"/>
        <w:tblCellMar>
          <w:top w:w="0" w:type="dxa"/>
          <w:left w:w="0" w:type="dxa"/>
          <w:bottom w:w="0" w:type="dxa"/>
          <w:right w:w="0" w:type="dxa"/>
        </w:tblCellMar>
      </w:tblPr>
      <w:tr>
        <w:trPr>
          <w:trHeight w:val="248"/>
        </w:trPr>
        <w:tc>
          <w:tcPr>
            <w:tcW w:w="6760" w:type="dxa"/>
            <w:vAlign w:val="bottom"/>
            <w:tcBorders>
              <w:top w:val="single" w:sz="8" w:color="auto"/>
              <w:left w:val="single" w:sz="8" w:color="auto"/>
              <w:right w:val="single" w:sz="8" w:color="auto"/>
            </w:tcBorders>
            <w:shd w:val="clear" w:color="auto" w:fill="DBDBDB"/>
          </w:tcPr>
          <w:p>
            <w:pPr>
              <w:ind w:left="280"/>
              <w:spacing w:after="0"/>
              <w:rPr>
                <w:sz w:val="20"/>
                <w:szCs w:val="20"/>
                <w:color w:val="auto"/>
              </w:rPr>
            </w:pPr>
            <w:r>
              <w:rPr>
                <w:rFonts w:ascii="Arial" w:cs="Arial" w:eastAsia="Arial" w:hAnsi="Arial"/>
                <w:sz w:val="18"/>
                <w:szCs w:val="18"/>
                <w:b w:val="1"/>
                <w:bCs w:val="1"/>
                <w:color w:val="auto"/>
              </w:rPr>
              <w:t>Development Milestone</w:t>
            </w:r>
          </w:p>
        </w:tc>
        <w:tc>
          <w:tcPr>
            <w:tcW w:w="2920" w:type="dxa"/>
            <w:vAlign w:val="bottom"/>
            <w:tcBorders>
              <w:top w:val="single" w:sz="8" w:color="auto"/>
              <w:right w:val="single" w:sz="8" w:color="auto"/>
            </w:tcBorders>
            <w:shd w:val="clear" w:color="auto" w:fill="DBDBDB"/>
          </w:tcPr>
          <w:p>
            <w:pPr>
              <w:jc w:val="right"/>
              <w:ind w:right="1630"/>
              <w:spacing w:after="0"/>
              <w:rPr>
                <w:sz w:val="20"/>
                <w:szCs w:val="20"/>
                <w:color w:val="auto"/>
              </w:rPr>
            </w:pPr>
            <w:r>
              <w:rPr>
                <w:rFonts w:ascii="Arial" w:cs="Arial" w:eastAsia="Arial" w:hAnsi="Arial"/>
                <w:sz w:val="18"/>
                <w:szCs w:val="18"/>
                <w:b w:val="1"/>
                <w:bCs w:val="1"/>
                <w:color w:val="auto"/>
              </w:rPr>
              <w:t>Payment</w:t>
            </w:r>
          </w:p>
        </w:tc>
      </w:tr>
      <w:tr>
        <w:trPr>
          <w:trHeight w:val="198"/>
        </w:trPr>
        <w:tc>
          <w:tcPr>
            <w:tcW w:w="6760" w:type="dxa"/>
            <w:vAlign w:val="bottom"/>
            <w:tcBorders>
              <w:left w:val="single" w:sz="8" w:color="auto"/>
              <w:bottom w:val="single" w:sz="8" w:color="auto"/>
              <w:right w:val="single" w:sz="8" w:color="auto"/>
            </w:tcBorders>
            <w:shd w:val="clear" w:color="auto" w:fill="DBDBDB"/>
          </w:tcPr>
          <w:p>
            <w:pPr>
              <w:spacing w:after="0"/>
              <w:rPr>
                <w:sz w:val="17"/>
                <w:szCs w:val="17"/>
                <w:color w:val="auto"/>
              </w:rPr>
            </w:pPr>
          </w:p>
        </w:tc>
        <w:tc>
          <w:tcPr>
            <w:tcW w:w="2920" w:type="dxa"/>
            <w:vAlign w:val="bottom"/>
            <w:tcBorders>
              <w:bottom w:val="single" w:sz="8" w:color="auto"/>
              <w:right w:val="single" w:sz="8" w:color="auto"/>
            </w:tcBorders>
            <w:shd w:val="clear" w:color="auto" w:fill="DBDBDB"/>
          </w:tcPr>
          <w:p>
            <w:pPr>
              <w:spacing w:after="0"/>
              <w:rPr>
                <w:sz w:val="17"/>
                <w:szCs w:val="17"/>
                <w:color w:val="auto"/>
              </w:rPr>
            </w:pPr>
          </w:p>
        </w:tc>
      </w:tr>
      <w:tr>
        <w:trPr>
          <w:trHeight w:val="224"/>
        </w:trPr>
        <w:tc>
          <w:tcPr>
            <w:tcW w:w="6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Dosing of first patient in a Phase 1 Clinical Study</w:t>
            </w:r>
          </w:p>
        </w:tc>
        <w:tc>
          <w:tcPr>
            <w:tcW w:w="2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$1,000,000</w:t>
            </w:r>
          </w:p>
        </w:tc>
      </w:tr>
      <w:tr>
        <w:trPr>
          <w:trHeight w:val="202"/>
        </w:trPr>
        <w:tc>
          <w:tcPr>
            <w:tcW w:w="676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4"/>
        </w:trPr>
        <w:tc>
          <w:tcPr>
            <w:tcW w:w="6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Dosing of first patient in a Phase 2 Clinical Study</w:t>
            </w:r>
          </w:p>
        </w:tc>
        <w:tc>
          <w:tcPr>
            <w:tcW w:w="2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$3,000,000</w:t>
            </w:r>
          </w:p>
        </w:tc>
      </w:tr>
      <w:tr>
        <w:trPr>
          <w:trHeight w:val="202"/>
        </w:trPr>
        <w:tc>
          <w:tcPr>
            <w:tcW w:w="676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4"/>
        </w:trPr>
        <w:tc>
          <w:tcPr>
            <w:tcW w:w="6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Dosing of first patient in a Phase 3 Clinical Study</w:t>
            </w:r>
          </w:p>
        </w:tc>
        <w:tc>
          <w:tcPr>
            <w:tcW w:w="2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4"/>
        </w:trPr>
        <w:tc>
          <w:tcPr>
            <w:tcW w:w="6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Date of filing of BLA</w:t>
            </w:r>
          </w:p>
        </w:tc>
        <w:tc>
          <w:tcPr>
            <w:tcW w:w="2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4"/>
        </w:trPr>
        <w:tc>
          <w:tcPr>
            <w:tcW w:w="6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Date of receipt of Regulatory Approval in the United States</w:t>
            </w:r>
          </w:p>
        </w:tc>
        <w:tc>
          <w:tcPr>
            <w:tcW w:w="2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4"/>
        </w:trPr>
        <w:tc>
          <w:tcPr>
            <w:tcW w:w="6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Date of receipt of Regulatory Marketing Approval in Major EU Market Country</w:t>
            </w:r>
          </w:p>
        </w:tc>
        <w:tc>
          <w:tcPr>
            <w:tcW w:w="2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r>
        <w:trPr>
          <w:trHeight w:val="224"/>
        </w:trPr>
        <w:tc>
          <w:tcPr>
            <w:tcW w:w="67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Date of receipt of Regulatory Marketing Approval in Japan</w:t>
            </w:r>
          </w:p>
        </w:tc>
        <w:tc>
          <w:tcPr>
            <w:tcW w:w="29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tcBorders>
              <w:left w:val="single" w:sz="8" w:color="auto"/>
              <w:bottom w:val="single" w:sz="8" w:color="auto"/>
              <w:right w:val="single" w:sz="8" w:color="auto"/>
            </w:tcBorders>
          </w:tcPr>
          <w:p>
            <w:pPr>
              <w:spacing w:after="0"/>
              <w:rPr>
                <w:sz w:val="17"/>
                <w:szCs w:val="17"/>
                <w:color w:val="auto"/>
              </w:rPr>
            </w:pPr>
          </w:p>
        </w:tc>
        <w:tc>
          <w:tcPr>
            <w:tcW w:w="292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24" w:lineRule="exact"/>
        <w:rPr>
          <w:sz w:val="20"/>
          <w:szCs w:val="20"/>
          <w:color w:val="auto"/>
        </w:rPr>
      </w:pPr>
    </w:p>
    <w:p>
      <w:pPr>
        <w:jc w:val="both"/>
        <w:ind w:left="1740"/>
        <w:spacing w:after="0" w:line="282" w:lineRule="auto"/>
        <w:rPr>
          <w:sz w:val="20"/>
          <w:szCs w:val="20"/>
          <w:color w:val="auto"/>
        </w:rPr>
      </w:pPr>
      <w:r>
        <w:rPr>
          <w:rFonts w:ascii="Arial" w:cs="Arial" w:eastAsia="Arial" w:hAnsi="Arial"/>
          <w:sz w:val="19"/>
          <w:szCs w:val="19"/>
          <w:color w:val="auto"/>
        </w:rPr>
        <w:t>If a clinical milestone is achieved and any previous clinical milestone has not yet been achieved for any reason, notwithstanding anything herein to the contrary such previous milestone(s) shall be deemed to have been achieved and the corresponding Development Milestone Payment set forth in the table above shall be payable simultaneously with the Development Milestone Payment for the achievement of the subsequent Milestone. All Development Milestone Payments shall be non-refundable and noncreditable.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13" w:lineRule="exact"/>
        <w:rPr>
          <w:sz w:val="20"/>
          <w:szCs w:val="20"/>
          <w:color w:val="auto"/>
        </w:rPr>
      </w:pPr>
    </w:p>
    <w:p>
      <w:pPr>
        <w:ind w:right="200" w:firstLine="8"/>
        <w:spacing w:after="0" w:line="259" w:lineRule="auto"/>
        <w:tabs>
          <w:tab w:leader="none" w:pos="4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spacing w:after="0" w:line="252" w:lineRule="exact"/>
        <w:rPr>
          <w:sz w:val="20"/>
          <w:szCs w:val="20"/>
          <w:color w:val="auto"/>
        </w:rPr>
      </w:pPr>
      <w:r>
        <w:rPr>
          <w:rFonts w:ascii="Arial" w:cs="Arial" w:eastAsia="Arial" w:hAnsi="Arial"/>
          <w:sz w:val="22"/>
          <w:szCs w:val="22"/>
          <w:color w:val="auto"/>
        </w:rPr>
        <w:t xml:space="preserve">4.1.2. </w:t>
      </w:r>
      <w:r>
        <w:rPr>
          <w:rFonts w:ascii="Arial" w:cs="Arial" w:eastAsia="Arial" w:hAnsi="Arial"/>
          <w:sz w:val="22"/>
          <w:szCs w:val="22"/>
          <w:b w:val="1"/>
          <w:bCs w:val="1"/>
          <w:color w:val="auto"/>
        </w:rPr>
        <w:t>Sales Milestones</w:t>
      </w:r>
      <w:r>
        <w:rPr>
          <w:rFonts w:ascii="Arial" w:cs="Arial" w:eastAsia="Arial" w:hAnsi="Arial"/>
          <w:sz w:val="22"/>
          <w:szCs w:val="22"/>
          <w:color w:val="auto"/>
        </w:rPr>
        <w:t>. CytomX shall pay to ImmunoGen the following one</w:t>
      </w:r>
      <w:r>
        <w:rPr>
          <w:rFonts w:ascii="MS PGothic" w:cs="MS PGothic" w:eastAsia="MS PGothic" w:hAnsi="MS PGothic"/>
          <w:sz w:val="22"/>
          <w:szCs w:val="22"/>
          <w:color w:val="auto"/>
        </w:rPr>
        <w:t>‑</w:t>
      </w:r>
      <w:r>
        <w:rPr>
          <w:rFonts w:ascii="Arial" w:cs="Arial" w:eastAsia="Arial" w:hAnsi="Arial"/>
          <w:sz w:val="22"/>
          <w:szCs w:val="22"/>
          <w:color w:val="auto"/>
        </w:rPr>
        <w:t>time payments (each, a “</w:t>
      </w:r>
      <w:r>
        <w:rPr>
          <w:rFonts w:ascii="Arial" w:cs="Arial" w:eastAsia="Arial" w:hAnsi="Arial"/>
          <w:sz w:val="22"/>
          <w:szCs w:val="22"/>
          <w:b w:val="1"/>
          <w:bCs w:val="1"/>
          <w:color w:val="auto"/>
        </w:rPr>
        <w:t>Sales Milestone Payment</w:t>
      </w:r>
      <w:r>
        <w:rPr>
          <w:rFonts w:ascii="Arial" w:cs="Arial" w:eastAsia="Arial" w:hAnsi="Arial"/>
          <w:sz w:val="22"/>
          <w:szCs w:val="22"/>
          <w:color w:val="auto"/>
        </w:rPr>
        <w:t>”) when aggregate Annual Net Sales of a Licensed Product in the Territory in a Calendar Year first reach the respective threshold (a “</w:t>
      </w:r>
      <w:r>
        <w:rPr>
          <w:rFonts w:ascii="Arial" w:cs="Arial" w:eastAsia="Arial" w:hAnsi="Arial"/>
          <w:sz w:val="22"/>
          <w:szCs w:val="22"/>
          <w:b w:val="1"/>
          <w:bCs w:val="1"/>
          <w:color w:val="auto"/>
        </w:rPr>
        <w:t>Sales Threshold</w:t>
      </w:r>
      <w:r>
        <w:rPr>
          <w:rFonts w:ascii="Arial" w:cs="Arial" w:eastAsia="Arial" w:hAnsi="Arial"/>
          <w:sz w:val="22"/>
          <w:szCs w:val="22"/>
          <w:color w:val="auto"/>
        </w:rPr>
        <w:t>”) indicated below (each, a “</w:t>
      </w:r>
      <w:r>
        <w:rPr>
          <w:rFonts w:ascii="Arial" w:cs="Arial" w:eastAsia="Arial" w:hAnsi="Arial"/>
          <w:sz w:val="22"/>
          <w:szCs w:val="22"/>
          <w:b w:val="1"/>
          <w:bCs w:val="1"/>
          <w:color w:val="auto"/>
        </w:rPr>
        <w:t>Sales</w:t>
      </w:r>
      <w:r>
        <w:rPr>
          <w:rFonts w:ascii="Arial" w:cs="Arial" w:eastAsia="Arial" w:hAnsi="Arial"/>
          <w:sz w:val="22"/>
          <w:szCs w:val="22"/>
          <w:color w:val="auto"/>
        </w:rPr>
        <w:t xml:space="preserve"> </w:t>
      </w:r>
      <w:r>
        <w:rPr>
          <w:rFonts w:ascii="Arial" w:cs="Arial" w:eastAsia="Arial" w:hAnsi="Arial"/>
          <w:sz w:val="22"/>
          <w:szCs w:val="22"/>
          <w:b w:val="1"/>
          <w:bCs w:val="1"/>
          <w:color w:val="auto"/>
        </w:rPr>
        <w:t>Milestone</w:t>
      </w:r>
      <w:r>
        <w:rPr>
          <w:rFonts w:ascii="Arial" w:cs="Arial" w:eastAsia="Arial" w:hAnsi="Arial"/>
          <w:sz w:val="22"/>
          <w:szCs w:val="22"/>
          <w:color w:val="auto"/>
        </w:rPr>
        <w:t>”):</w:t>
      </w:r>
    </w:p>
    <w:p>
      <w:pPr>
        <w:spacing w:after="0" w:line="188" w:lineRule="exact"/>
        <w:rPr>
          <w:sz w:val="20"/>
          <w:szCs w:val="20"/>
          <w:color w:val="auto"/>
        </w:rPr>
      </w:pPr>
    </w:p>
    <w:tbl>
      <w:tblPr>
        <w:tblLayout w:type="fixed"/>
        <w:tblInd w:w="1750" w:type="dxa"/>
        <w:tblCellMar>
          <w:top w:w="0" w:type="dxa"/>
          <w:left w:w="0" w:type="dxa"/>
          <w:bottom w:w="0" w:type="dxa"/>
          <w:right w:w="0" w:type="dxa"/>
        </w:tblCellMar>
      </w:tblPr>
      <w:tr>
        <w:trPr>
          <w:trHeight w:val="248"/>
        </w:trPr>
        <w:tc>
          <w:tcPr>
            <w:tcW w:w="6060" w:type="dxa"/>
            <w:vAlign w:val="bottom"/>
            <w:tcBorders>
              <w:top w:val="single" w:sz="8" w:color="auto"/>
              <w:left w:val="single" w:sz="8" w:color="auto"/>
              <w:right w:val="single" w:sz="8" w:color="auto"/>
            </w:tcBorders>
            <w:shd w:val="clear" w:color="auto" w:fill="DBDBDB"/>
          </w:tcPr>
          <w:p>
            <w:pPr>
              <w:ind w:left="280"/>
              <w:spacing w:after="0"/>
              <w:rPr>
                <w:sz w:val="20"/>
                <w:szCs w:val="20"/>
                <w:color w:val="auto"/>
              </w:rPr>
            </w:pPr>
            <w:r>
              <w:rPr>
                <w:rFonts w:ascii="Arial" w:cs="Arial" w:eastAsia="Arial" w:hAnsi="Arial"/>
                <w:sz w:val="18"/>
                <w:szCs w:val="18"/>
                <w:b w:val="1"/>
                <w:bCs w:val="1"/>
                <w:color w:val="auto"/>
              </w:rPr>
              <w:t>Total Annual Net Sales</w:t>
            </w:r>
          </w:p>
        </w:tc>
        <w:tc>
          <w:tcPr>
            <w:tcW w:w="3620" w:type="dxa"/>
            <w:vAlign w:val="bottom"/>
            <w:tcBorders>
              <w:top w:val="single" w:sz="8" w:color="auto"/>
              <w:right w:val="single" w:sz="8" w:color="auto"/>
            </w:tcBorders>
            <w:shd w:val="clear" w:color="auto" w:fill="DBDBDB"/>
          </w:tcPr>
          <w:p>
            <w:pPr>
              <w:ind w:left="260"/>
              <w:spacing w:after="0"/>
              <w:rPr>
                <w:sz w:val="20"/>
                <w:szCs w:val="20"/>
                <w:color w:val="auto"/>
              </w:rPr>
            </w:pPr>
            <w:r>
              <w:rPr>
                <w:rFonts w:ascii="Arial" w:cs="Arial" w:eastAsia="Arial" w:hAnsi="Arial"/>
                <w:sz w:val="18"/>
                <w:szCs w:val="18"/>
                <w:b w:val="1"/>
                <w:bCs w:val="1"/>
                <w:color w:val="auto"/>
              </w:rPr>
              <w:t>Sales Milestone Payment</w:t>
            </w:r>
          </w:p>
        </w:tc>
      </w:tr>
      <w:tr>
        <w:trPr>
          <w:trHeight w:val="198"/>
        </w:trPr>
        <w:tc>
          <w:tcPr>
            <w:tcW w:w="6060" w:type="dxa"/>
            <w:vAlign w:val="bottom"/>
            <w:tcBorders>
              <w:left w:val="single" w:sz="8" w:color="auto"/>
              <w:bottom w:val="single" w:sz="8" w:color="auto"/>
              <w:right w:val="single" w:sz="8" w:color="auto"/>
            </w:tcBorders>
            <w:shd w:val="clear" w:color="auto" w:fill="DBDBDB"/>
          </w:tcPr>
          <w:p>
            <w:pPr>
              <w:spacing w:after="0"/>
              <w:rPr>
                <w:sz w:val="17"/>
                <w:szCs w:val="17"/>
                <w:color w:val="auto"/>
              </w:rPr>
            </w:pPr>
          </w:p>
        </w:tc>
        <w:tc>
          <w:tcPr>
            <w:tcW w:w="3620" w:type="dxa"/>
            <w:vAlign w:val="bottom"/>
            <w:tcBorders>
              <w:bottom w:val="single" w:sz="8" w:color="auto"/>
              <w:right w:val="single" w:sz="8" w:color="auto"/>
            </w:tcBorders>
            <w:shd w:val="clear" w:color="auto" w:fill="DBDBDB"/>
          </w:tcPr>
          <w:p>
            <w:pPr>
              <w:spacing w:after="0"/>
              <w:rPr>
                <w:sz w:val="17"/>
                <w:szCs w:val="17"/>
                <w:color w:val="auto"/>
              </w:rPr>
            </w:pPr>
          </w:p>
        </w:tc>
      </w:tr>
      <w:tr>
        <w:trPr>
          <w:trHeight w:val="224"/>
        </w:trPr>
        <w:tc>
          <w:tcPr>
            <w:tcW w:w="60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Total Annual Net Sales at least equal $500,000,000</w:t>
            </w:r>
          </w:p>
        </w:tc>
        <w:tc>
          <w:tcPr>
            <w:tcW w:w="36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02"/>
        </w:trPr>
        <w:tc>
          <w:tcPr>
            <w:tcW w:w="6060" w:type="dxa"/>
            <w:vAlign w:val="bottom"/>
            <w:tcBorders>
              <w:left w:val="single" w:sz="8" w:color="auto"/>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spacing w:after="0"/>
              <w:rPr>
                <w:sz w:val="17"/>
                <w:szCs w:val="17"/>
                <w:color w:val="auto"/>
              </w:rPr>
            </w:pPr>
          </w:p>
        </w:tc>
      </w:tr>
      <w:tr>
        <w:trPr>
          <w:trHeight w:val="224"/>
        </w:trPr>
        <w:tc>
          <w:tcPr>
            <w:tcW w:w="60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Total Annual Net Sales at least equal $750,000,000</w:t>
            </w:r>
          </w:p>
        </w:tc>
        <w:tc>
          <w:tcPr>
            <w:tcW w:w="36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02"/>
        </w:trPr>
        <w:tc>
          <w:tcPr>
            <w:tcW w:w="6060" w:type="dxa"/>
            <w:vAlign w:val="bottom"/>
            <w:tcBorders>
              <w:left w:val="single" w:sz="8" w:color="auto"/>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spacing w:after="0"/>
              <w:rPr>
                <w:sz w:val="17"/>
                <w:szCs w:val="17"/>
                <w:color w:val="auto"/>
              </w:rPr>
            </w:pPr>
          </w:p>
        </w:tc>
      </w:tr>
      <w:tr>
        <w:trPr>
          <w:trHeight w:val="224"/>
        </w:trPr>
        <w:tc>
          <w:tcPr>
            <w:tcW w:w="60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 Annual Net Sales at least equal $1,000,000,000</w:t>
            </w:r>
          </w:p>
        </w:tc>
        <w:tc>
          <w:tcPr>
            <w:tcW w:w="36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02"/>
        </w:trPr>
        <w:tc>
          <w:tcPr>
            <w:tcW w:w="6060" w:type="dxa"/>
            <w:vAlign w:val="bottom"/>
            <w:tcBorders>
              <w:left w:val="single" w:sz="8" w:color="auto"/>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spacing w:after="0"/>
              <w:rPr>
                <w:sz w:val="17"/>
                <w:szCs w:val="17"/>
                <w:color w:val="auto"/>
              </w:rPr>
            </w:pPr>
          </w:p>
        </w:tc>
      </w:tr>
      <w:tr>
        <w:trPr>
          <w:trHeight w:val="224"/>
        </w:trPr>
        <w:tc>
          <w:tcPr>
            <w:tcW w:w="60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Total Annual Net Sales at least equal $1,500,000,000</w:t>
            </w:r>
          </w:p>
        </w:tc>
        <w:tc>
          <w:tcPr>
            <w:tcW w:w="36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w:t>
            </w:r>
          </w:p>
        </w:tc>
      </w:tr>
      <w:tr>
        <w:trPr>
          <w:trHeight w:val="202"/>
        </w:trPr>
        <w:tc>
          <w:tcPr>
            <w:tcW w:w="6060" w:type="dxa"/>
            <w:vAlign w:val="bottom"/>
            <w:tcBorders>
              <w:left w:val="single" w:sz="8" w:color="auto"/>
              <w:bottom w:val="single" w:sz="8" w:color="auto"/>
              <w:right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spacing w:after="0"/>
              <w:rPr>
                <w:sz w:val="17"/>
                <w:szCs w:val="17"/>
                <w:color w:val="auto"/>
              </w:rPr>
            </w:pPr>
          </w:p>
        </w:tc>
      </w:tr>
    </w:tbl>
    <w:p>
      <w:pPr>
        <w:spacing w:after="0" w:line="208" w:lineRule="exact"/>
        <w:rPr>
          <w:sz w:val="20"/>
          <w:szCs w:val="20"/>
          <w:color w:val="auto"/>
        </w:rPr>
      </w:pPr>
    </w:p>
    <w:p>
      <w:pPr>
        <w:jc w:val="both"/>
        <w:ind w:left="1740"/>
        <w:spacing w:after="0" w:line="236" w:lineRule="auto"/>
        <w:rPr>
          <w:sz w:val="20"/>
          <w:szCs w:val="20"/>
          <w:color w:val="auto"/>
        </w:rPr>
      </w:pPr>
      <w:r>
        <w:rPr>
          <w:rFonts w:ascii="Arial" w:cs="Arial" w:eastAsia="Arial" w:hAnsi="Arial"/>
          <w:sz w:val="22"/>
          <w:szCs w:val="22"/>
          <w:color w:val="auto"/>
        </w:rPr>
        <w:t>Any Sales Milestone Payment with respect to any Calendar Year shall be payable within sixty (60) days of the end of such Calendar Year in the United States. Each Sales Milestone Payment is payable a maximum of one time only, regardless of the number of times a Licensed Product achieves a particular Sales Threshold or the number of Licensed Products that achieve a particular Sales Threshold. All Sales Milestone Payments shall be nonrefundable and noncreditable.</w:t>
      </w:r>
    </w:p>
    <w:p>
      <w:pPr>
        <w:spacing w:after="0" w:line="18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Royalties</w:t>
      </w:r>
      <w:r>
        <w:rPr>
          <w:rFonts w:ascii="Arial" w:cs="Arial" w:eastAsia="Arial" w:hAnsi="Arial"/>
          <w:sz w:val="19"/>
          <w:szCs w:val="19"/>
          <w:color w:val="auto"/>
        </w:rPr>
        <w:t>.</w:t>
      </w:r>
    </w:p>
    <w:p>
      <w:pPr>
        <w:spacing w:after="0" w:line="212"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4.2.1.</w:t>
      </w:r>
      <w:r>
        <w:rPr>
          <w:sz w:val="20"/>
          <w:szCs w:val="20"/>
          <w:color w:val="auto"/>
        </w:rPr>
        <w:tab/>
      </w:r>
      <w:r>
        <w:rPr>
          <w:rFonts w:ascii="Arial" w:cs="Arial" w:eastAsia="Arial" w:hAnsi="Arial"/>
          <w:sz w:val="19"/>
          <w:szCs w:val="19"/>
          <w:color w:val="auto"/>
        </w:rPr>
        <w:t xml:space="preserve">Royalty Payments. With respect to each Licensed Product and subject to the provisions of </w:t>
      </w:r>
      <w:r>
        <w:rPr>
          <w:rFonts w:ascii="Arial" w:cs="Arial" w:eastAsia="Arial" w:hAnsi="Arial"/>
          <w:sz w:val="19"/>
          <w:szCs w:val="19"/>
          <w:u w:val="single" w:color="auto"/>
          <w:color w:val="auto"/>
        </w:rPr>
        <w:t>Section</w:t>
      </w:r>
    </w:p>
    <w:p>
      <w:pPr>
        <w:spacing w:after="0" w:line="8" w:lineRule="exact"/>
        <w:rPr>
          <w:sz w:val="20"/>
          <w:szCs w:val="20"/>
          <w:color w:val="auto"/>
        </w:rPr>
      </w:pPr>
    </w:p>
    <w:p>
      <w:pPr>
        <w:ind w:left="1760"/>
        <w:spacing w:after="0" w:line="256" w:lineRule="auto"/>
        <w:rPr>
          <w:sz w:val="20"/>
          <w:szCs w:val="20"/>
          <w:color w:val="auto"/>
        </w:rPr>
      </w:pPr>
      <w:r>
        <w:rPr>
          <w:rFonts w:ascii="Arial" w:cs="Arial" w:eastAsia="Arial" w:hAnsi="Arial"/>
          <w:sz w:val="21"/>
          <w:szCs w:val="21"/>
          <w:u w:val="single" w:color="auto"/>
          <w:color w:val="auto"/>
        </w:rPr>
        <w:t>4.2.2</w:t>
      </w:r>
      <w:r>
        <w:rPr>
          <w:rFonts w:ascii="Arial" w:cs="Arial" w:eastAsia="Arial" w:hAnsi="Arial"/>
          <w:sz w:val="21"/>
          <w:szCs w:val="21"/>
          <w:color w:val="auto"/>
        </w:rPr>
        <w:t xml:space="preserve"> hereof, CytomX shall pay ImmunoGen royalties in the amount of the applicable rates (“</w:t>
      </w:r>
      <w:r>
        <w:rPr>
          <w:rFonts w:ascii="Arial" w:cs="Arial" w:eastAsia="Arial" w:hAnsi="Arial"/>
          <w:sz w:val="21"/>
          <w:szCs w:val="21"/>
          <w:b w:val="1"/>
          <w:bCs w:val="1"/>
          <w:color w:val="auto"/>
        </w:rPr>
        <w:t>Marginal</w:t>
      </w:r>
      <w:r>
        <w:rPr>
          <w:rFonts w:ascii="Arial" w:cs="Arial" w:eastAsia="Arial" w:hAnsi="Arial"/>
          <w:sz w:val="21"/>
          <w:szCs w:val="21"/>
          <w:color w:val="auto"/>
        </w:rPr>
        <w:t xml:space="preserve"> </w:t>
      </w:r>
      <w:r>
        <w:rPr>
          <w:rFonts w:ascii="Arial" w:cs="Arial" w:eastAsia="Arial" w:hAnsi="Arial"/>
          <w:sz w:val="21"/>
          <w:szCs w:val="21"/>
          <w:b w:val="1"/>
          <w:bCs w:val="1"/>
          <w:color w:val="auto"/>
        </w:rPr>
        <w:t>Royalty Rates</w:t>
      </w:r>
      <w:r>
        <w:rPr>
          <w:rFonts w:ascii="Arial" w:cs="Arial" w:eastAsia="Arial" w:hAnsi="Arial"/>
          <w:sz w:val="21"/>
          <w:szCs w:val="21"/>
          <w:color w:val="auto"/>
        </w:rPr>
        <w:t>”) set forth below of Annual Net Sales of such Licensed Product during the Royalty Term:</w:t>
      </w:r>
    </w:p>
    <w:p>
      <w:pPr>
        <w:spacing w:after="0" w:line="171" w:lineRule="exact"/>
        <w:rPr>
          <w:sz w:val="20"/>
          <w:szCs w:val="20"/>
          <w:color w:val="auto"/>
        </w:rPr>
      </w:pPr>
    </w:p>
    <w:tbl>
      <w:tblPr>
        <w:tblLayout w:type="fixed"/>
        <w:tblInd w:w="1750" w:type="dxa"/>
        <w:tblCellMar>
          <w:top w:w="0" w:type="dxa"/>
          <w:left w:w="0" w:type="dxa"/>
          <w:bottom w:w="0" w:type="dxa"/>
          <w:right w:w="0" w:type="dxa"/>
        </w:tblCellMar>
      </w:tblPr>
      <w:tr>
        <w:trPr>
          <w:trHeight w:val="211"/>
        </w:trPr>
        <w:tc>
          <w:tcPr>
            <w:tcW w:w="4840" w:type="dxa"/>
            <w:vAlign w:val="bottom"/>
            <w:tcBorders>
              <w:top w:val="single" w:sz="8" w:color="auto"/>
              <w:left w:val="single" w:sz="8" w:color="auto"/>
              <w:right w:val="single" w:sz="8" w:color="auto"/>
            </w:tcBorders>
            <w:shd w:val="clear" w:color="auto" w:fill="DBDBDB"/>
          </w:tcPr>
          <w:p>
            <w:pPr>
              <w:ind w:left="300"/>
              <w:spacing w:after="0"/>
              <w:rPr>
                <w:sz w:val="20"/>
                <w:szCs w:val="20"/>
                <w:color w:val="auto"/>
              </w:rPr>
            </w:pPr>
            <w:r>
              <w:rPr>
                <w:rFonts w:ascii="Arial" w:cs="Arial" w:eastAsia="Arial" w:hAnsi="Arial"/>
                <w:sz w:val="18"/>
                <w:szCs w:val="18"/>
                <w:b w:val="1"/>
                <w:bCs w:val="1"/>
                <w:color w:val="auto"/>
              </w:rPr>
              <w:t>Annual Net Sales</w:t>
            </w:r>
          </w:p>
        </w:tc>
        <w:tc>
          <w:tcPr>
            <w:tcW w:w="4840" w:type="dxa"/>
            <w:vAlign w:val="bottom"/>
            <w:tcBorders>
              <w:top w:val="single" w:sz="8" w:color="auto"/>
              <w:right w:val="single" w:sz="8" w:color="auto"/>
            </w:tcBorders>
            <w:shd w:val="clear" w:color="auto" w:fill="DBDBDB"/>
          </w:tcPr>
          <w:p>
            <w:pPr>
              <w:ind w:left="140"/>
              <w:spacing w:after="0"/>
              <w:rPr>
                <w:sz w:val="20"/>
                <w:szCs w:val="20"/>
                <w:color w:val="auto"/>
              </w:rPr>
            </w:pPr>
            <w:r>
              <w:rPr>
                <w:rFonts w:ascii="Arial" w:cs="Arial" w:eastAsia="Arial" w:hAnsi="Arial"/>
                <w:sz w:val="18"/>
                <w:szCs w:val="18"/>
                <w:b w:val="1"/>
                <w:bCs w:val="1"/>
                <w:color w:val="auto"/>
                <w:w w:val="93"/>
              </w:rPr>
              <w:t>Marginal Royalty Rate for Licensed Products (% of Annual</w:t>
            </w:r>
          </w:p>
        </w:tc>
      </w:tr>
      <w:tr>
        <w:trPr>
          <w:trHeight w:val="234"/>
        </w:trPr>
        <w:tc>
          <w:tcPr>
            <w:tcW w:w="4840" w:type="dxa"/>
            <w:vAlign w:val="bottom"/>
            <w:tcBorders>
              <w:left w:val="single" w:sz="8" w:color="auto"/>
              <w:right w:val="single" w:sz="8" w:color="auto"/>
            </w:tcBorders>
            <w:shd w:val="clear" w:color="auto" w:fill="DBDBDB"/>
          </w:tcPr>
          <w:p>
            <w:pPr>
              <w:spacing w:after="0"/>
              <w:rPr>
                <w:sz w:val="20"/>
                <w:szCs w:val="20"/>
                <w:color w:val="auto"/>
              </w:rPr>
            </w:pPr>
          </w:p>
        </w:tc>
        <w:tc>
          <w:tcPr>
            <w:tcW w:w="4840" w:type="dxa"/>
            <w:vAlign w:val="bottom"/>
            <w:tcBorders>
              <w:right w:val="single" w:sz="8" w:color="auto"/>
            </w:tcBorders>
            <w:shd w:val="clear" w:color="auto" w:fill="DBDBDB"/>
          </w:tcPr>
          <w:p>
            <w:pPr>
              <w:ind w:left="140"/>
              <w:spacing w:after="0"/>
              <w:rPr>
                <w:sz w:val="20"/>
                <w:szCs w:val="20"/>
                <w:color w:val="auto"/>
              </w:rPr>
            </w:pPr>
            <w:r>
              <w:rPr>
                <w:rFonts w:ascii="Arial" w:cs="Arial" w:eastAsia="Arial" w:hAnsi="Arial"/>
                <w:sz w:val="18"/>
                <w:szCs w:val="18"/>
                <w:b w:val="1"/>
                <w:bCs w:val="1"/>
                <w:color w:val="auto"/>
              </w:rPr>
              <w:t>Net Sales)</w:t>
            </w:r>
          </w:p>
        </w:tc>
      </w:tr>
      <w:tr>
        <w:trPr>
          <w:trHeight w:val="216"/>
        </w:trPr>
        <w:tc>
          <w:tcPr>
            <w:tcW w:w="4840" w:type="dxa"/>
            <w:vAlign w:val="bottom"/>
            <w:tcBorders>
              <w:left w:val="single" w:sz="8" w:color="auto"/>
              <w:bottom w:val="single" w:sz="8" w:color="auto"/>
              <w:right w:val="single" w:sz="8" w:color="auto"/>
            </w:tcBorders>
            <w:shd w:val="clear" w:color="auto" w:fill="DBDBDB"/>
          </w:tcPr>
          <w:p>
            <w:pPr>
              <w:spacing w:after="0"/>
              <w:rPr>
                <w:sz w:val="18"/>
                <w:szCs w:val="18"/>
                <w:color w:val="auto"/>
              </w:rPr>
            </w:pPr>
          </w:p>
        </w:tc>
        <w:tc>
          <w:tcPr>
            <w:tcW w:w="4840" w:type="dxa"/>
            <w:vAlign w:val="bottom"/>
            <w:tcBorders>
              <w:bottom w:val="single" w:sz="8" w:color="auto"/>
              <w:right w:val="single" w:sz="8" w:color="auto"/>
            </w:tcBorders>
            <w:shd w:val="clear" w:color="auto" w:fill="DBDBDB"/>
          </w:tcPr>
          <w:p>
            <w:pPr>
              <w:spacing w:after="0"/>
              <w:rPr>
                <w:sz w:val="18"/>
                <w:szCs w:val="18"/>
                <w:color w:val="auto"/>
              </w:rPr>
            </w:pPr>
          </w:p>
        </w:tc>
      </w:tr>
      <w:tr>
        <w:trPr>
          <w:trHeight w:val="195"/>
        </w:trPr>
        <w:tc>
          <w:tcPr>
            <w:tcW w:w="4840" w:type="dxa"/>
            <w:vAlign w:val="bottom"/>
            <w:tcBorders>
              <w:left w:val="single" w:sz="8" w:color="auto"/>
              <w:right w:val="single" w:sz="8" w:color="auto"/>
            </w:tcBorders>
          </w:tcPr>
          <w:p>
            <w:pPr>
              <w:ind w:left="300"/>
              <w:spacing w:after="0" w:line="195" w:lineRule="exact"/>
              <w:rPr>
                <w:sz w:val="20"/>
                <w:szCs w:val="20"/>
                <w:color w:val="auto"/>
              </w:rPr>
            </w:pPr>
            <w:r>
              <w:rPr>
                <w:rFonts w:ascii="Arial" w:cs="Arial" w:eastAsia="Arial" w:hAnsi="Arial"/>
                <w:sz w:val="18"/>
                <w:szCs w:val="18"/>
                <w:color w:val="auto"/>
                <w:w w:val="96"/>
              </w:rPr>
              <w:t>Annual Net Sales of such Licensed Product during a given</w:t>
            </w:r>
          </w:p>
        </w:tc>
        <w:tc>
          <w:tcPr>
            <w:tcW w:w="4840" w:type="dxa"/>
            <w:vAlign w:val="bottom"/>
            <w:tcBorders>
              <w:right w:val="single" w:sz="8" w:color="auto"/>
            </w:tcBorders>
          </w:tcPr>
          <w:p>
            <w:pPr>
              <w:jc w:val="right"/>
              <w:ind w:right="2070"/>
              <w:spacing w:after="0" w:line="195" w:lineRule="exact"/>
              <w:rPr>
                <w:sz w:val="20"/>
                <w:szCs w:val="20"/>
                <w:color w:val="auto"/>
              </w:rPr>
            </w:pPr>
            <w:r>
              <w:rPr>
                <w:rFonts w:ascii="Arial" w:cs="Arial" w:eastAsia="Arial" w:hAnsi="Arial"/>
                <w:sz w:val="18"/>
                <w:szCs w:val="18"/>
                <w:color w:val="auto"/>
              </w:rPr>
              <w:t>[***]</w:t>
            </w:r>
          </w:p>
        </w:tc>
      </w:tr>
      <w:tr>
        <w:trPr>
          <w:trHeight w:val="230"/>
        </w:trPr>
        <w:tc>
          <w:tcPr>
            <w:tcW w:w="48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Calendar Year up to and including $500,000,000</w:t>
            </w:r>
          </w:p>
        </w:tc>
        <w:tc>
          <w:tcPr>
            <w:tcW w:w="4840" w:type="dxa"/>
            <w:vAlign w:val="bottom"/>
            <w:tcBorders>
              <w:right w:val="single" w:sz="8" w:color="auto"/>
            </w:tcBorders>
          </w:tcPr>
          <w:p>
            <w:pPr>
              <w:spacing w:after="0"/>
              <w:rPr>
                <w:sz w:val="20"/>
                <w:szCs w:val="20"/>
                <w:color w:val="auto"/>
              </w:rPr>
            </w:pPr>
          </w:p>
        </w:tc>
      </w:tr>
      <w:tr>
        <w:trPr>
          <w:trHeight w:val="216"/>
        </w:trPr>
        <w:tc>
          <w:tcPr>
            <w:tcW w:w="4840" w:type="dxa"/>
            <w:vAlign w:val="bottom"/>
            <w:tcBorders>
              <w:left w:val="single" w:sz="8" w:color="auto"/>
              <w:bottom w:val="single" w:sz="8" w:color="auto"/>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13" w:lineRule="exact"/>
        <w:rPr>
          <w:sz w:val="20"/>
          <w:szCs w:val="20"/>
          <w:color w:val="auto"/>
        </w:rPr>
      </w:pPr>
    </w:p>
    <w:p>
      <w:pPr>
        <w:ind w:right="200" w:firstLine="8"/>
        <w:spacing w:after="0" w:line="259" w:lineRule="auto"/>
        <w:tabs>
          <w:tab w:leader="none" w:pos="43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3" w:lineRule="exact"/>
        <w:rPr>
          <w:sz w:val="20"/>
          <w:szCs w:val="20"/>
          <w:color w:val="auto"/>
        </w:rPr>
      </w:pPr>
    </w:p>
    <w:tbl>
      <w:tblPr>
        <w:tblLayout w:type="fixed"/>
        <w:tblInd w:w="1750" w:type="dxa"/>
        <w:tblCellMar>
          <w:top w:w="0" w:type="dxa"/>
          <w:left w:w="0" w:type="dxa"/>
          <w:bottom w:w="0" w:type="dxa"/>
          <w:right w:w="0" w:type="dxa"/>
        </w:tblCellMar>
      </w:tblPr>
      <w:tr>
        <w:trPr>
          <w:trHeight w:val="215"/>
        </w:trPr>
        <w:tc>
          <w:tcPr>
            <w:tcW w:w="4840" w:type="dxa"/>
            <w:vAlign w:val="bottom"/>
            <w:tcBorders>
              <w:top w:val="single" w:sz="8" w:color="auto"/>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w w:val="96"/>
              </w:rPr>
              <w:t>Annual Net Sales of such Licensed Product during a given</w:t>
            </w:r>
          </w:p>
        </w:tc>
        <w:tc>
          <w:tcPr>
            <w:tcW w:w="4840" w:type="dxa"/>
            <w:vAlign w:val="bottom"/>
            <w:tcBorders>
              <w:top w:val="single" w:sz="8" w:color="auto"/>
              <w:right w:val="single" w:sz="8" w:color="auto"/>
            </w:tcBorders>
          </w:tcPr>
          <w:p>
            <w:pPr>
              <w:jc w:val="right"/>
              <w:ind w:right="207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Calendar</w:t>
            </w:r>
          </w:p>
        </w:tc>
        <w:tc>
          <w:tcPr>
            <w:tcW w:w="4840" w:type="dxa"/>
            <w:vAlign w:val="bottom"/>
            <w:tcBorders>
              <w:right w:val="single" w:sz="8" w:color="auto"/>
            </w:tcBorders>
          </w:tcPr>
          <w:p>
            <w:pPr>
              <w:spacing w:after="0"/>
              <w:rPr>
                <w:sz w:val="20"/>
                <w:szCs w:val="20"/>
                <w:color w:val="auto"/>
              </w:rPr>
            </w:pPr>
          </w:p>
        </w:tc>
      </w:tr>
      <w:tr>
        <w:trPr>
          <w:trHeight w:val="432"/>
        </w:trPr>
        <w:tc>
          <w:tcPr>
            <w:tcW w:w="48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0"/>
              </w:rPr>
              <w:t>Year above $500,000,000, up to and including $1,000,000,000</w:t>
            </w:r>
          </w:p>
        </w:tc>
        <w:tc>
          <w:tcPr>
            <w:tcW w:w="4840" w:type="dxa"/>
            <w:vAlign w:val="bottom"/>
            <w:tcBorders>
              <w:right w:val="single" w:sz="8" w:color="auto"/>
            </w:tcBorders>
          </w:tcPr>
          <w:p>
            <w:pPr>
              <w:spacing w:after="0"/>
              <w:rPr>
                <w:sz w:val="24"/>
                <w:szCs w:val="24"/>
                <w:color w:val="auto"/>
              </w:rPr>
            </w:pPr>
          </w:p>
        </w:tc>
      </w:tr>
      <w:tr>
        <w:trPr>
          <w:trHeight w:val="216"/>
        </w:trPr>
        <w:tc>
          <w:tcPr>
            <w:tcW w:w="4840" w:type="dxa"/>
            <w:vAlign w:val="bottom"/>
            <w:tcBorders>
              <w:left w:val="single" w:sz="8" w:color="auto"/>
              <w:bottom w:val="single" w:sz="8" w:color="auto"/>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r>
      <w:tr>
        <w:trPr>
          <w:trHeight w:val="195"/>
        </w:trPr>
        <w:tc>
          <w:tcPr>
            <w:tcW w:w="4840" w:type="dxa"/>
            <w:vAlign w:val="bottom"/>
            <w:tcBorders>
              <w:left w:val="single" w:sz="8" w:color="auto"/>
              <w:right w:val="single" w:sz="8" w:color="auto"/>
            </w:tcBorders>
          </w:tcPr>
          <w:p>
            <w:pPr>
              <w:ind w:left="300"/>
              <w:spacing w:after="0" w:line="195" w:lineRule="exact"/>
              <w:rPr>
                <w:sz w:val="20"/>
                <w:szCs w:val="20"/>
                <w:color w:val="auto"/>
              </w:rPr>
            </w:pPr>
            <w:r>
              <w:rPr>
                <w:rFonts w:ascii="Arial" w:cs="Arial" w:eastAsia="Arial" w:hAnsi="Arial"/>
                <w:sz w:val="18"/>
                <w:szCs w:val="18"/>
                <w:color w:val="auto"/>
                <w:w w:val="96"/>
              </w:rPr>
              <w:t>Annual Net Sales of such Licensed Product during a given</w:t>
            </w:r>
          </w:p>
        </w:tc>
        <w:tc>
          <w:tcPr>
            <w:tcW w:w="4840" w:type="dxa"/>
            <w:vAlign w:val="bottom"/>
            <w:tcBorders>
              <w:right w:val="single" w:sz="8" w:color="auto"/>
            </w:tcBorders>
          </w:tcPr>
          <w:p>
            <w:pPr>
              <w:jc w:val="right"/>
              <w:ind w:right="2070"/>
              <w:spacing w:after="0" w:line="195" w:lineRule="exact"/>
              <w:rPr>
                <w:sz w:val="20"/>
                <w:szCs w:val="20"/>
                <w:color w:val="auto"/>
              </w:rPr>
            </w:pPr>
            <w:r>
              <w:rPr>
                <w:rFonts w:ascii="Arial" w:cs="Arial" w:eastAsia="Arial" w:hAnsi="Arial"/>
                <w:sz w:val="18"/>
                <w:szCs w:val="18"/>
                <w:b w:val="1"/>
                <w:bCs w:val="1"/>
                <w:color w:val="auto"/>
              </w:rPr>
              <w:t>[***]</w:t>
            </w:r>
          </w:p>
        </w:tc>
      </w:tr>
      <w:tr>
        <w:trPr>
          <w:trHeight w:val="230"/>
        </w:trPr>
        <w:tc>
          <w:tcPr>
            <w:tcW w:w="484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Calendar Year above $1,000,000,000</w:t>
            </w:r>
          </w:p>
        </w:tc>
        <w:tc>
          <w:tcPr>
            <w:tcW w:w="4840" w:type="dxa"/>
            <w:vAlign w:val="bottom"/>
            <w:tcBorders>
              <w:right w:val="single" w:sz="8" w:color="auto"/>
            </w:tcBorders>
          </w:tcPr>
          <w:p>
            <w:pPr>
              <w:spacing w:after="0"/>
              <w:rPr>
                <w:sz w:val="20"/>
                <w:szCs w:val="20"/>
                <w:color w:val="auto"/>
              </w:rPr>
            </w:pPr>
          </w:p>
        </w:tc>
      </w:tr>
      <w:tr>
        <w:trPr>
          <w:trHeight w:val="216"/>
        </w:trPr>
        <w:tc>
          <w:tcPr>
            <w:tcW w:w="4840" w:type="dxa"/>
            <w:vAlign w:val="bottom"/>
            <w:tcBorders>
              <w:left w:val="single" w:sz="8" w:color="auto"/>
              <w:bottom w:val="single" w:sz="8" w:color="auto"/>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760"/>
        <w:spacing w:after="0" w:line="243" w:lineRule="auto"/>
        <w:rPr>
          <w:sz w:val="20"/>
          <w:szCs w:val="20"/>
          <w:color w:val="auto"/>
        </w:rPr>
      </w:pPr>
      <w:r>
        <w:rPr>
          <w:rFonts w:ascii="Arial" w:cs="Arial" w:eastAsia="Arial" w:hAnsi="Arial"/>
          <w:sz w:val="22"/>
          <w:szCs w:val="22"/>
          <w:color w:val="auto"/>
        </w:rPr>
        <w:t xml:space="preserve">4.2.2. </w:t>
      </w:r>
      <w:r>
        <w:rPr>
          <w:rFonts w:ascii="Arial" w:cs="Arial" w:eastAsia="Arial" w:hAnsi="Arial"/>
          <w:sz w:val="22"/>
          <w:szCs w:val="22"/>
          <w:b w:val="1"/>
          <w:bCs w:val="1"/>
          <w:color w:val="auto"/>
        </w:rPr>
        <w:t>Marginal Royalty Rate Application</w:t>
      </w:r>
      <w:r>
        <w:rPr>
          <w:rFonts w:ascii="Arial" w:cs="Arial" w:eastAsia="Arial" w:hAnsi="Arial"/>
          <w:sz w:val="22"/>
          <w:szCs w:val="22"/>
          <w:color w:val="auto"/>
        </w:rPr>
        <w:t>. Each Marginal Royalty Rate set forth in the table above shall apply only to that portion of the Annual Net Sales of a given Licensed Product in the Territory during a given Calendar Year that falls within the indicated range.</w:t>
      </w:r>
    </w:p>
    <w:p>
      <w:pPr>
        <w:spacing w:after="0" w:line="177"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4.2.3.</w:t>
      </w:r>
      <w:r>
        <w:rPr>
          <w:sz w:val="20"/>
          <w:szCs w:val="20"/>
          <w:color w:val="auto"/>
        </w:rPr>
        <w:tab/>
      </w:r>
      <w:r>
        <w:rPr>
          <w:rFonts w:ascii="Arial" w:cs="Arial" w:eastAsia="Arial" w:hAnsi="Arial"/>
          <w:sz w:val="19"/>
          <w:szCs w:val="19"/>
          <w:b w:val="1"/>
          <w:bCs w:val="1"/>
          <w:color w:val="auto"/>
        </w:rPr>
        <w:t>Royalty Adjustments</w:t>
      </w:r>
      <w:r>
        <w:rPr>
          <w:rFonts w:ascii="Arial" w:cs="Arial" w:eastAsia="Arial" w:hAnsi="Arial"/>
          <w:sz w:val="19"/>
          <w:szCs w:val="19"/>
          <w:color w:val="auto"/>
        </w:rPr>
        <w:t>.</w:t>
      </w:r>
    </w:p>
    <w:p>
      <w:pPr>
        <w:spacing w:after="0" w:line="212" w:lineRule="exact"/>
        <w:rPr>
          <w:sz w:val="20"/>
          <w:szCs w:val="20"/>
          <w:color w:val="auto"/>
        </w:rPr>
      </w:pPr>
    </w:p>
    <w:p>
      <w:pPr>
        <w:jc w:val="both"/>
        <w:ind w:left="2640" w:firstLine="2"/>
        <w:spacing w:after="0" w:line="269" w:lineRule="auto"/>
        <w:tabs>
          <w:tab w:leader="none" w:pos="352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Third Party Royalty Offset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4.2.3(e)</w:t>
      </w:r>
      <w:r>
        <w:rPr>
          <w:rFonts w:ascii="Arial" w:cs="Arial" w:eastAsia="Arial" w:hAnsi="Arial"/>
          <w:sz w:val="19"/>
          <w:szCs w:val="19"/>
          <w:color w:val="auto"/>
        </w:rPr>
        <w:t xml:space="preserve"> hereof, if, with respect to a Calendar Quarter, CytomX or any of its Affiliates or Sublicensees actually makes royalty payments to one or more Third Parties in consideration of a license, in the absence of which CytomX could not practice the Licensed Intellectual Property to make, offer for sale, sell or import the Cytotoxic Compound portion or Linker portion of any Licensed Product included within the Licensed Intellectual Property (excluding any Licensed Intellectual Property jointly owned by ImmunoGen or its Affiliates, on the one hand, and CytomX or its Affiliates, on the other hand) without infringing an issued patent or patents owned or exclusively licensed by such Third Party in any country (collectively, “</w:t>
      </w:r>
      <w:r>
        <w:rPr>
          <w:rFonts w:ascii="Arial" w:cs="Arial" w:eastAsia="Arial" w:hAnsi="Arial"/>
          <w:sz w:val="19"/>
          <w:szCs w:val="19"/>
          <w:b w:val="1"/>
          <w:bCs w:val="1"/>
          <w:color w:val="auto"/>
        </w:rPr>
        <w:t>Third Party Payments</w:t>
      </w:r>
      <w:r>
        <w:rPr>
          <w:rFonts w:ascii="Arial" w:cs="Arial" w:eastAsia="Arial" w:hAnsi="Arial"/>
          <w:sz w:val="19"/>
          <w:szCs w:val="19"/>
          <w:color w:val="auto"/>
        </w:rPr>
        <w:t xml:space="preserve">”), as evidenced, to the extent requested by ImmunoGen, by an opinion of Independent Patent Counsel selected by CytomX and approved by ImmunoGen (which approval shall not be unreasonably withheld), then CytomX shall have the right to reduce the royalties otherwise due to ImmunoGen pursuant to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4.2.3(c)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4.2.3(d)</w:t>
      </w:r>
      <w:r>
        <w:rPr>
          <w:rFonts w:ascii="Arial" w:cs="Arial" w:eastAsia="Arial" w:hAnsi="Arial"/>
          <w:sz w:val="19"/>
          <w:szCs w:val="19"/>
          <w:color w:val="auto"/>
        </w:rPr>
        <w:t xml:space="preserve"> hereof (but not the royalties otherwise due to ImmunoGen pursuant to </w:t>
      </w:r>
      <w:r>
        <w:rPr>
          <w:rFonts w:ascii="Arial" w:cs="Arial" w:eastAsia="Arial" w:hAnsi="Arial"/>
          <w:sz w:val="19"/>
          <w:szCs w:val="19"/>
          <w:u w:val="single" w:color="auto"/>
          <w:color w:val="auto"/>
        </w:rPr>
        <w:t>Section 4.2.3(b)</w:t>
      </w:r>
      <w:r>
        <w:rPr>
          <w:rFonts w:ascii="Arial" w:cs="Arial" w:eastAsia="Arial" w:hAnsi="Arial"/>
          <w:sz w:val="19"/>
          <w:szCs w:val="19"/>
          <w:color w:val="auto"/>
        </w:rPr>
        <w:t xml:space="preserve"> hereof) with respect to Net Sales in such country of such Licensed Products in such Calendar Quarter by an amount equal to fifty percent (50%) of the amount of such Third Party Payments. For purposes of clarity, the term “Third Party Payments” includes only prospective running royalties payable on the same basis as required by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does not include any lump-sum license fees, milestone payments, minimum royalties in excess of accrued royalties, any amounts paid for past infringement of any Third Party’s rights or any amount paid for rights not required to permit CytomX to practice the Licensed Intellectual Property to make, use, offer for sale, sell or import the Cytotoxic Compound portion or Linker portion of any Licensed Product included in the Licensed Intellectual Property in any country. For the avoidance of doubt, the Parties agree and acknowledge that this </w:t>
      </w:r>
      <w:r>
        <w:rPr>
          <w:rFonts w:ascii="Arial" w:cs="Arial" w:eastAsia="Arial" w:hAnsi="Arial"/>
          <w:sz w:val="19"/>
          <w:szCs w:val="19"/>
          <w:u w:val="single" w:color="auto"/>
          <w:color w:val="auto"/>
        </w:rPr>
        <w:t>Section 4.2.3(a)</w:t>
      </w:r>
      <w:r>
        <w:rPr>
          <w:rFonts w:ascii="Arial" w:cs="Arial" w:eastAsia="Arial" w:hAnsi="Arial"/>
          <w:sz w:val="19"/>
          <w:szCs w:val="19"/>
          <w:color w:val="auto"/>
        </w:rPr>
        <w:t xml:space="preserve"> shall not apply with respect to royalties payable by a Party to any Third Party under any agreement in existence as of the Effective Date.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13" w:lineRule="exact"/>
        <w:rPr>
          <w:sz w:val="20"/>
          <w:szCs w:val="20"/>
          <w:color w:val="auto"/>
        </w:rPr>
      </w:pPr>
    </w:p>
    <w:p>
      <w:pPr>
        <w:ind w:right="200" w:firstLine="8"/>
        <w:spacing w:after="0" w:line="259" w:lineRule="auto"/>
        <w:tabs>
          <w:tab w:leader="none" w:pos="4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ind w:left="3540" w:hanging="898"/>
        <w:spacing w:after="0"/>
        <w:tabs>
          <w:tab w:leader="none" w:pos="354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Valid Claim Coverage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3520" w:hanging="1"/>
        <w:spacing w:after="0" w:line="270" w:lineRule="auto"/>
        <w:tabs>
          <w:tab w:leader="none" w:pos="4372"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No Patent Coverage</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4.2.3(e)</w:t>
      </w:r>
      <w:r>
        <w:rPr>
          <w:rFonts w:ascii="Arial" w:cs="Arial" w:eastAsia="Arial" w:hAnsi="Arial"/>
          <w:sz w:val="19"/>
          <w:szCs w:val="19"/>
          <w:color w:val="auto"/>
        </w:rPr>
        <w:t xml:space="preserve"> hereof, the royalty rates set forth in </w:t>
      </w:r>
      <w:r>
        <w:rPr>
          <w:rFonts w:ascii="Arial" w:cs="Arial" w:eastAsia="Arial" w:hAnsi="Arial"/>
          <w:sz w:val="19"/>
          <w:szCs w:val="19"/>
          <w:u w:val="single" w:color="auto"/>
          <w:color w:val="auto"/>
        </w:rPr>
        <w:t>Sections 4.2.1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4.2.3(d)</w:t>
      </w:r>
      <w:r>
        <w:rPr>
          <w:rFonts w:ascii="Arial" w:cs="Arial" w:eastAsia="Arial" w:hAnsi="Arial"/>
          <w:sz w:val="19"/>
          <w:szCs w:val="19"/>
          <w:color w:val="auto"/>
        </w:rPr>
        <w:t xml:space="preserve"> hereof shall apply, on a country-by-country basis and Licensed Product-by-Licensed Product basis, to Net Sales of Licensed Products only where (A) such Licensed Product (or its manufacture, use, sale, offer for sale or importation) in such country is Covered by a Valid Claim within the Licensed Patent Rights or (B) such Licensed Product (or any component or intermediate thereof) was manufactured in a country where the manufacture of such Licensed Product (or such component or intermediate), was, at the time of its manufacture, Covered by a Valid Claim within the Licensed Patent Rights, regardless of the country in which such Licensed Product is sold. Subject to the other terms of this Agreement (except for </w:t>
      </w:r>
      <w:r>
        <w:rPr>
          <w:rFonts w:ascii="Arial" w:cs="Arial" w:eastAsia="Arial" w:hAnsi="Arial"/>
          <w:sz w:val="19"/>
          <w:szCs w:val="19"/>
          <w:u w:val="single" w:color="auto"/>
          <w:color w:val="auto"/>
        </w:rPr>
        <w:t>Section 4.2.3(a)</w:t>
      </w:r>
      <w:r>
        <w:rPr>
          <w:rFonts w:ascii="Arial" w:cs="Arial" w:eastAsia="Arial" w:hAnsi="Arial"/>
          <w:sz w:val="19"/>
          <w:szCs w:val="19"/>
          <w:color w:val="auto"/>
        </w:rPr>
        <w:t xml:space="preserve"> hereof, which shall not apply), on a country-by-country and Licensed Product-by-Licensed Product basis where and as of and when the royalty rates under </w:t>
      </w:r>
      <w:r>
        <w:rPr>
          <w:rFonts w:ascii="Arial" w:cs="Arial" w:eastAsia="Arial" w:hAnsi="Arial"/>
          <w:sz w:val="19"/>
          <w:szCs w:val="19"/>
          <w:u w:val="single" w:color="auto"/>
          <w:color w:val="auto"/>
        </w:rPr>
        <w:t>Sections 4.2.1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4.2.3(c)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4.2.3(d)</w:t>
      </w:r>
      <w:r>
        <w:rPr>
          <w:rFonts w:ascii="Arial" w:cs="Arial" w:eastAsia="Arial" w:hAnsi="Arial"/>
          <w:sz w:val="19"/>
          <w:szCs w:val="19"/>
          <w:color w:val="auto"/>
        </w:rPr>
        <w:t xml:space="preserve"> hereof do not apply as a result of this </w:t>
      </w:r>
      <w:r>
        <w:rPr>
          <w:rFonts w:ascii="Arial" w:cs="Arial" w:eastAsia="Arial" w:hAnsi="Arial"/>
          <w:sz w:val="19"/>
          <w:szCs w:val="19"/>
          <w:u w:val="single" w:color="auto"/>
          <w:color w:val="auto"/>
        </w:rPr>
        <w:t>Section 4.2.3(b)(i)</w:t>
      </w:r>
      <w:r>
        <w:rPr>
          <w:rFonts w:ascii="Arial" w:cs="Arial" w:eastAsia="Arial" w:hAnsi="Arial"/>
          <w:sz w:val="19"/>
          <w:szCs w:val="19"/>
          <w:color w:val="auto"/>
        </w:rPr>
        <w:t xml:space="preserve">, the royalties payable with respect to Net Sales of such Licensed Product sold by CytomX, its Affiliates and its Sublicensees in such country shall be reduced by fifty percent (50%) of the royalties otherwise owed to ImmunoGen pursuant to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4.2.3(d)</w:t>
      </w:r>
      <w:r>
        <w:rPr>
          <w:rFonts w:ascii="Arial" w:cs="Arial" w:eastAsia="Arial" w:hAnsi="Arial"/>
          <w:sz w:val="19"/>
          <w:szCs w:val="19"/>
          <w:color w:val="auto"/>
        </w:rPr>
        <w:t xml:space="preserve"> hereof, as applicable, without giving effect to any royalty reduction provided in </w:t>
      </w:r>
      <w:r>
        <w:rPr>
          <w:rFonts w:ascii="Arial" w:cs="Arial" w:eastAsia="Arial" w:hAnsi="Arial"/>
          <w:sz w:val="19"/>
          <w:szCs w:val="19"/>
          <w:u w:val="single" w:color="auto"/>
          <w:color w:val="auto"/>
        </w:rPr>
        <w:t>Section 4.2.3(c)</w:t>
      </w:r>
      <w:r>
        <w:rPr>
          <w:rFonts w:ascii="Arial" w:cs="Arial" w:eastAsia="Arial" w:hAnsi="Arial"/>
          <w:sz w:val="19"/>
          <w:szCs w:val="19"/>
          <w:color w:val="auto"/>
        </w:rPr>
        <w:t xml:space="preserve"> hereof, using the methodology outlined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The Parties hereby acknowledge and agree that such royalties shall be in consideration of the commercial advantage, know-how and background information gained from the unpatented Licensed Know-How, including, without limitation, ImmunoGen’s Confidential Information and ImmunoGen Proprietary Materials.</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left="3520" w:hanging="1"/>
        <w:spacing w:after="0" w:line="273" w:lineRule="auto"/>
        <w:tabs>
          <w:tab w:leader="none" w:pos="4432"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Applicability of Royalty Rates</w:t>
      </w:r>
      <w:r>
        <w:rPr>
          <w:rFonts w:ascii="Arial" w:cs="Arial" w:eastAsia="Arial" w:hAnsi="Arial"/>
          <w:sz w:val="19"/>
          <w:szCs w:val="19"/>
          <w:color w:val="auto"/>
        </w:rPr>
        <w:t xml:space="preserve">. For purposes of clarity, (A) if a Licensed Product (or its manufacture, use, sale, offer for sale or importation) is Covered by a Valid Claim in a country within the Territory such that royalties are paid by CytomX pursuant to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w:t>
      </w:r>
      <w:r>
        <w:rPr>
          <w:rFonts w:ascii="Arial" w:cs="Arial" w:eastAsia="Arial" w:hAnsi="Arial"/>
          <w:sz w:val="19"/>
          <w:szCs w:val="19"/>
          <w:u w:val="single" w:color="auto"/>
          <w:color w:val="auto"/>
        </w:rPr>
        <w:t>4.2.3(c)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4.2.3(d)</w:t>
      </w:r>
      <w:r>
        <w:rPr>
          <w:rFonts w:ascii="Arial" w:cs="Arial" w:eastAsia="Arial" w:hAnsi="Arial"/>
          <w:sz w:val="19"/>
          <w:szCs w:val="19"/>
          <w:color w:val="auto"/>
        </w:rPr>
        <w:t xml:space="preserve"> hereof and, prior to the expiration of the Royalty Term for such Licensed Product in such country, the Licensed Product (and its manufacture, use, sale, offer for sale or importation) is no longer Covered by a Valid Claim in such country, CytomX shall pay ImmunoGen a royalty at the rate set forth in </w:t>
      </w:r>
      <w:r>
        <w:rPr>
          <w:rFonts w:ascii="Arial" w:cs="Arial" w:eastAsia="Arial" w:hAnsi="Arial"/>
          <w:sz w:val="19"/>
          <w:szCs w:val="19"/>
          <w:u w:val="single" w:color="auto"/>
          <w:color w:val="auto"/>
        </w:rPr>
        <w:t>Section 4.2.1(b)(i)</w:t>
      </w:r>
      <w:r>
        <w:rPr>
          <w:rFonts w:ascii="Arial" w:cs="Arial" w:eastAsia="Arial" w:hAnsi="Arial"/>
          <w:sz w:val="19"/>
          <w:szCs w:val="19"/>
          <w:color w:val="auto"/>
        </w:rPr>
        <w:t xml:space="preserve"> hereof for the portion of the Royalty Term during which no such Valid Claim Covers such Licensed Product (or its manufacture, use, sale, offer for sale or importation) in such country; and (B) if a Licensed Product (or its manufacture, use, sale, offer for sale or importation) is not Covered by a Valid Claim in a country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13" w:lineRule="exact"/>
        <w:rPr>
          <w:sz w:val="20"/>
          <w:szCs w:val="20"/>
          <w:color w:val="auto"/>
        </w:rPr>
      </w:pPr>
    </w:p>
    <w:p>
      <w:pPr>
        <w:ind w:right="200" w:firstLine="8"/>
        <w:spacing w:after="0" w:line="259" w:lineRule="auto"/>
        <w:tabs>
          <w:tab w:leader="none" w:pos="4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3520"/>
        <w:spacing w:after="0" w:line="246" w:lineRule="auto"/>
        <w:rPr>
          <w:sz w:val="20"/>
          <w:szCs w:val="20"/>
          <w:color w:val="auto"/>
        </w:rPr>
      </w:pPr>
      <w:r>
        <w:rPr>
          <w:rFonts w:ascii="Arial" w:cs="Arial" w:eastAsia="Arial" w:hAnsi="Arial"/>
          <w:sz w:val="21"/>
          <w:szCs w:val="21"/>
          <w:color w:val="auto"/>
        </w:rPr>
        <w:t xml:space="preserve">within the Territory such that royalties are paid by CytomX pursuant to </w:t>
      </w:r>
      <w:r>
        <w:rPr>
          <w:rFonts w:ascii="Arial" w:cs="Arial" w:eastAsia="Arial" w:hAnsi="Arial"/>
          <w:sz w:val="21"/>
          <w:szCs w:val="21"/>
          <w:u w:val="single" w:color="auto"/>
          <w:color w:val="auto"/>
        </w:rPr>
        <w:t>Section 4.2.1(b)(i)</w:t>
      </w:r>
      <w:r>
        <w:rPr>
          <w:rFonts w:ascii="Arial" w:cs="Arial" w:eastAsia="Arial" w:hAnsi="Arial"/>
          <w:sz w:val="21"/>
          <w:szCs w:val="21"/>
          <w:color w:val="auto"/>
        </w:rPr>
        <w:t xml:space="preserve"> hereof and, prior to the expiration of the Royalty Term for such Licensed Product in such country, the Licensed Product (or its manufacture, use, sale, offer for sale or importation) becomes Covered by a Valid Claim within the Licensed Patent Rights in such country, CytomX shall pay ImmunoGen a royalty at the rates set forth in </w:t>
      </w:r>
      <w:r>
        <w:rPr>
          <w:rFonts w:ascii="Arial" w:cs="Arial" w:eastAsia="Arial" w:hAnsi="Arial"/>
          <w:sz w:val="21"/>
          <w:szCs w:val="21"/>
          <w:u w:val="single" w:color="auto"/>
          <w:color w:val="auto"/>
        </w:rPr>
        <w:t>Section 4.2.1</w:t>
      </w:r>
      <w:r>
        <w:rPr>
          <w:rFonts w:ascii="Arial" w:cs="Arial" w:eastAsia="Arial" w:hAnsi="Arial"/>
          <w:sz w:val="21"/>
          <w:szCs w:val="21"/>
          <w:color w:val="auto"/>
        </w:rPr>
        <w:t xml:space="preserve">, </w:t>
      </w:r>
      <w:r>
        <w:rPr>
          <w:rFonts w:ascii="Arial" w:cs="Arial" w:eastAsia="Arial" w:hAnsi="Arial"/>
          <w:sz w:val="21"/>
          <w:szCs w:val="21"/>
          <w:u w:val="single" w:color="auto"/>
          <w:color w:val="auto"/>
        </w:rPr>
        <w:t>4.2.3(c)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4.2.3(d)</w:t>
      </w:r>
      <w:r>
        <w:rPr>
          <w:rFonts w:ascii="Arial" w:cs="Arial" w:eastAsia="Arial" w:hAnsi="Arial"/>
          <w:sz w:val="21"/>
          <w:szCs w:val="21"/>
          <w:color w:val="auto"/>
        </w:rPr>
        <w:t xml:space="preserve"> hereof, as applicable, for that portion of the Royalty Term during which such Valid Claim Covers such Licensed Product (or its manufacture, use, sale, offer for sale or importation) in such country.</w:t>
      </w:r>
    </w:p>
    <w:p>
      <w:pPr>
        <w:spacing w:after="0" w:line="181" w:lineRule="exact"/>
        <w:rPr>
          <w:sz w:val="20"/>
          <w:szCs w:val="20"/>
          <w:color w:val="auto"/>
        </w:rPr>
      </w:pPr>
    </w:p>
    <w:p>
      <w:pPr>
        <w:jc w:val="both"/>
        <w:ind w:left="3520" w:hanging="1"/>
        <w:spacing w:after="0" w:line="268" w:lineRule="auto"/>
        <w:tabs>
          <w:tab w:leader="none" w:pos="4492"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Definition of “Cover”</w:t>
      </w:r>
      <w:r>
        <w:rPr>
          <w:rFonts w:ascii="Arial" w:cs="Arial" w:eastAsia="Arial" w:hAnsi="Arial"/>
          <w:sz w:val="19"/>
          <w:szCs w:val="19"/>
          <w:color w:val="auto"/>
        </w:rPr>
        <w:t xml:space="preserve">. A Valid Claim within the Licensed Patent Rights “Covers” the Licensed Product (or its manufacture, use, sale, offer for sale or importation) in a country if, but for the license granted under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hereof, the manufacture, use, sale, offer for sale or importation of the Licensed Product by CytomX or any of its Affiliates or Sublicensees in such country would infringe such Valid Claim; provided, however, that in determining whether a Valid Claim within such Licensed Patent Rights “</w:t>
      </w:r>
      <w:r>
        <w:rPr>
          <w:rFonts w:ascii="Arial" w:cs="Arial" w:eastAsia="Arial" w:hAnsi="Arial"/>
          <w:sz w:val="19"/>
          <w:szCs w:val="19"/>
          <w:b w:val="1"/>
          <w:bCs w:val="1"/>
          <w:color w:val="auto"/>
        </w:rPr>
        <w:t>Covers</w:t>
      </w:r>
      <w:r>
        <w:rPr>
          <w:rFonts w:ascii="Arial" w:cs="Arial" w:eastAsia="Arial" w:hAnsi="Arial"/>
          <w:sz w:val="19"/>
          <w:szCs w:val="19"/>
          <w:color w:val="auto"/>
        </w:rPr>
        <w:t>” (as defined above) the Licensed Product (or its manufacture, use, sale, offer for sale or importation), (A) any Valid Claim within the Licensed Patent Rights that is jointly owned by CytomX (or any of its Affiliates) with ImmunoGen (or any of its Affiliates) shall be deemed to be owned solely by ImmunoGen or an Affiliate of ImmunoGen and (B) any Valid Claim contained in an unissued patent application within the Licensed Patent Rights that has not been (1) canceled, withdrawn or abandoned or (2) pending for more than seven</w:t>
      </w:r>
    </w:p>
    <w:p>
      <w:pPr>
        <w:spacing w:after="0" w:line="7" w:lineRule="exact"/>
        <w:rPr>
          <w:rFonts w:ascii="Arial" w:cs="Arial" w:eastAsia="Arial" w:hAnsi="Arial"/>
          <w:sz w:val="19"/>
          <w:szCs w:val="19"/>
          <w:color w:val="auto"/>
        </w:rPr>
      </w:pPr>
    </w:p>
    <w:p>
      <w:pPr>
        <w:ind w:left="3520"/>
        <w:spacing w:after="0"/>
        <w:rPr>
          <w:rFonts w:ascii="Arial" w:cs="Arial" w:eastAsia="Arial" w:hAnsi="Arial"/>
          <w:sz w:val="19"/>
          <w:szCs w:val="19"/>
          <w:color w:val="auto"/>
        </w:rPr>
      </w:pPr>
      <w:r>
        <w:rPr>
          <w:rFonts w:ascii="Arial" w:cs="Arial" w:eastAsia="Arial" w:hAnsi="Arial"/>
          <w:sz w:val="22"/>
          <w:szCs w:val="22"/>
          <w:color w:val="auto"/>
        </w:rPr>
        <w:t>(7) years from its earliest priority date shall be deemed to have been issued.</w:t>
      </w:r>
    </w:p>
    <w:p>
      <w:pPr>
        <w:spacing w:after="0" w:line="188" w:lineRule="exact"/>
        <w:rPr>
          <w:rFonts w:ascii="Arial" w:cs="Arial" w:eastAsia="Arial" w:hAnsi="Arial"/>
          <w:sz w:val="19"/>
          <w:szCs w:val="19"/>
          <w:color w:val="auto"/>
        </w:rPr>
      </w:pPr>
    </w:p>
    <w:p>
      <w:pPr>
        <w:jc w:val="both"/>
        <w:ind w:left="2640" w:firstLine="2"/>
        <w:spacing w:after="0" w:line="244" w:lineRule="auto"/>
        <w:tabs>
          <w:tab w:leader="none" w:pos="3528"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Loss of Market Exclusivity</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4.2.3(e)</w:t>
      </w:r>
      <w:r>
        <w:rPr>
          <w:rFonts w:ascii="Arial" w:cs="Arial" w:eastAsia="Arial" w:hAnsi="Arial"/>
          <w:sz w:val="21"/>
          <w:szCs w:val="21"/>
          <w:color w:val="auto"/>
        </w:rPr>
        <w:t xml:space="preserve"> hereof, if, with respect to a Calendar Quarter, CytomX or any of its Affiliates or Sublicensees experiences a Loss of Market Exclusivity for a Licensed Product in any country, then CytomX shall have the right to reduce the royalties otherwise due to ImmunoGen pursuant to </w:t>
      </w:r>
      <w:r>
        <w:rPr>
          <w:rFonts w:ascii="Arial" w:cs="Arial" w:eastAsia="Arial" w:hAnsi="Arial"/>
          <w:sz w:val="21"/>
          <w:szCs w:val="21"/>
          <w:u w:val="single" w:color="auto"/>
          <w:color w:val="auto"/>
        </w:rPr>
        <w:t>Section 4.2.1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4.2.3(d)</w:t>
      </w:r>
      <w:r>
        <w:rPr>
          <w:rFonts w:ascii="Arial" w:cs="Arial" w:eastAsia="Arial" w:hAnsi="Arial"/>
          <w:sz w:val="21"/>
          <w:szCs w:val="21"/>
          <w:color w:val="auto"/>
        </w:rPr>
        <w:t xml:space="preserve"> hereof (but not the royalties otherwise due to ImmunoGen under </w:t>
      </w:r>
      <w:r>
        <w:rPr>
          <w:rFonts w:ascii="Arial" w:cs="Arial" w:eastAsia="Arial" w:hAnsi="Arial"/>
          <w:sz w:val="21"/>
          <w:szCs w:val="21"/>
          <w:u w:val="single" w:color="auto"/>
          <w:color w:val="auto"/>
        </w:rPr>
        <w:t>Section 4.2.3(b)</w:t>
      </w:r>
      <w:r>
        <w:rPr>
          <w:rFonts w:ascii="Arial" w:cs="Arial" w:eastAsia="Arial" w:hAnsi="Arial"/>
          <w:sz w:val="21"/>
          <w:szCs w:val="21"/>
          <w:color w:val="auto"/>
        </w:rPr>
        <w:t xml:space="preserve"> hereof) with respect to Net Sales in such country of such Licensed Products in such Calendar Quarter as described below, in each case using a methodology similar to that outlined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attached hereto. In calculating royalty reductions pursuant to this </w:t>
      </w:r>
      <w:r>
        <w:rPr>
          <w:rFonts w:ascii="Arial" w:cs="Arial" w:eastAsia="Arial" w:hAnsi="Arial"/>
          <w:sz w:val="21"/>
          <w:szCs w:val="21"/>
          <w:u w:val="single" w:color="auto"/>
          <w:color w:val="auto"/>
        </w:rPr>
        <w:t>Section 4.2.3(c)</w:t>
      </w:r>
      <w:r>
        <w:rPr>
          <w:rFonts w:ascii="Arial" w:cs="Arial" w:eastAsia="Arial" w:hAnsi="Arial"/>
          <w:sz w:val="21"/>
          <w:szCs w:val="21"/>
          <w:color w:val="auto"/>
        </w:rPr>
        <w:t xml:space="preserve">, the applicable WARR (as defined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shall be multiplied by a percentage which is equal to a fraction, the numerator of which is the actual Net Sales of the Licensed Product in the country for the applicable Calendar Quarter during the period of Loss of Market Exclusivity, and the denominator of which is the Baseline Net Sales of the Licensed Product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13" w:lineRule="exact"/>
        <w:rPr>
          <w:sz w:val="20"/>
          <w:szCs w:val="20"/>
          <w:color w:val="auto"/>
        </w:rPr>
      </w:pPr>
    </w:p>
    <w:p>
      <w:pPr>
        <w:ind w:right="200" w:firstLine="8"/>
        <w:spacing w:after="0" w:line="259" w:lineRule="auto"/>
        <w:tabs>
          <w:tab w:leader="none" w:pos="4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spacing w:after="0" w:line="235" w:lineRule="auto"/>
        <w:rPr>
          <w:sz w:val="20"/>
          <w:szCs w:val="20"/>
          <w:color w:val="auto"/>
        </w:rPr>
      </w:pPr>
      <w:r>
        <w:rPr>
          <w:rFonts w:ascii="Arial" w:cs="Arial" w:eastAsia="Arial" w:hAnsi="Arial"/>
          <w:sz w:val="22"/>
          <w:szCs w:val="22"/>
          <w:color w:val="auto"/>
        </w:rPr>
        <w:t xml:space="preserve">such country; provided, however, that (i) if the percentage referred to above is greater than eighty percent (80%), no reductions shall be made pursuant to this </w:t>
      </w:r>
      <w:r>
        <w:rPr>
          <w:rFonts w:ascii="Arial" w:cs="Arial" w:eastAsia="Arial" w:hAnsi="Arial"/>
          <w:sz w:val="22"/>
          <w:szCs w:val="22"/>
          <w:u w:val="single" w:color="auto"/>
          <w:color w:val="auto"/>
        </w:rPr>
        <w:t>Section 4.2.3(c)</w:t>
      </w:r>
      <w:r>
        <w:rPr>
          <w:rFonts w:ascii="Arial" w:cs="Arial" w:eastAsia="Arial" w:hAnsi="Arial"/>
          <w:sz w:val="22"/>
          <w:szCs w:val="22"/>
          <w:color w:val="auto"/>
        </w:rPr>
        <w:t xml:space="preserve"> with respect to Net Sales of the Licensed Product in such country for such Calendar Quarter; and (ii) such percentage shall never be less than fifty percent (50%), regardless of whether Net Sales of such Licensed Product in such country for such Calendar Quarter are less than fifty percent (50%) of the applicable Baseline Net Sales.</w:t>
      </w:r>
    </w:p>
    <w:p>
      <w:pPr>
        <w:spacing w:after="0" w:line="188" w:lineRule="exact"/>
        <w:rPr>
          <w:sz w:val="20"/>
          <w:szCs w:val="20"/>
          <w:color w:val="auto"/>
        </w:rPr>
      </w:pPr>
    </w:p>
    <w:p>
      <w:pPr>
        <w:jc w:val="both"/>
        <w:ind w:left="2640" w:firstLine="2"/>
        <w:spacing w:after="0" w:line="269" w:lineRule="auto"/>
        <w:tabs>
          <w:tab w:leader="none" w:pos="354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Effect of Challenge</w:t>
      </w:r>
      <w:r>
        <w:rPr>
          <w:rFonts w:ascii="Arial" w:cs="Arial" w:eastAsia="Arial" w:hAnsi="Arial"/>
          <w:sz w:val="19"/>
          <w:szCs w:val="19"/>
          <w:color w:val="auto"/>
        </w:rPr>
        <w:t>. In further consideration of the grant by ImmunoGen of the license hereunder and except to the extent the following is unenforceable under the Applicable Laws of a particular jurisdiction where a patent application within the Licensed Patent Rights is pending or a patent within the Licensed Patent Rights is issued, if CytomX, its Affiliates or Sublicensees initiates a Challenge or induces or assists a Third Party in initiating or prosecuting a Challenge (the Licensed Patent Rights subject to such Challenge being referred to herein as the “</w:t>
      </w:r>
      <w:r>
        <w:rPr>
          <w:rFonts w:ascii="Arial" w:cs="Arial" w:eastAsia="Arial" w:hAnsi="Arial"/>
          <w:sz w:val="19"/>
          <w:szCs w:val="19"/>
          <w:b w:val="1"/>
          <w:bCs w:val="1"/>
          <w:color w:val="auto"/>
        </w:rPr>
        <w:t>Challenged Patent</w:t>
      </w:r>
      <w:r>
        <w:rPr>
          <w:rFonts w:ascii="Arial" w:cs="Arial" w:eastAsia="Arial" w:hAnsi="Arial"/>
          <w:sz w:val="19"/>
          <w:szCs w:val="19"/>
          <w:color w:val="auto"/>
        </w:rPr>
        <w:t xml:space="preserve"> </w:t>
      </w:r>
      <w:r>
        <w:rPr>
          <w:rFonts w:ascii="Arial" w:cs="Arial" w:eastAsia="Arial" w:hAnsi="Arial"/>
          <w:sz w:val="19"/>
          <w:szCs w:val="19"/>
          <w:b w:val="1"/>
          <w:bCs w:val="1"/>
          <w:color w:val="auto"/>
        </w:rPr>
        <w:t>Rights</w:t>
      </w:r>
      <w:r>
        <w:rPr>
          <w:rFonts w:ascii="Arial" w:cs="Arial" w:eastAsia="Arial" w:hAnsi="Arial"/>
          <w:sz w:val="19"/>
          <w:szCs w:val="19"/>
          <w:color w:val="auto"/>
        </w:rPr>
        <w:t>”), then during the period that such Challenge is pending, the royalty rates set forth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4.2.1</w:t>
      </w:r>
      <w:r>
        <w:rPr>
          <w:rFonts w:ascii="Arial" w:cs="Arial" w:eastAsia="Arial" w:hAnsi="Arial"/>
          <w:sz w:val="19"/>
          <w:szCs w:val="19"/>
          <w:color w:val="auto"/>
        </w:rPr>
        <w:t xml:space="preserve"> hereof shall be increased by an additional two percent (2%) of annual Net Sales (the “</w:t>
      </w:r>
      <w:r>
        <w:rPr>
          <w:rFonts w:ascii="Arial" w:cs="Arial" w:eastAsia="Arial" w:hAnsi="Arial"/>
          <w:sz w:val="19"/>
          <w:szCs w:val="19"/>
          <w:b w:val="1"/>
          <w:bCs w:val="1"/>
          <w:color w:val="auto"/>
        </w:rPr>
        <w:t>Challenge-Related Royalty Increase</w:t>
      </w:r>
      <w:r>
        <w:rPr>
          <w:rFonts w:ascii="Arial" w:cs="Arial" w:eastAsia="Arial" w:hAnsi="Arial"/>
          <w:sz w:val="19"/>
          <w:szCs w:val="19"/>
          <w:color w:val="auto"/>
        </w:rPr>
        <w:t>”) in the country(ies) in which the Challenged Patent Rights were pending or issued (each, a “</w:t>
      </w:r>
      <w:r>
        <w:rPr>
          <w:rFonts w:ascii="Arial" w:cs="Arial" w:eastAsia="Arial" w:hAnsi="Arial"/>
          <w:sz w:val="19"/>
          <w:szCs w:val="19"/>
          <w:b w:val="1"/>
          <w:bCs w:val="1"/>
          <w:color w:val="auto"/>
        </w:rPr>
        <w:t>Challenge Jurisdiction</w:t>
      </w:r>
      <w:r>
        <w:rPr>
          <w:rFonts w:ascii="Arial" w:cs="Arial" w:eastAsia="Arial" w:hAnsi="Arial"/>
          <w:sz w:val="19"/>
          <w:szCs w:val="19"/>
          <w:color w:val="auto"/>
        </w:rPr>
        <w:t xml:space="preserve">”) commencing on the date of such initiation or the date CytomX, its Affiliates or Sublicensees first induces or provides assistance to such Third Party, as applicable, but only with respect to Net Sales of Licensed Products in the applicable Challenge Jurisdiction(s). If, following the final, unappealable conclusion of a Challenge in a Challenge Jurisdiction, there remains one or more Valid Claims within the Challenged Patent Rights that would be infringed by the manufacture, use, sale, offer for sale or importation then (i) the royalty rates set forth in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hereof shall be increased by an additional three percent (3%) of annual Net Sales (which shall be in addition to the Challenge-Related Royalty Increase) in the applicable Challenge Jurisdiction, commencing upon the final, unappealable conclusion of such Challenge and continuing for the remainder of the Royalty Term in the applicable Challenge Jurisdiction, and (ii) CytomX shall reimburse ImmunoGen for its costs and expenses (including, without limitation, reasonable attorneys’ and experts’ fees and expenses of litigation) incurred in responding to the Challenge. CytomX shall be required to pay such reimbursement within sixty (60) days of receiving an invoice therefor from ImmunoGen, which shall set forth in reasonable detail the basis for the charges for which ImmunoGen is seeking reimbursement. If, following the final, unappealable conclusion of a Challenge in a Challenge Jurisdiction, there remain no Valid Claims within the Challenged Patent Rights that would be infringed by the manufacture, use, sale, offer for sale or importation of Licensed Products by CytomX or any of its Affiliates or Sublicensees in such Challenge Jurisdiction in the absence of the license granted under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hereof, then ImmunoGen shall reimburse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13" w:lineRule="exact"/>
        <w:rPr>
          <w:sz w:val="20"/>
          <w:szCs w:val="20"/>
          <w:color w:val="auto"/>
        </w:rPr>
      </w:pPr>
    </w:p>
    <w:p>
      <w:pPr>
        <w:ind w:right="200" w:firstLine="8"/>
        <w:spacing w:after="0" w:line="259" w:lineRule="auto"/>
        <w:tabs>
          <w:tab w:leader="none" w:pos="4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spacing w:after="0" w:line="275" w:lineRule="auto"/>
        <w:rPr>
          <w:sz w:val="20"/>
          <w:szCs w:val="20"/>
          <w:color w:val="auto"/>
        </w:rPr>
      </w:pPr>
      <w:r>
        <w:rPr>
          <w:rFonts w:ascii="Arial" w:cs="Arial" w:eastAsia="Arial" w:hAnsi="Arial"/>
          <w:sz w:val="19"/>
          <w:szCs w:val="19"/>
          <w:color w:val="auto"/>
        </w:rPr>
        <w:t>CytomX for all amounts with respect to the Challenge-Related Royalty Increase actually paid by CytomX to ImmunoGen with respect to the Challenge Jurisdiction (the “</w:t>
      </w:r>
      <w:r>
        <w:rPr>
          <w:rFonts w:ascii="Arial" w:cs="Arial" w:eastAsia="Arial" w:hAnsi="Arial"/>
          <w:sz w:val="19"/>
          <w:szCs w:val="19"/>
          <w:b w:val="1"/>
          <w:bCs w:val="1"/>
          <w:color w:val="auto"/>
        </w:rPr>
        <w:t>Clawback Amount</w:t>
      </w:r>
      <w:r>
        <w:rPr>
          <w:rFonts w:ascii="Arial" w:cs="Arial" w:eastAsia="Arial" w:hAnsi="Arial"/>
          <w:sz w:val="19"/>
          <w:szCs w:val="19"/>
          <w:color w:val="auto"/>
        </w:rPr>
        <w:t xml:space="preserve">”) as follows: (A) CytomX shall be entitled to credit one hundred percent (100%) of each royalty payment due under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hereof as they become due from and after the final, unappealable conclusion of such Challenge in such Challenge Jurisdiction against the Clawback Amount until reimbursed in full; and (B) any unreimbursed portion of the Clawback Amount outstanding at the conclusion of the Royalty Term in all countries and jurisdictions in the Territory shall be paid to CytomX within sixty (60) days after receipt by ImmunoGen of an invoice from CytomX therefor.</w:t>
      </w:r>
    </w:p>
    <w:p>
      <w:pPr>
        <w:spacing w:after="0" w:line="152" w:lineRule="exact"/>
        <w:rPr>
          <w:sz w:val="20"/>
          <w:szCs w:val="20"/>
          <w:color w:val="auto"/>
        </w:rPr>
      </w:pPr>
    </w:p>
    <w:p>
      <w:pPr>
        <w:jc w:val="both"/>
        <w:ind w:left="2640" w:firstLine="2"/>
        <w:spacing w:after="0" w:line="278" w:lineRule="auto"/>
        <w:tabs>
          <w:tab w:leader="none" w:pos="3528" w:val="left"/>
        </w:tabs>
        <w:numPr>
          <w:ilvl w:val="0"/>
          <w:numId w:val="101"/>
        </w:numPr>
        <w:rPr>
          <w:rFonts w:ascii="Arial" w:cs="Arial" w:eastAsia="Arial" w:hAnsi="Arial"/>
          <w:sz w:val="19"/>
          <w:szCs w:val="19"/>
          <w:color w:val="auto"/>
        </w:rPr>
      </w:pPr>
      <w:r>
        <w:rPr>
          <w:rFonts w:ascii="Arial" w:cs="Arial" w:eastAsia="Arial" w:hAnsi="Arial"/>
          <w:sz w:val="19"/>
          <w:szCs w:val="19"/>
          <w:b w:val="1"/>
          <w:bCs w:val="1"/>
          <w:u w:val="single" w:color="auto"/>
          <w:color w:val="auto"/>
        </w:rPr>
        <w:t>Minimum Royalty Rate</w:t>
      </w:r>
      <w:r>
        <w:rPr>
          <w:rFonts w:ascii="Arial" w:cs="Arial" w:eastAsia="Arial" w:hAnsi="Arial"/>
          <w:sz w:val="19"/>
          <w:szCs w:val="19"/>
          <w:color w:val="auto"/>
        </w:rPr>
        <w:t>. Anything contained in this Agreement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notwithstanding, none of the reductions to royalties provided in </w:t>
      </w:r>
      <w:r>
        <w:rPr>
          <w:rFonts w:ascii="Arial" w:cs="Arial" w:eastAsia="Arial" w:hAnsi="Arial"/>
          <w:sz w:val="19"/>
          <w:szCs w:val="19"/>
          <w:u w:val="single" w:color="auto"/>
          <w:color w:val="auto"/>
        </w:rPr>
        <w:t>Sections 4.2.3(a)</w:t>
      </w:r>
      <w:r>
        <w:rPr>
          <w:rFonts w:ascii="Arial" w:cs="Arial" w:eastAsia="Arial" w:hAnsi="Arial"/>
          <w:sz w:val="19"/>
          <w:szCs w:val="19"/>
          <w:color w:val="auto"/>
        </w:rPr>
        <w:t xml:space="preserve">, </w:t>
      </w:r>
      <w:r>
        <w:rPr>
          <w:rFonts w:ascii="Arial" w:cs="Arial" w:eastAsia="Arial" w:hAnsi="Arial"/>
          <w:sz w:val="19"/>
          <w:szCs w:val="19"/>
          <w:u w:val="single" w:color="auto"/>
          <w:color w:val="auto"/>
        </w:rPr>
        <w:t>4.2.3(b)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4.2.3(c)</w:t>
      </w:r>
      <w:r>
        <w:rPr>
          <w:rFonts w:ascii="Arial" w:cs="Arial" w:eastAsia="Arial" w:hAnsi="Arial"/>
          <w:sz w:val="19"/>
          <w:szCs w:val="19"/>
          <w:color w:val="auto"/>
        </w:rPr>
        <w:t xml:space="preserve"> hereof, shall, individually or in the aggregate, reduce the royalties payable with respect to Net Sales of any Licensed Product sold by CytomX, its Affiliates and its Sublicensees in any country during the Royalty Term by more than fifty percent (50%) of the royalties otherwise owed to ImmunoGen pursuant to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4.2.3(d),</w:t>
      </w:r>
      <w:r>
        <w:rPr>
          <w:rFonts w:ascii="Arial" w:cs="Arial" w:eastAsia="Arial" w:hAnsi="Arial"/>
          <w:sz w:val="19"/>
          <w:szCs w:val="19"/>
          <w:color w:val="auto"/>
        </w:rPr>
        <w:t xml:space="preserve"> as applicable, without giving effect to any royalty reduction provided in </w:t>
      </w:r>
      <w:r>
        <w:rPr>
          <w:rFonts w:ascii="Arial" w:cs="Arial" w:eastAsia="Arial" w:hAnsi="Arial"/>
          <w:sz w:val="19"/>
          <w:szCs w:val="19"/>
          <w:u w:val="single" w:color="auto"/>
          <w:color w:val="auto"/>
        </w:rPr>
        <w:t>Section 4.2.3(a)</w:t>
      </w:r>
      <w:r>
        <w:rPr>
          <w:rFonts w:ascii="Arial" w:cs="Arial" w:eastAsia="Arial" w:hAnsi="Arial"/>
          <w:sz w:val="19"/>
          <w:szCs w:val="19"/>
          <w:color w:val="auto"/>
        </w:rPr>
        <w:t xml:space="preserve">, </w:t>
      </w:r>
      <w:r>
        <w:rPr>
          <w:rFonts w:ascii="Arial" w:cs="Arial" w:eastAsia="Arial" w:hAnsi="Arial"/>
          <w:sz w:val="19"/>
          <w:szCs w:val="19"/>
          <w:u w:val="single" w:color="auto"/>
          <w:color w:val="auto"/>
        </w:rPr>
        <w:t>4.2.3(b)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4.2.3(c)</w:t>
      </w:r>
      <w:r>
        <w:rPr>
          <w:rFonts w:ascii="Arial" w:cs="Arial" w:eastAsia="Arial" w:hAnsi="Arial"/>
          <w:sz w:val="19"/>
          <w:szCs w:val="19"/>
          <w:color w:val="auto"/>
        </w:rPr>
        <w:t xml:space="preserve"> hereof.</w:t>
      </w:r>
    </w:p>
    <w:p>
      <w:pPr>
        <w:spacing w:after="0" w:line="14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Reports and Payments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54" w:lineRule="auto"/>
        <w:rPr>
          <w:sz w:val="20"/>
          <w:szCs w:val="20"/>
          <w:color w:val="auto"/>
        </w:rPr>
      </w:pPr>
      <w:r>
        <w:rPr>
          <w:rFonts w:ascii="Arial" w:cs="Arial" w:eastAsia="Arial" w:hAnsi="Arial"/>
          <w:sz w:val="21"/>
          <w:szCs w:val="21"/>
          <w:color w:val="auto"/>
        </w:rPr>
        <w:t xml:space="preserve">4.3.1. </w:t>
      </w:r>
      <w:r>
        <w:rPr>
          <w:rFonts w:ascii="Arial" w:cs="Arial" w:eastAsia="Arial" w:hAnsi="Arial"/>
          <w:sz w:val="21"/>
          <w:szCs w:val="21"/>
          <w:b w:val="1"/>
          <w:bCs w:val="1"/>
          <w:color w:val="auto"/>
        </w:rPr>
        <w:t>Cumulative Royalties</w:t>
      </w:r>
      <w:r>
        <w:rPr>
          <w:rFonts w:ascii="Arial" w:cs="Arial" w:eastAsia="Arial" w:hAnsi="Arial"/>
          <w:sz w:val="21"/>
          <w:szCs w:val="21"/>
          <w:color w:val="auto"/>
        </w:rPr>
        <w:t xml:space="preserve">. The obligation to pay royalties under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shall be imposed only once with respect to a single unit of a Licensed Product regardless of how many Valid Claims in Patent Rights included within the Licensed Intellectual Property would, but for this Agreement, be infringed by the use or sale of such Licensed Product in the country in which such Licensed Product is used or sold.</w:t>
      </w:r>
    </w:p>
    <w:p>
      <w:pPr>
        <w:spacing w:after="0" w:line="166" w:lineRule="exact"/>
        <w:rPr>
          <w:sz w:val="20"/>
          <w:szCs w:val="20"/>
          <w:color w:val="auto"/>
        </w:rPr>
      </w:pPr>
    </w:p>
    <w:p>
      <w:pPr>
        <w:jc w:val="both"/>
        <w:ind w:left="1760"/>
        <w:spacing w:after="0" w:line="245" w:lineRule="auto"/>
        <w:rPr>
          <w:sz w:val="20"/>
          <w:szCs w:val="20"/>
          <w:color w:val="auto"/>
        </w:rPr>
      </w:pPr>
      <w:r>
        <w:rPr>
          <w:rFonts w:ascii="Arial" w:cs="Arial" w:eastAsia="Arial" w:hAnsi="Arial"/>
          <w:sz w:val="21"/>
          <w:szCs w:val="21"/>
          <w:color w:val="auto"/>
        </w:rPr>
        <w:t xml:space="preserve">4.3.2. </w:t>
      </w:r>
      <w:r>
        <w:rPr>
          <w:rFonts w:ascii="Arial" w:cs="Arial" w:eastAsia="Arial" w:hAnsi="Arial"/>
          <w:sz w:val="21"/>
          <w:szCs w:val="21"/>
          <w:b w:val="1"/>
          <w:bCs w:val="1"/>
          <w:color w:val="auto"/>
        </w:rPr>
        <w:t>Royalty Statements and Payments</w:t>
      </w:r>
      <w:r>
        <w:rPr>
          <w:rFonts w:ascii="Arial" w:cs="Arial" w:eastAsia="Arial" w:hAnsi="Arial"/>
          <w:sz w:val="21"/>
          <w:szCs w:val="21"/>
          <w:color w:val="auto"/>
        </w:rPr>
        <w:t xml:space="preserve">. Within sixty (60) days after the end of each Calendar Quarter, CytomX shall deliver to ImmunoGen a report setting forth for such Calendar Quarter the following information, on a Licensed Product-by-Licensed Product basis: (a) the gross sales (if available) and the Net Sales of each Licensed Product (specifying in reasonable detail the deductions to gross sales used to calculate Net Sales, (b) the basis for any adjustments to the royalty payable for the sale of each Licensed Product, (c) the applicable exchange rate to convert each country’s currency to U.S. Dollars under </w:t>
      </w:r>
      <w:r>
        <w:rPr>
          <w:rFonts w:ascii="Arial" w:cs="Arial" w:eastAsia="Arial" w:hAnsi="Arial"/>
          <w:sz w:val="21"/>
          <w:szCs w:val="21"/>
          <w:u w:val="single" w:color="auto"/>
          <w:color w:val="auto"/>
        </w:rPr>
        <w:t>Section 4.3.4</w:t>
      </w:r>
      <w:r>
        <w:rPr>
          <w:rFonts w:ascii="Arial" w:cs="Arial" w:eastAsia="Arial" w:hAnsi="Arial"/>
          <w:sz w:val="21"/>
          <w:szCs w:val="21"/>
          <w:color w:val="auto"/>
        </w:rPr>
        <w:t xml:space="preserve"> hereof and (d) the royalties due hereunder for the sale of each Licensed Product. No such reports shall be due for any Licensed Product before the First Commercial Sale of such Licensed Product in the Territory. The total royalty due for the sale of Licensed Products during such Calendar Quarter shall be remitted at the time such report is delivered.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13" w:lineRule="exact"/>
        <w:rPr>
          <w:sz w:val="20"/>
          <w:szCs w:val="20"/>
          <w:color w:val="auto"/>
        </w:rPr>
      </w:pPr>
    </w:p>
    <w:p>
      <w:pPr>
        <w:ind w:right="200" w:firstLine="8"/>
        <w:spacing w:after="0" w:line="259" w:lineRule="auto"/>
        <w:tabs>
          <w:tab w:leader="none" w:pos="4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spacing w:after="0" w:line="272" w:lineRule="auto"/>
        <w:rPr>
          <w:sz w:val="20"/>
          <w:szCs w:val="20"/>
          <w:color w:val="auto"/>
        </w:rPr>
      </w:pPr>
      <w:r>
        <w:rPr>
          <w:rFonts w:ascii="Arial" w:cs="Arial" w:eastAsia="Arial" w:hAnsi="Arial"/>
          <w:sz w:val="19"/>
          <w:szCs w:val="19"/>
          <w:color w:val="auto"/>
        </w:rPr>
        <w:t xml:space="preserve">4.3.3. </w:t>
      </w:r>
      <w:r>
        <w:rPr>
          <w:rFonts w:ascii="Arial" w:cs="Arial" w:eastAsia="Arial" w:hAnsi="Arial"/>
          <w:sz w:val="19"/>
          <w:szCs w:val="19"/>
          <w:b w:val="1"/>
          <w:bCs w:val="1"/>
          <w:color w:val="auto"/>
        </w:rPr>
        <w:t>No Set-Off; Taxes and Withholding</w:t>
      </w:r>
      <w:r>
        <w:rPr>
          <w:rFonts w:ascii="Arial" w:cs="Arial" w:eastAsia="Arial" w:hAnsi="Arial"/>
          <w:sz w:val="19"/>
          <w:szCs w:val="19"/>
          <w:color w:val="auto"/>
        </w:rPr>
        <w:t>. All payments made by CytomX to ImmunoGen hereunder shall be made without set-off or counterclaim and free and clear of any taxes, duties, levies, fees or charges, except withholding taxes, if any. In the event any of the payments made pursuant to this Agreement become subject to withholding taxes under the Applicable Law of any jurisdiction, CytomX shall deduct and withhold the amount of such taxes for the account of ImmunoGen, to the extent required by Applicable Law, such amounts payable to ImmunoGen shall be reduced by the amount of taxes deducted and withheld, and CytomX shall pay the amounts of such taxes to the proper Governmental Authority in a timely manner and promptly transmit to ImmunoGen an official tax certificate or other evidence of such tax obligations together with proof of payment from the relevant Governmental Authority of all amounts deducted and withheld sufficient to enable ImmunoGen to claim such payment of taxes. Any such withholding taxes required under Applicable Law to be paid or withheld shall be an expense of, and borne solely by, ImmunoGen. CytomX will provide ImmunoGen with reasonable assistance to enable ImmunoGen to recover such taxes as permitted by Applicable Law.</w:t>
      </w:r>
    </w:p>
    <w:p>
      <w:pPr>
        <w:spacing w:after="0" w:line="200" w:lineRule="exact"/>
        <w:rPr>
          <w:sz w:val="20"/>
          <w:szCs w:val="20"/>
          <w:color w:val="auto"/>
        </w:rPr>
      </w:pPr>
    </w:p>
    <w:p>
      <w:pPr>
        <w:spacing w:after="0" w:line="205" w:lineRule="exact"/>
        <w:rPr>
          <w:sz w:val="20"/>
          <w:szCs w:val="20"/>
          <w:color w:val="auto"/>
        </w:rPr>
      </w:pPr>
    </w:p>
    <w:p>
      <w:pPr>
        <w:jc w:val="both"/>
        <w:ind w:left="1760"/>
        <w:spacing w:after="0" w:line="289" w:lineRule="auto"/>
        <w:rPr>
          <w:sz w:val="20"/>
          <w:szCs w:val="20"/>
          <w:color w:val="auto"/>
        </w:rPr>
      </w:pPr>
      <w:r>
        <w:rPr>
          <w:rFonts w:ascii="Arial" w:cs="Arial" w:eastAsia="Arial" w:hAnsi="Arial"/>
          <w:sz w:val="19"/>
          <w:szCs w:val="19"/>
          <w:color w:val="auto"/>
        </w:rPr>
        <w:t xml:space="preserve">4.3.4. </w:t>
      </w:r>
      <w:r>
        <w:rPr>
          <w:rFonts w:ascii="Arial" w:cs="Arial" w:eastAsia="Arial" w:hAnsi="Arial"/>
          <w:sz w:val="19"/>
          <w:szCs w:val="19"/>
          <w:b w:val="1"/>
          <w:bCs w:val="1"/>
          <w:color w:val="auto"/>
        </w:rPr>
        <w:t>Currency</w:t>
      </w:r>
      <w:r>
        <w:rPr>
          <w:rFonts w:ascii="Arial" w:cs="Arial" w:eastAsia="Arial" w:hAnsi="Arial"/>
          <w:sz w:val="19"/>
          <w:szCs w:val="19"/>
          <w:color w:val="auto"/>
        </w:rPr>
        <w:t>. All amounts payable and calculations hereunder shall be in United States dollars, and all payments due under this Agreement shall be made by wire transfer in immediately available funds to an account designated by the Party owed such payment. As applicable, Net Sales and any royalty deductions shall be converted into United States dollars in accordance with the CytomX Standard Exchange Rate Methodology.</w:t>
      </w:r>
    </w:p>
    <w:p>
      <w:pPr>
        <w:spacing w:after="0" w:line="136" w:lineRule="exact"/>
        <w:rPr>
          <w:sz w:val="20"/>
          <w:szCs w:val="20"/>
          <w:color w:val="auto"/>
        </w:rPr>
      </w:pPr>
    </w:p>
    <w:p>
      <w:pPr>
        <w:jc w:val="both"/>
        <w:ind w:left="1760"/>
        <w:spacing w:after="0" w:line="273" w:lineRule="auto"/>
        <w:rPr>
          <w:sz w:val="20"/>
          <w:szCs w:val="20"/>
          <w:color w:val="auto"/>
        </w:rPr>
      </w:pPr>
      <w:r>
        <w:rPr>
          <w:rFonts w:ascii="Arial" w:cs="Arial" w:eastAsia="Arial" w:hAnsi="Arial"/>
          <w:sz w:val="19"/>
          <w:szCs w:val="19"/>
          <w:color w:val="auto"/>
        </w:rPr>
        <w:t xml:space="preserve">4.3.5. </w:t>
      </w:r>
      <w:r>
        <w:rPr>
          <w:rFonts w:ascii="Arial" w:cs="Arial" w:eastAsia="Arial" w:hAnsi="Arial"/>
          <w:sz w:val="19"/>
          <w:szCs w:val="19"/>
          <w:b w:val="1"/>
          <w:bCs w:val="1"/>
          <w:color w:val="auto"/>
        </w:rPr>
        <w:t>Overdue Payments</w:t>
      </w:r>
      <w:r>
        <w:rPr>
          <w:rFonts w:ascii="Arial" w:cs="Arial" w:eastAsia="Arial" w:hAnsi="Arial"/>
          <w:sz w:val="19"/>
          <w:szCs w:val="19"/>
          <w:color w:val="auto"/>
        </w:rPr>
        <w:t>. Subject to the other terms of this Agreement, any payments hereunder not paid within the applicable time period set forth herein shall bear interest from the due date until paid in full, at a rate per annum equal to the lesser of (a) one and one-half percent (1-1/2%) per month, compounded monthly, or (b) the maximum interest rate permitted by applicable law in regard to such payments, calculated in each case from the date such payment was due through to the date on which payment is actually made; provided, however, that with respect to any disputed payments, no interest shall be due until such dispute is resolved and the interest that shall be payable thereon shall be based on the finally-resolved amount of such payment, calculated from the original date on which the disputed payment was due through the date on which payment is actually made. Such payments when made shall be accompanied by all interest so accrued. Such interest and the payment and acceptance thereof shall not negate or waive the right of ImmunoGen to any other remedy, legal or equitable, to which it may be entitled because of the delinquency of the payment.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13" w:lineRule="exact"/>
        <w:rPr>
          <w:sz w:val="20"/>
          <w:szCs w:val="20"/>
          <w:color w:val="auto"/>
        </w:rPr>
      </w:pPr>
    </w:p>
    <w:p>
      <w:pPr>
        <w:ind w:right="200" w:firstLine="8"/>
        <w:spacing w:after="0" w:line="259" w:lineRule="auto"/>
        <w:tabs>
          <w:tab w:leader="none" w:pos="43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ind w:left="3360"/>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b w:val="1"/>
          <w:bCs w:val="1"/>
          <w:color w:val="auto"/>
        </w:rPr>
        <w:t>Maintenance of Records; Audits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51" w:lineRule="auto"/>
        <w:rPr>
          <w:sz w:val="20"/>
          <w:szCs w:val="20"/>
          <w:color w:val="auto"/>
        </w:rPr>
      </w:pPr>
      <w:r>
        <w:rPr>
          <w:rFonts w:ascii="Arial" w:cs="Arial" w:eastAsia="Arial" w:hAnsi="Arial"/>
          <w:sz w:val="21"/>
          <w:szCs w:val="21"/>
          <w:color w:val="auto"/>
        </w:rPr>
        <w:t xml:space="preserve">4.4.1. </w:t>
      </w:r>
      <w:r>
        <w:rPr>
          <w:rFonts w:ascii="Arial" w:cs="Arial" w:eastAsia="Arial" w:hAnsi="Arial"/>
          <w:sz w:val="21"/>
          <w:szCs w:val="21"/>
          <w:b w:val="1"/>
          <w:bCs w:val="1"/>
          <w:color w:val="auto"/>
        </w:rPr>
        <w:t>Record Keeping</w:t>
      </w:r>
      <w:r>
        <w:rPr>
          <w:rFonts w:ascii="Arial" w:cs="Arial" w:eastAsia="Arial" w:hAnsi="Arial"/>
          <w:sz w:val="21"/>
          <w:szCs w:val="21"/>
          <w:color w:val="auto"/>
        </w:rPr>
        <w:t>. CytomX shall keep, and cause its Affiliates and Sublicensees to keep, accurate books of account and records in connection with the sale of Licensed Products, in sufficient detail to permit accurate determination of all figures necessary for verification of royalties to be paid hereunder. CytomX shall maintain, and cause its Affiliates and Sublicensees to maintain, such records for a period of at least three (3) years after the end of the Calendar Year in which they were generated.</w:t>
      </w:r>
    </w:p>
    <w:p>
      <w:pPr>
        <w:spacing w:after="0" w:line="169" w:lineRule="exact"/>
        <w:rPr>
          <w:sz w:val="20"/>
          <w:szCs w:val="20"/>
          <w:color w:val="auto"/>
        </w:rPr>
      </w:pPr>
    </w:p>
    <w:p>
      <w:pPr>
        <w:jc w:val="both"/>
        <w:ind w:left="1760"/>
        <w:spacing w:after="0" w:line="270" w:lineRule="auto"/>
        <w:rPr>
          <w:sz w:val="20"/>
          <w:szCs w:val="20"/>
          <w:color w:val="auto"/>
        </w:rPr>
      </w:pPr>
      <w:r>
        <w:rPr>
          <w:rFonts w:ascii="Arial" w:cs="Arial" w:eastAsia="Arial" w:hAnsi="Arial"/>
          <w:sz w:val="19"/>
          <w:szCs w:val="19"/>
          <w:color w:val="auto"/>
        </w:rPr>
        <w:t xml:space="preserve">4.4.2. </w:t>
      </w:r>
      <w:r>
        <w:rPr>
          <w:rFonts w:ascii="Arial" w:cs="Arial" w:eastAsia="Arial" w:hAnsi="Arial"/>
          <w:sz w:val="19"/>
          <w:szCs w:val="19"/>
          <w:b w:val="1"/>
          <w:bCs w:val="1"/>
          <w:color w:val="auto"/>
        </w:rPr>
        <w:t>Audits</w:t>
      </w:r>
      <w:r>
        <w:rPr>
          <w:rFonts w:ascii="Arial" w:cs="Arial" w:eastAsia="Arial" w:hAnsi="Arial"/>
          <w:sz w:val="19"/>
          <w:szCs w:val="19"/>
          <w:color w:val="auto"/>
        </w:rPr>
        <w:t xml:space="preserve">. Upon thirty (30) days prior written notice from ImmunoGen, CytomX shall permit an independent certified public accounting firm of internationally recognized standing selected by ImmunoGen and reasonably acceptable to CytomX to examine, at ImmunoGen’s sole expense, the relevant books and records of CytomX, its Affiliates and Sublicensees during the period covered by such examination, as may be reasonably necessary to verify the accuracy of the reports submitted by CytomX in accordance with </w:t>
      </w:r>
      <w:r>
        <w:rPr>
          <w:rFonts w:ascii="Arial" w:cs="Arial" w:eastAsia="Arial" w:hAnsi="Arial"/>
          <w:sz w:val="19"/>
          <w:szCs w:val="19"/>
          <w:u w:val="single" w:color="auto"/>
          <w:color w:val="auto"/>
        </w:rPr>
        <w:t>Section 4.3</w:t>
      </w:r>
      <w:r>
        <w:rPr>
          <w:rFonts w:ascii="Arial" w:cs="Arial" w:eastAsia="Arial" w:hAnsi="Arial"/>
          <w:sz w:val="19"/>
          <w:szCs w:val="19"/>
          <w:color w:val="auto"/>
        </w:rPr>
        <w:t xml:space="preserve"> hereof and the payment of royalties hereunder. An examination by ImmunoGen under this </w:t>
      </w:r>
      <w:r>
        <w:rPr>
          <w:rFonts w:ascii="Arial" w:cs="Arial" w:eastAsia="Arial" w:hAnsi="Arial"/>
          <w:sz w:val="19"/>
          <w:szCs w:val="19"/>
          <w:u w:val="single" w:color="auto"/>
          <w:color w:val="auto"/>
        </w:rPr>
        <w:t>Section 4.4.2</w:t>
      </w:r>
      <w:r>
        <w:rPr>
          <w:rFonts w:ascii="Arial" w:cs="Arial" w:eastAsia="Arial" w:hAnsi="Arial"/>
          <w:sz w:val="19"/>
          <w:szCs w:val="19"/>
          <w:color w:val="auto"/>
        </w:rPr>
        <w:t xml:space="preserve"> shall occur not more than once in any Calendar Year and shall be limited to the pertinent books and records for any Calendar Year ending not more than three (3) years before the date of the request. The accounting firm shall be provided access to such books and records at the facilities where such books and records are kept and such examination shall be conducted during normal business hours. CytomX may require the accounting firm to sign a reasonable and customary non-disclosure agreement before providing the accounting firm access to CytomX’s facilities or records. Upon completion of the audit, the accounting firm shall provide both ImmunoGen and CytomX a written report disclosing whether the reports submitted by CytomX are correct or incorrect, whether the royalties paid are correct or incorrect and, in each case, the specific details concerning any discrepancies. CytomX and ImmunoGen shall each have the right to request a further determination by such accounting firm as to matters which such Party disputes within thirty (30) days following receipt of such report. The Party initiating a dispute will provide the other Party and the accounting firm with a reasonably detailed statement of the grounds upon which it disputes any findings in the written report and the accounting firm shall undertake to complete such further determination within thirty (30) days after the dispute notice is provided, which determination shall be limited to the disputed matters and provided to both Parties. The Parties shall use reasonable efforts, through the participation of finance representatives of both Parties, to resolve any dispute arising in relation to the audit by good faith discussion. The results of any such audit, reflecting the accounting firm’s determination of any disputed matters, shall be binding on both Parties.</w:t>
      </w:r>
    </w:p>
    <w:p>
      <w:pPr>
        <w:spacing w:after="0" w:line="400" w:lineRule="exact"/>
        <w:rPr>
          <w:sz w:val="20"/>
          <w:szCs w:val="20"/>
          <w:color w:val="auto"/>
        </w:rPr>
      </w:pPr>
    </w:p>
    <w:p>
      <w:pPr>
        <w:jc w:val="both"/>
        <w:ind w:left="1760"/>
        <w:spacing w:after="0" w:line="254" w:lineRule="auto"/>
        <w:rPr>
          <w:sz w:val="20"/>
          <w:szCs w:val="20"/>
          <w:color w:val="auto"/>
        </w:rPr>
      </w:pPr>
      <w:r>
        <w:rPr>
          <w:rFonts w:ascii="Arial" w:cs="Arial" w:eastAsia="Arial" w:hAnsi="Arial"/>
          <w:sz w:val="21"/>
          <w:szCs w:val="21"/>
          <w:color w:val="auto"/>
        </w:rPr>
        <w:t xml:space="preserve">4.4.3. </w:t>
      </w:r>
      <w:r>
        <w:rPr>
          <w:rFonts w:ascii="Arial" w:cs="Arial" w:eastAsia="Arial" w:hAnsi="Arial"/>
          <w:sz w:val="21"/>
          <w:szCs w:val="21"/>
          <w:b w:val="1"/>
          <w:bCs w:val="1"/>
          <w:color w:val="auto"/>
        </w:rPr>
        <w:t>Underpayments/Overpayments</w:t>
      </w:r>
      <w:r>
        <w:rPr>
          <w:rFonts w:ascii="Arial" w:cs="Arial" w:eastAsia="Arial" w:hAnsi="Arial"/>
          <w:sz w:val="21"/>
          <w:szCs w:val="21"/>
          <w:color w:val="auto"/>
        </w:rPr>
        <w:t xml:space="preserve">. If such accounting firm concludes that additional royalties were due to ImmunoGen, CytomX shall pay the additional royalties (plus interest thereon at the rate provided in </w:t>
      </w:r>
      <w:r>
        <w:rPr>
          <w:rFonts w:ascii="Arial" w:cs="Arial" w:eastAsia="Arial" w:hAnsi="Arial"/>
          <w:sz w:val="21"/>
          <w:szCs w:val="21"/>
          <w:u w:val="single" w:color="auto"/>
          <w:color w:val="auto"/>
        </w:rPr>
        <w:t>Section 4.3.5</w:t>
      </w:r>
      <w:r>
        <w:rPr>
          <w:rFonts w:ascii="Arial" w:cs="Arial" w:eastAsia="Arial" w:hAnsi="Arial"/>
          <w:sz w:val="21"/>
          <w:szCs w:val="21"/>
          <w:color w:val="auto"/>
        </w:rPr>
        <w:t xml:space="preserve"> hereof) within forty-five (45) days of the date CytomX receives such accountant’s written report so concluding. If such underpayment exceeds five percent (5%) of the royalties that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13" w:lineRule="exact"/>
        <w:rPr>
          <w:sz w:val="20"/>
          <w:szCs w:val="20"/>
          <w:color w:val="auto"/>
        </w:rPr>
      </w:pPr>
    </w:p>
    <w:p>
      <w:pPr>
        <w:ind w:right="200" w:firstLine="8"/>
        <w:spacing w:after="0" w:line="259" w:lineRule="auto"/>
        <w:tabs>
          <w:tab w:leader="none" w:pos="4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48" w:lineRule="auto"/>
        <w:rPr>
          <w:sz w:val="20"/>
          <w:szCs w:val="20"/>
          <w:color w:val="auto"/>
        </w:rPr>
      </w:pPr>
      <w:r>
        <w:rPr>
          <w:rFonts w:ascii="Arial" w:cs="Arial" w:eastAsia="Arial" w:hAnsi="Arial"/>
          <w:sz w:val="21"/>
          <w:szCs w:val="21"/>
          <w:color w:val="auto"/>
        </w:rPr>
        <w:t>were to be paid and is also greater than Fifty Thousand U.S. Dollars ($50,000), CytomX also shall reimburse ImmunoGen for all reasonable charges of such accountants for conducting the audit. If such accounting firm concludes that CytomX overpaid royalties, ImmunoGen shall repay such amount in full within forty-five (45) days of the receipt of such accountant’s report, or, at CytomX’s option, it shall be entitled to offset all such overpayments against any outstanding or future amounts payable to ImmunoGen hereunder until CytomX has received full credit for such overpayments.</w:t>
      </w:r>
    </w:p>
    <w:p>
      <w:pPr>
        <w:spacing w:after="0" w:line="171" w:lineRule="exact"/>
        <w:rPr>
          <w:sz w:val="20"/>
          <w:szCs w:val="20"/>
          <w:color w:val="auto"/>
        </w:rPr>
      </w:pPr>
    </w:p>
    <w:p>
      <w:pPr>
        <w:jc w:val="both"/>
        <w:ind w:left="1760"/>
        <w:spacing w:after="0" w:line="335" w:lineRule="auto"/>
        <w:rPr>
          <w:sz w:val="20"/>
          <w:szCs w:val="20"/>
          <w:color w:val="auto"/>
        </w:rPr>
      </w:pPr>
      <w:r>
        <w:rPr>
          <w:rFonts w:ascii="Arial" w:cs="Arial" w:eastAsia="Arial" w:hAnsi="Arial"/>
          <w:sz w:val="19"/>
          <w:szCs w:val="19"/>
          <w:color w:val="auto"/>
        </w:rPr>
        <w:t xml:space="preserve">4.4.4. </w:t>
      </w:r>
      <w:r>
        <w:rPr>
          <w:rFonts w:ascii="Arial" w:cs="Arial" w:eastAsia="Arial" w:hAnsi="Arial"/>
          <w:sz w:val="19"/>
          <w:szCs w:val="19"/>
          <w:b w:val="1"/>
          <w:bCs w:val="1"/>
          <w:color w:val="auto"/>
        </w:rPr>
        <w:t>Confidentiality</w:t>
      </w:r>
      <w:r>
        <w:rPr>
          <w:rFonts w:ascii="Arial" w:cs="Arial" w:eastAsia="Arial" w:hAnsi="Arial"/>
          <w:sz w:val="19"/>
          <w:szCs w:val="19"/>
          <w:color w:val="auto"/>
        </w:rPr>
        <w:t xml:space="preserve">. All financial information that is subject to review under this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shall be deemed to be the Confidential Information of the audited Party subject to the provisions of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hereof.</w:t>
      </w:r>
    </w:p>
    <w:p>
      <w:pPr>
        <w:spacing w:after="0" w:line="92" w:lineRule="exact"/>
        <w:rPr>
          <w:sz w:val="20"/>
          <w:szCs w:val="20"/>
          <w:color w:val="auto"/>
        </w:rPr>
      </w:pPr>
    </w:p>
    <w:p>
      <w:pPr>
        <w:ind w:left="880" w:hanging="872"/>
        <w:spacing w:after="0"/>
        <w:tabs>
          <w:tab w:leader="none" w:pos="880" w:val="left"/>
        </w:tabs>
        <w:numPr>
          <w:ilvl w:val="0"/>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06"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5.1</w:t>
      </w:r>
      <w:r>
        <w:rPr>
          <w:rFonts w:ascii="Arial" w:cs="Arial" w:eastAsia="Arial" w:hAnsi="Arial"/>
          <w:sz w:val="19"/>
          <w:szCs w:val="19"/>
          <w:b w:val="1"/>
          <w:bCs w:val="1"/>
          <w:color w:val="auto"/>
        </w:rPr>
        <w:t>Inventions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43"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b w:val="1"/>
          <w:bCs w:val="1"/>
          <w:color w:val="auto"/>
        </w:rPr>
        <w:t>Ownership</w:t>
      </w:r>
      <w:r>
        <w:rPr>
          <w:rFonts w:ascii="Arial" w:cs="Arial" w:eastAsia="Arial" w:hAnsi="Arial"/>
          <w:sz w:val="22"/>
          <w:szCs w:val="22"/>
          <w:color w:val="auto"/>
        </w:rPr>
        <w:t>. All determinations of inventorship under this Agreement shall be made in accordance with the laws of the United States. Determinations of ownership of intellectual property hereunder will be made in accordance with inventorship.</w:t>
      </w:r>
    </w:p>
    <w:p>
      <w:pPr>
        <w:spacing w:after="0" w:line="177" w:lineRule="exact"/>
        <w:rPr>
          <w:sz w:val="20"/>
          <w:szCs w:val="20"/>
          <w:color w:val="auto"/>
        </w:rPr>
      </w:pPr>
    </w:p>
    <w:p>
      <w:pPr>
        <w:jc w:val="both"/>
        <w:ind w:left="2640" w:firstLine="2"/>
        <w:spacing w:after="0" w:line="301" w:lineRule="auto"/>
        <w:tabs>
          <w:tab w:leader="none" w:pos="3528" w:val="left"/>
        </w:tabs>
        <w:numPr>
          <w:ilvl w:val="0"/>
          <w:numId w:val="106"/>
        </w:numPr>
        <w:rPr>
          <w:rFonts w:ascii="Arial" w:cs="Arial" w:eastAsia="Arial" w:hAnsi="Arial"/>
          <w:sz w:val="19"/>
          <w:szCs w:val="19"/>
          <w:color w:val="auto"/>
        </w:rPr>
      </w:pPr>
      <w:r>
        <w:rPr>
          <w:rFonts w:ascii="Arial" w:cs="Arial" w:eastAsia="Arial" w:hAnsi="Arial"/>
          <w:sz w:val="19"/>
          <w:szCs w:val="19"/>
          <w:b w:val="1"/>
          <w:bCs w:val="1"/>
          <w:color w:val="auto"/>
        </w:rPr>
        <w:t>ImmunoGen Solely Owned Technology</w:t>
      </w:r>
      <w:r>
        <w:rPr>
          <w:rFonts w:ascii="Arial" w:cs="Arial" w:eastAsia="Arial" w:hAnsi="Arial"/>
          <w:sz w:val="19"/>
          <w:szCs w:val="19"/>
          <w:color w:val="auto"/>
        </w:rPr>
        <w:t>. As between the Parties, ImmunoGen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the sole owner of all Licensed Intellectual Property (other than Joint Program Technology and Joint TAP Platform Improvements included therein and any Joint Patent Rights).</w:t>
      </w:r>
    </w:p>
    <w:p>
      <w:pPr>
        <w:spacing w:after="0" w:line="123" w:lineRule="exact"/>
        <w:rPr>
          <w:rFonts w:ascii="Arial" w:cs="Arial" w:eastAsia="Arial" w:hAnsi="Arial"/>
          <w:sz w:val="19"/>
          <w:szCs w:val="19"/>
          <w:color w:val="auto"/>
        </w:rPr>
      </w:pPr>
    </w:p>
    <w:p>
      <w:pPr>
        <w:jc w:val="both"/>
        <w:ind w:left="2640" w:firstLine="2"/>
        <w:spacing w:after="0" w:line="301" w:lineRule="auto"/>
        <w:tabs>
          <w:tab w:leader="none" w:pos="3540" w:val="left"/>
        </w:tabs>
        <w:numPr>
          <w:ilvl w:val="0"/>
          <w:numId w:val="106"/>
        </w:numPr>
        <w:rPr>
          <w:rFonts w:ascii="Arial" w:cs="Arial" w:eastAsia="Arial" w:hAnsi="Arial"/>
          <w:sz w:val="19"/>
          <w:szCs w:val="19"/>
          <w:color w:val="auto"/>
        </w:rPr>
      </w:pPr>
      <w:r>
        <w:rPr>
          <w:rFonts w:ascii="Arial" w:cs="Arial" w:eastAsia="Arial" w:hAnsi="Arial"/>
          <w:sz w:val="19"/>
          <w:szCs w:val="19"/>
          <w:b w:val="1"/>
          <w:bCs w:val="1"/>
          <w:color w:val="auto"/>
        </w:rPr>
        <w:t>CytomX Solely Owned Technology</w:t>
      </w:r>
      <w:r>
        <w:rPr>
          <w:rFonts w:ascii="Arial" w:cs="Arial" w:eastAsia="Arial" w:hAnsi="Arial"/>
          <w:sz w:val="19"/>
          <w:szCs w:val="19"/>
          <w:color w:val="auto"/>
        </w:rPr>
        <w:t>. As between the Parties, CytomX shall be the sole</w:t>
      </w:r>
      <w:r>
        <w:rPr>
          <w:rFonts w:ascii="Arial" w:cs="Arial" w:eastAsia="Arial" w:hAnsi="Arial"/>
          <w:sz w:val="19"/>
          <w:szCs w:val="19"/>
          <w:b w:val="1"/>
          <w:bCs w:val="1"/>
          <w:color w:val="auto"/>
        </w:rPr>
        <w:t xml:space="preserve"> </w:t>
      </w:r>
      <w:r>
        <w:rPr>
          <w:rFonts w:ascii="Arial" w:cs="Arial" w:eastAsia="Arial" w:hAnsi="Arial"/>
          <w:sz w:val="19"/>
          <w:szCs w:val="19"/>
          <w:color w:val="auto"/>
        </w:rPr>
        <w:t>owner of all CytomX Program Technology and CytomX TAP Platform Improvements and any Patent Rights claiming such CytomX Program Technology and CytomX TAP Platform Improvements.</w:t>
      </w:r>
    </w:p>
    <w:p>
      <w:pPr>
        <w:spacing w:after="0" w:line="123" w:lineRule="exact"/>
        <w:rPr>
          <w:rFonts w:ascii="Arial" w:cs="Arial" w:eastAsia="Arial" w:hAnsi="Arial"/>
          <w:sz w:val="19"/>
          <w:szCs w:val="19"/>
          <w:color w:val="auto"/>
        </w:rPr>
      </w:pPr>
    </w:p>
    <w:p>
      <w:pPr>
        <w:jc w:val="both"/>
        <w:ind w:left="2640" w:firstLine="2"/>
        <w:spacing w:after="0" w:line="247" w:lineRule="exact"/>
        <w:tabs>
          <w:tab w:leader="none" w:pos="3528" w:val="left"/>
        </w:tabs>
        <w:numPr>
          <w:ilvl w:val="0"/>
          <w:numId w:val="106"/>
        </w:numPr>
        <w:rPr>
          <w:rFonts w:ascii="Arial" w:cs="Arial" w:eastAsia="Arial" w:hAnsi="Arial"/>
          <w:sz w:val="21"/>
          <w:szCs w:val="21"/>
          <w:color w:val="auto"/>
        </w:rPr>
      </w:pPr>
      <w:r>
        <w:rPr>
          <w:rFonts w:ascii="Arial" w:cs="Arial" w:eastAsia="Arial" w:hAnsi="Arial"/>
          <w:sz w:val="21"/>
          <w:szCs w:val="21"/>
          <w:b w:val="1"/>
          <w:bCs w:val="1"/>
          <w:color w:val="auto"/>
        </w:rPr>
        <w:t>Jointly Owned Technology</w:t>
      </w:r>
      <w:r>
        <w:rPr>
          <w:rFonts w:ascii="Arial" w:cs="Arial" w:eastAsia="Arial" w:hAnsi="Arial"/>
          <w:sz w:val="21"/>
          <w:szCs w:val="21"/>
          <w:color w:val="auto"/>
        </w:rPr>
        <w:t>. All Joint Program Technology and Joint TAP Platform</w:t>
      </w:r>
      <w:r>
        <w:rPr>
          <w:rFonts w:ascii="Arial" w:cs="Arial" w:eastAsia="Arial" w:hAnsi="Arial"/>
          <w:sz w:val="21"/>
          <w:szCs w:val="21"/>
          <w:b w:val="1"/>
          <w:bCs w:val="1"/>
          <w:color w:val="auto"/>
        </w:rPr>
        <w:t xml:space="preserve"> </w:t>
      </w:r>
      <w:r>
        <w:rPr>
          <w:rFonts w:ascii="Arial" w:cs="Arial" w:eastAsia="Arial" w:hAnsi="Arial"/>
          <w:sz w:val="21"/>
          <w:szCs w:val="21"/>
          <w:color w:val="auto"/>
        </w:rPr>
        <w:t>Improvements (including, without limitation, all Joint Patent Rights) shall be jointly owned by the Parties, with each Party holding an undivided one-half interest therein. Subject to the Parties’ other rights and obligations under this Agreement and any then</w:t>
      </w:r>
      <w:r>
        <w:rPr>
          <w:rFonts w:ascii="MS PGothic" w:cs="MS PGothic" w:eastAsia="MS PGothic" w:hAnsi="MS PGothic"/>
          <w:sz w:val="21"/>
          <w:szCs w:val="21"/>
          <w:color w:val="auto"/>
        </w:rPr>
        <w:t>‑</w:t>
      </w:r>
      <w:r>
        <w:rPr>
          <w:rFonts w:ascii="Arial" w:cs="Arial" w:eastAsia="Arial" w:hAnsi="Arial"/>
          <w:sz w:val="21"/>
          <w:szCs w:val="21"/>
          <w:color w:val="auto"/>
        </w:rPr>
        <w:t>outstanding License Agreement, each Party shall be free to exploit and assign, either itself or through the grant of licenses to Third Parties, all Joint Program Technology, Joint TAP Platform Technology Improvements and Joint Patent Rights throughout the world without restriction, without the need to obtain further consent from or provide notice to the other Party and without any duty to account or otherwise make any payment of any compensation to the other Party.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13" w:lineRule="exact"/>
        <w:rPr>
          <w:sz w:val="20"/>
          <w:szCs w:val="20"/>
          <w:color w:val="auto"/>
        </w:rPr>
      </w:pPr>
    </w:p>
    <w:p>
      <w:pPr>
        <w:ind w:right="200" w:firstLine="8"/>
        <w:spacing w:after="0" w:line="259" w:lineRule="auto"/>
        <w:tabs>
          <w:tab w:leader="none" w:pos="4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spacing w:after="0" w:line="273"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b w:val="1"/>
          <w:bCs w:val="1"/>
          <w:color w:val="auto"/>
        </w:rPr>
        <w:t>Disclosure</w:t>
      </w:r>
      <w:r>
        <w:rPr>
          <w:rFonts w:ascii="Arial" w:cs="Arial" w:eastAsia="Arial" w:hAnsi="Arial"/>
          <w:sz w:val="19"/>
          <w:szCs w:val="19"/>
          <w:color w:val="auto"/>
        </w:rPr>
        <w:t xml:space="preserve">. CytomX shall, no less than thirty (30) days before filing any initial Patent Right disclosing CytomX TAP Platform Improvements or any Joint Program Technology or Joint TAP Platform Improvements or any other Patent Right that contains ImmunoGen’s Confidential Information, provide a copy of such disclosure to ImmunoGen. ImmunoGen shall, no less than thirty (30) days before filing any initial Patent Right disclosing Joint Program Technology or Joint TAP Platform Improvements or any other Patent Right that contains CytomX’s Confidential Information, provide a copy of such disclosure to CytomX. In each case, such disclosures to the other Party shall include all invention disclosures or other similar documents submitted to such Party by its, or its Affiliates’, employees, agents or independent contractors describing such invention and the proposed inventorship of any new Patent Rights intended to be filed. The other Party shall promptly raise any issue regarding inventorship of any such Patent Rights, and the Parties agree to determine the correct inventorship of any Patent Rights in accordance with </w:t>
      </w:r>
      <w:r>
        <w:rPr>
          <w:rFonts w:ascii="Arial" w:cs="Arial" w:eastAsia="Arial" w:hAnsi="Arial"/>
          <w:sz w:val="19"/>
          <w:szCs w:val="19"/>
          <w:u w:val="single" w:color="auto"/>
          <w:color w:val="auto"/>
        </w:rPr>
        <w:t>Section 10.10.1</w:t>
      </w:r>
      <w:r>
        <w:rPr>
          <w:rFonts w:ascii="Arial" w:cs="Arial" w:eastAsia="Arial" w:hAnsi="Arial"/>
          <w:sz w:val="19"/>
          <w:szCs w:val="19"/>
          <w:color w:val="auto"/>
        </w:rPr>
        <w:t xml:space="preserve"> hereof.</w:t>
      </w:r>
    </w:p>
    <w:p>
      <w:pPr>
        <w:spacing w:after="0" w:line="15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Filing, Prosecution and Maintenance of Patent Rights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36" w:lineRule="auto"/>
        <w:rPr>
          <w:sz w:val="20"/>
          <w:szCs w:val="20"/>
          <w:color w:val="auto"/>
        </w:rPr>
      </w:pPr>
      <w:r>
        <w:rPr>
          <w:rFonts w:ascii="Arial" w:cs="Arial" w:eastAsia="Arial" w:hAnsi="Arial"/>
          <w:sz w:val="22"/>
          <w:szCs w:val="22"/>
          <w:color w:val="auto"/>
        </w:rPr>
        <w:t xml:space="preserve">5.2.1. </w:t>
      </w:r>
      <w:r>
        <w:rPr>
          <w:rFonts w:ascii="Arial" w:cs="Arial" w:eastAsia="Arial" w:hAnsi="Arial"/>
          <w:sz w:val="22"/>
          <w:szCs w:val="22"/>
          <w:b w:val="1"/>
          <w:bCs w:val="1"/>
          <w:color w:val="auto"/>
        </w:rPr>
        <w:t>Cooperation</w:t>
      </w:r>
      <w:r>
        <w:rPr>
          <w:rFonts w:ascii="Arial" w:cs="Arial" w:eastAsia="Arial" w:hAnsi="Arial"/>
          <w:sz w:val="22"/>
          <w:szCs w:val="22"/>
          <w:color w:val="auto"/>
        </w:rPr>
        <w:t>. Without limiting any other rights and obligations of the Parties under this Agreement, the Parties shall cooperate with respect to the timing, scope and filing of patent applications and patent claims relating to any Joint Program Technology to preserve and enhance the patent protection for Licensed Products, including the manufacture and use thereof and to allow the Party owning the technology underlying an Improvement to have reasonable input to preserve and enhance its patent portfolio and patenting strategy.</w:t>
      </w:r>
    </w:p>
    <w:p>
      <w:pPr>
        <w:spacing w:after="0" w:line="182" w:lineRule="exact"/>
        <w:rPr>
          <w:sz w:val="20"/>
          <w:szCs w:val="20"/>
          <w:color w:val="auto"/>
        </w:rPr>
      </w:pPr>
    </w:p>
    <w:p>
      <w:pPr>
        <w:jc w:val="both"/>
        <w:ind w:left="1760"/>
        <w:spacing w:after="0" w:line="245" w:lineRule="exact"/>
        <w:rPr>
          <w:sz w:val="20"/>
          <w:szCs w:val="20"/>
          <w:color w:val="auto"/>
        </w:rPr>
      </w:pPr>
      <w:r>
        <w:rPr>
          <w:rFonts w:ascii="Arial" w:cs="Arial" w:eastAsia="Arial" w:hAnsi="Arial"/>
          <w:sz w:val="19"/>
          <w:szCs w:val="19"/>
          <w:color w:val="auto"/>
        </w:rPr>
        <w:t xml:space="preserve">5.2.2. </w:t>
      </w:r>
      <w:r>
        <w:rPr>
          <w:rFonts w:ascii="Arial" w:cs="Arial" w:eastAsia="Arial" w:hAnsi="Arial"/>
          <w:sz w:val="19"/>
          <w:szCs w:val="19"/>
          <w:b w:val="1"/>
          <w:bCs w:val="1"/>
          <w:color w:val="auto"/>
        </w:rPr>
        <w:t>ImmunoGen Patent Rights</w:t>
      </w:r>
      <w:r>
        <w:rPr>
          <w:rFonts w:ascii="Arial" w:cs="Arial" w:eastAsia="Arial" w:hAnsi="Arial"/>
          <w:sz w:val="19"/>
          <w:szCs w:val="19"/>
          <w:color w:val="auto"/>
        </w:rPr>
        <w:t>. ImmunoGen, at its own expense, shall have the sole right, but not the obligation, to prepare, file, prosecute and maintain, throughout the world, all Licensed Patent Rights (other than Licensed Patent Rights claiming Joint Program Technology or Joint TAP Platform Improvements). With respect to any Licensed Patent Rights disclosing or claiming Program Technology (other than TAP Platform Improvements included in the Program Technology), ImmunoGen shall keep CytomX reasonably informed of the status of the filing, prosecution and maintenance of such Patent Rights and shall consider in good faith any recommendations made by CytomX in regard to the filing, prosecution or maintenance of any such Patent Right. ImmunoGen shall consult with CytomX in the filing, prosecution and maintenance of any ImmunoGen Patent Right related to Improvements to CytomX Technology and shall not unreasonably refuse to incorporate any recommendations made by CytomX in regard to such filing, prosecution or maintenance. To the extent ImmunoGen decides not to file, prosecute or maintain any Licensed Patent Right that ImmunoGen reasonably believes covers or may cover the Development, Manufacture, Commercialization or use of any Licensed Product (other than any such Patent Right owned or co</w:t>
      </w:r>
      <w:r>
        <w:rPr>
          <w:rFonts w:ascii="MS PGothic" w:cs="MS PGothic" w:eastAsia="MS PGothic" w:hAnsi="MS PGothic"/>
          <w:sz w:val="19"/>
          <w:szCs w:val="19"/>
          <w:color w:val="auto"/>
        </w:rPr>
        <w:t>‑</w:t>
      </w:r>
      <w:r>
        <w:rPr>
          <w:rFonts w:ascii="Arial" w:cs="Arial" w:eastAsia="Arial" w:hAnsi="Arial"/>
          <w:sz w:val="19"/>
          <w:szCs w:val="19"/>
          <w:color w:val="auto"/>
        </w:rPr>
        <w:t>owned by a Third Party licensor or the filing of a new initial patent application) and except in the case in which the decision not to file, prosecute or maintain such Patent Right is made by ImmunoGen in the ordinary course of filing continuation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13" w:lineRule="exact"/>
        <w:rPr>
          <w:sz w:val="20"/>
          <w:szCs w:val="20"/>
          <w:color w:val="auto"/>
        </w:rPr>
      </w:pPr>
    </w:p>
    <w:p>
      <w:pPr>
        <w:ind w:right="200" w:firstLine="8"/>
        <w:spacing w:after="0" w:line="259" w:lineRule="auto"/>
        <w:tabs>
          <w:tab w:leader="none" w:pos="43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71" w:lineRule="auto"/>
        <w:rPr>
          <w:sz w:val="20"/>
          <w:szCs w:val="20"/>
          <w:color w:val="auto"/>
        </w:rPr>
      </w:pPr>
      <w:r>
        <w:rPr>
          <w:rFonts w:ascii="Arial" w:cs="Arial" w:eastAsia="Arial" w:hAnsi="Arial"/>
          <w:sz w:val="19"/>
          <w:szCs w:val="19"/>
          <w:color w:val="auto"/>
        </w:rPr>
        <w:t xml:space="preserve">applications or as part of an overall strategy to optimize the scope or other aspects of the Licensed Intellectual Property, ImmunoGen shall provide CytomX with thirty (30) days prior written notice to such effect </w:t>
      </w:r>
      <w:r>
        <w:rPr>
          <w:rFonts w:ascii="Arial" w:cs="Arial" w:eastAsia="Arial" w:hAnsi="Arial"/>
          <w:sz w:val="19"/>
          <w:szCs w:val="19"/>
          <w:i w:val="1"/>
          <w:iCs w:val="1"/>
          <w:color w:val="auto"/>
        </w:rPr>
        <w:t>(i.e.,</w:t>
      </w:r>
      <w:r>
        <w:rPr>
          <w:rFonts w:ascii="Arial" w:cs="Arial" w:eastAsia="Arial" w:hAnsi="Arial"/>
          <w:sz w:val="19"/>
          <w:szCs w:val="19"/>
          <w:color w:val="auto"/>
        </w:rPr>
        <w:t xml:space="preserve"> at least thirty (30) days prior to the date on which any such filing is intended or due or on which any other such action is due), in which event CytomX may elect to file or continue prosecution or maintenance of such Patent Right, at CytomX’s expense, and ImmunoGen, upon CytomX’s written request received within such thirty (30) day period, shall execute such documents and perform such acts, at CytomX’s expense, as may be reasonably necessary to permit CytomX to file, prosecute and maintain such Patent Right; provided that CytomX (a) shall keep ImmunoGen reasonably informed of the status of the filing, prosecution and maintenance of such Patent Rights, (b) shall consider in good faith any recommendations made by ImmunoGen in regard to such filing, prosecution and maintenance of such Patent Right, and (c) shall not unreasonably refuse to incorporate any recommendations made by ImmunoGen in regard to such filing, prosecution or maintenance. Any such Patent Right that is prosecuted or maintained by CytomX pursuant to this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(a) will continue to be owned by ImmunoGen, and (b) subject to the Parties’ other rights and obligations under this Agreement, may be licensed by ImmunoGen to one or more Third Parties. For avoidance of doubt, “prosecution” as used in this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includes oppositions, nullity or revocation actions, post-grant reviews and other patent office proceedings involving the referenced Patent Rights.</w:t>
      </w:r>
    </w:p>
    <w:p>
      <w:pPr>
        <w:spacing w:after="0" w:line="152" w:lineRule="exact"/>
        <w:rPr>
          <w:sz w:val="20"/>
          <w:szCs w:val="20"/>
          <w:color w:val="auto"/>
        </w:rPr>
      </w:pPr>
    </w:p>
    <w:p>
      <w:pPr>
        <w:jc w:val="both"/>
        <w:ind w:left="1760"/>
        <w:spacing w:after="0" w:line="234" w:lineRule="auto"/>
        <w:rPr>
          <w:sz w:val="20"/>
          <w:szCs w:val="20"/>
          <w:color w:val="auto"/>
        </w:rPr>
      </w:pPr>
      <w:r>
        <w:rPr>
          <w:rFonts w:ascii="Arial" w:cs="Arial" w:eastAsia="Arial" w:hAnsi="Arial"/>
          <w:sz w:val="22"/>
          <w:szCs w:val="22"/>
          <w:color w:val="auto"/>
        </w:rPr>
        <w:t xml:space="preserve">5.2.3. </w:t>
      </w:r>
      <w:r>
        <w:rPr>
          <w:rFonts w:ascii="Arial" w:cs="Arial" w:eastAsia="Arial" w:hAnsi="Arial"/>
          <w:sz w:val="22"/>
          <w:szCs w:val="22"/>
          <w:b w:val="1"/>
          <w:bCs w:val="1"/>
          <w:color w:val="auto"/>
        </w:rPr>
        <w:t>CytomX Patent Rights</w:t>
      </w:r>
      <w:r>
        <w:rPr>
          <w:rFonts w:ascii="Arial" w:cs="Arial" w:eastAsia="Arial" w:hAnsi="Arial"/>
          <w:sz w:val="22"/>
          <w:szCs w:val="22"/>
          <w:color w:val="auto"/>
        </w:rPr>
        <w:t>. CytomX, at its own expense, shall have the sole right, but not the obligation, to prepare, file, prosecute and maintain, throughout the world, any Patent Rights comprised in the CytomX TAP Platform Improvements. CytomX shall consult with ImmunoGen in the filing, prosecution and maintenance of any Patent Right related to CytomX TAP Platform Improvements (including, without limitation, keeping ImmunoGen reasonably informed of the status thereof), shall consider in good faith any recommendations made by ImmunoGen in regard to such filing, prosecution or maintenance, and shall not unreasonably refuse to incorporate any recommendations made by ImmunoGen in regard to such filing, prosecution or maintenance. Nothing contained in this Agreement shall be construed as obligating CytomX to file any patent application in any country or other jurisdiction relating to CytomX TAP Platform Improvements.</w:t>
      </w:r>
    </w:p>
    <w:p>
      <w:pPr>
        <w:spacing w:after="0" w:line="181" w:lineRule="exact"/>
        <w:rPr>
          <w:sz w:val="20"/>
          <w:szCs w:val="20"/>
          <w:color w:val="auto"/>
        </w:rPr>
      </w:pPr>
    </w:p>
    <w:p>
      <w:pPr>
        <w:jc w:val="both"/>
        <w:ind w:left="1760"/>
        <w:spacing w:after="0" w:line="246" w:lineRule="auto"/>
        <w:rPr>
          <w:sz w:val="20"/>
          <w:szCs w:val="20"/>
          <w:color w:val="auto"/>
        </w:rPr>
      </w:pPr>
      <w:r>
        <w:rPr>
          <w:rFonts w:ascii="Arial" w:cs="Arial" w:eastAsia="Arial" w:hAnsi="Arial"/>
          <w:sz w:val="21"/>
          <w:szCs w:val="21"/>
          <w:color w:val="auto"/>
        </w:rPr>
        <w:t xml:space="preserve">5.2.4. </w:t>
      </w:r>
      <w:r>
        <w:rPr>
          <w:rFonts w:ascii="Arial" w:cs="Arial" w:eastAsia="Arial" w:hAnsi="Arial"/>
          <w:sz w:val="21"/>
          <w:szCs w:val="21"/>
          <w:b w:val="1"/>
          <w:bCs w:val="1"/>
          <w:color w:val="auto"/>
        </w:rPr>
        <w:t>Joint Patent Rights</w:t>
      </w:r>
      <w:r>
        <w:rPr>
          <w:rFonts w:ascii="Arial" w:cs="Arial" w:eastAsia="Arial" w:hAnsi="Arial"/>
          <w:sz w:val="21"/>
          <w:szCs w:val="21"/>
          <w:color w:val="auto"/>
        </w:rPr>
        <w:t>. If not already established under the Research Collaboration Agreement, prior to either Party filing any Patent Right disclosing Joint Program Technology or Joint TAP Platform Improvements, the Parties shall establish a patent committee (the “</w:t>
      </w:r>
      <w:r>
        <w:rPr>
          <w:rFonts w:ascii="Arial" w:cs="Arial" w:eastAsia="Arial" w:hAnsi="Arial"/>
          <w:sz w:val="21"/>
          <w:szCs w:val="21"/>
          <w:b w:val="1"/>
          <w:bCs w:val="1"/>
          <w:color w:val="auto"/>
        </w:rPr>
        <w:t>Patent Committee</w:t>
      </w:r>
      <w:r>
        <w:rPr>
          <w:rFonts w:ascii="Arial" w:cs="Arial" w:eastAsia="Arial" w:hAnsi="Arial"/>
          <w:sz w:val="21"/>
          <w:szCs w:val="21"/>
          <w:color w:val="auto"/>
        </w:rPr>
        <w:t xml:space="preserve">”) comprised of at least one (1) representative of each Party for the purpose of facilitating the preparation, filing, prosecution, maintenance and defense of Joint Patent Rights. As agreed upon by the Parties, meetings of the Patent Committee may be face-to-face or may be conducted by teleconferences or videoconferences, from time to time as needed. The Patent Committee will be the forum through which the Parties coordinate their respective obligations to each other described in </w:t>
      </w:r>
      <w:r>
        <w:rPr>
          <w:rFonts w:ascii="Arial" w:cs="Arial" w:eastAsia="Arial" w:hAnsi="Arial"/>
          <w:sz w:val="21"/>
          <w:szCs w:val="21"/>
          <w:u w:val="single" w:color="auto"/>
          <w:color w:val="auto"/>
        </w:rPr>
        <w:t>Sections 5.2.2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5.2.3</w:t>
      </w:r>
      <w:r>
        <w:rPr>
          <w:rFonts w:ascii="Arial" w:cs="Arial" w:eastAsia="Arial" w:hAnsi="Arial"/>
          <w:sz w:val="21"/>
          <w:szCs w:val="21"/>
          <w:color w:val="auto"/>
        </w:rPr>
        <w:t xml:space="preserve"> hereof and in this Section. In the event the Parties conceive or generate any Joint Program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13" w:lineRule="exact"/>
        <w:rPr>
          <w:sz w:val="20"/>
          <w:szCs w:val="20"/>
          <w:color w:val="auto"/>
        </w:rPr>
      </w:pPr>
    </w:p>
    <w:p>
      <w:pPr>
        <w:ind w:right="200" w:firstLine="8"/>
        <w:spacing w:after="0" w:line="259" w:lineRule="auto"/>
        <w:tabs>
          <w:tab w:leader="none" w:pos="4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72" w:lineRule="auto"/>
        <w:rPr>
          <w:sz w:val="20"/>
          <w:szCs w:val="20"/>
          <w:color w:val="auto"/>
        </w:rPr>
      </w:pPr>
      <w:r>
        <w:rPr>
          <w:rFonts w:ascii="Arial" w:cs="Arial" w:eastAsia="Arial" w:hAnsi="Arial"/>
          <w:sz w:val="19"/>
          <w:szCs w:val="19"/>
          <w:color w:val="auto"/>
        </w:rPr>
        <w:t>Technology or Joint TAP Platform Improvements, the Parties shall promptly meet to discuss and determine, based on mutual consent, whether to seek patent protection thereon, which Party will control filing, prosecution and maintenance of such patents and how to pay for the filing, prosecution and maintenance of such patents. It is presumed that CytomX will control filing, prosecution and maintenance of Joint Patent Rights claiming Joint Program Technology or Joint Unconjugated Probody Platform Improvements, and that ImmunoGen will control filing, prosecution and maintenance of Joint Patent Rights claiming Joint TAP Platform Improvements or Joint Conjugation Probody Platform Improvements. Neither Party will file any Joint Patent Right without the prior written consent of the other Party, which consent shall not be unreasonably withheld, conditioned or delayed. The Party controlling filing and prosecution of any such Joint Patent Right (a) shall keep the other Party informed regarding each Patent Right, (b) shall consider in good faith any recommendations made by the other Party in regard to the filing, prosecution or maintenance of any such Patent Right and (c) shall not unreasonably refuse to incorporate any recommendations made by the other Party in regard to such filing, prosecution or maintenance.</w:t>
      </w:r>
    </w:p>
    <w:p>
      <w:pPr>
        <w:spacing w:after="0" w:line="399" w:lineRule="exact"/>
        <w:rPr>
          <w:sz w:val="20"/>
          <w:szCs w:val="20"/>
          <w:color w:val="auto"/>
        </w:rPr>
      </w:pPr>
    </w:p>
    <w:p>
      <w:pPr>
        <w:jc w:val="both"/>
        <w:ind w:left="1760"/>
        <w:spacing w:after="0" w:line="236" w:lineRule="auto"/>
        <w:rPr>
          <w:sz w:val="20"/>
          <w:szCs w:val="20"/>
          <w:color w:val="auto"/>
        </w:rPr>
      </w:pPr>
      <w:r>
        <w:rPr>
          <w:rFonts w:ascii="Arial" w:cs="Arial" w:eastAsia="Arial" w:hAnsi="Arial"/>
          <w:sz w:val="22"/>
          <w:szCs w:val="22"/>
          <w:color w:val="auto"/>
        </w:rPr>
        <w:t xml:space="preserve">5.2.5. </w:t>
      </w:r>
      <w:r>
        <w:rPr>
          <w:rFonts w:ascii="Arial" w:cs="Arial" w:eastAsia="Arial" w:hAnsi="Arial"/>
          <w:sz w:val="22"/>
          <w:szCs w:val="22"/>
          <w:b w:val="1"/>
          <w:bCs w:val="1"/>
          <w:color w:val="auto"/>
        </w:rPr>
        <w:t>Improper Patent Filings</w:t>
      </w:r>
      <w:r>
        <w:rPr>
          <w:rFonts w:ascii="Arial" w:cs="Arial" w:eastAsia="Arial" w:hAnsi="Arial"/>
          <w:sz w:val="22"/>
          <w:szCs w:val="22"/>
          <w:color w:val="auto"/>
        </w:rPr>
        <w:t>. Each Party agrees that, without the prior written consent of the other Party, neither it nor any of its Affiliates will claim in any patent application filed by or on behalf of such Party (or its Affiliate) any unpatented, nonpublic invention for which the inventor(s) (alone or with others) are employees of, or other persons obligated to assign inventions to, the other Party or any Affiliate of the other Party, or disclose any such invention in any such patent application in a manner that would prejudice the other Party’s ability to patent such invention.</w:t>
      </w:r>
    </w:p>
    <w:p>
      <w:pPr>
        <w:spacing w:after="0" w:line="182" w:lineRule="exact"/>
        <w:rPr>
          <w:sz w:val="20"/>
          <w:szCs w:val="20"/>
          <w:color w:val="auto"/>
        </w:rPr>
      </w:pPr>
    </w:p>
    <w:p>
      <w:pPr>
        <w:jc w:val="both"/>
        <w:ind w:left="1760"/>
        <w:spacing w:after="0" w:line="236" w:lineRule="auto"/>
        <w:rPr>
          <w:sz w:val="20"/>
          <w:szCs w:val="20"/>
          <w:color w:val="auto"/>
        </w:rPr>
      </w:pPr>
      <w:r>
        <w:rPr>
          <w:rFonts w:ascii="Arial" w:cs="Arial" w:eastAsia="Arial" w:hAnsi="Arial"/>
          <w:sz w:val="22"/>
          <w:szCs w:val="22"/>
          <w:color w:val="auto"/>
        </w:rPr>
        <w:t xml:space="preserve">5.2.6. </w:t>
      </w:r>
      <w:r>
        <w:rPr>
          <w:rFonts w:ascii="Arial" w:cs="Arial" w:eastAsia="Arial" w:hAnsi="Arial"/>
          <w:sz w:val="22"/>
          <w:szCs w:val="22"/>
          <w:b w:val="1"/>
          <w:bCs w:val="1"/>
          <w:color w:val="auto"/>
        </w:rPr>
        <w:t>Liability</w:t>
      </w:r>
      <w:r>
        <w:rPr>
          <w:rFonts w:ascii="Arial" w:cs="Arial" w:eastAsia="Arial" w:hAnsi="Arial"/>
          <w:sz w:val="22"/>
          <w:szCs w:val="22"/>
          <w:color w:val="auto"/>
        </w:rPr>
        <w:t xml:space="preserve">. Except for breaches of </w:t>
      </w:r>
      <w:r>
        <w:rPr>
          <w:rFonts w:ascii="Arial" w:cs="Arial" w:eastAsia="Arial" w:hAnsi="Arial"/>
          <w:sz w:val="22"/>
          <w:szCs w:val="22"/>
          <w:u w:val="single" w:color="auto"/>
          <w:color w:val="auto"/>
        </w:rPr>
        <w:t>Section 5.2.5</w:t>
      </w:r>
      <w:r>
        <w:rPr>
          <w:rFonts w:ascii="Arial" w:cs="Arial" w:eastAsia="Arial" w:hAnsi="Arial"/>
          <w:sz w:val="22"/>
          <w:szCs w:val="22"/>
          <w:color w:val="auto"/>
        </w:rPr>
        <w:t xml:space="preserve"> hereof, to the extent that a Party is obtaining, prosecuting or maintaining a Patent Right included in the Licensed Intellectual Property or Joint Patent Rights or otherwise exercising its rights under this </w:t>
      </w:r>
      <w:r>
        <w:rPr>
          <w:rFonts w:ascii="Arial" w:cs="Arial" w:eastAsia="Arial" w:hAnsi="Arial"/>
          <w:sz w:val="22"/>
          <w:szCs w:val="22"/>
          <w:u w:val="single" w:color="auto"/>
          <w:color w:val="auto"/>
        </w:rPr>
        <w:t>Section 5.2</w:t>
      </w:r>
      <w:r>
        <w:rPr>
          <w:rFonts w:ascii="Arial" w:cs="Arial" w:eastAsia="Arial" w:hAnsi="Arial"/>
          <w:sz w:val="22"/>
          <w:szCs w:val="22"/>
          <w:color w:val="auto"/>
        </w:rPr>
        <w:t>, such Party, and its Affiliates, employees, agents or representatives, shall not be liable to the other Party in respect of any act or omission on the part of any such Party, or its Affiliates, employees, agents or representatives, in connection with such activities undertaken in good faith.</w:t>
      </w:r>
    </w:p>
    <w:p>
      <w:pPr>
        <w:spacing w:after="0" w:line="182" w:lineRule="exact"/>
        <w:rPr>
          <w:sz w:val="20"/>
          <w:szCs w:val="20"/>
          <w:color w:val="auto"/>
        </w:rPr>
      </w:pPr>
    </w:p>
    <w:p>
      <w:pPr>
        <w:jc w:val="both"/>
        <w:ind w:left="1760"/>
        <w:spacing w:after="0" w:line="237" w:lineRule="auto"/>
        <w:rPr>
          <w:sz w:val="20"/>
          <w:szCs w:val="20"/>
          <w:color w:val="auto"/>
        </w:rPr>
      </w:pPr>
      <w:r>
        <w:rPr>
          <w:rFonts w:ascii="Arial" w:cs="Arial" w:eastAsia="Arial" w:hAnsi="Arial"/>
          <w:sz w:val="22"/>
          <w:szCs w:val="22"/>
          <w:color w:val="auto"/>
        </w:rPr>
        <w:t xml:space="preserve">5.2.7. </w:t>
      </w:r>
      <w:r>
        <w:rPr>
          <w:rFonts w:ascii="Arial" w:cs="Arial" w:eastAsia="Arial" w:hAnsi="Arial"/>
          <w:sz w:val="22"/>
          <w:szCs w:val="22"/>
          <w:b w:val="1"/>
          <w:bCs w:val="1"/>
          <w:color w:val="auto"/>
        </w:rPr>
        <w:t>Extensions</w:t>
      </w:r>
      <w:r>
        <w:rPr>
          <w:rFonts w:ascii="Arial" w:cs="Arial" w:eastAsia="Arial" w:hAnsi="Arial"/>
          <w:sz w:val="22"/>
          <w:szCs w:val="22"/>
          <w:color w:val="auto"/>
        </w:rPr>
        <w:t>. The decision to file for a patent term extension and particulars thereof (including which patent(s) to extend) will be made with the goal of obtaining the optimal patent term and scope of protection for Licensed Products. If a Party wishes to file for a patent term extension based on Patent Rights owned by the other Party, it will so notify the other Party, and the Parties will meet to discuss and determine whether and how to proceed with such patent term extension.</w:t>
      </w:r>
    </w:p>
    <w:p>
      <w:pPr>
        <w:spacing w:after="0" w:line="183" w:lineRule="exact"/>
        <w:rPr>
          <w:sz w:val="20"/>
          <w:szCs w:val="20"/>
          <w:color w:val="auto"/>
        </w:rPr>
      </w:pPr>
    </w:p>
    <w:p>
      <w:pPr>
        <w:ind w:left="880"/>
        <w:spacing w:after="0" w:line="25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color w:val="auto"/>
        </w:rPr>
        <w:t>Joint Research Agreement</w:t>
      </w:r>
      <w:r>
        <w:rPr>
          <w:rFonts w:ascii="Arial" w:cs="Arial" w:eastAsia="Arial" w:hAnsi="Arial"/>
          <w:sz w:val="22"/>
          <w:szCs w:val="22"/>
          <w:color w:val="auto"/>
        </w:rPr>
        <w:t>. This Agreement shall be understood to be a joint research agreement under 35 U.S.C. § 103(c)(3) entered into for the purpose of Developing Licensed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13" w:lineRule="exact"/>
        <w:rPr>
          <w:sz w:val="20"/>
          <w:szCs w:val="20"/>
          <w:color w:val="auto"/>
        </w:rPr>
      </w:pPr>
    </w:p>
    <w:p>
      <w:pPr>
        <w:ind w:right="200" w:firstLine="8"/>
        <w:spacing w:after="0" w:line="259" w:lineRule="auto"/>
        <w:tabs>
          <w:tab w:leader="none" w:pos="43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ind w:left="3360"/>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b w:val="1"/>
          <w:bCs w:val="1"/>
          <w:color w:val="auto"/>
        </w:rPr>
        <w:t>Enforcement of Patent Rights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61" w:lineRule="auto"/>
        <w:rPr>
          <w:sz w:val="20"/>
          <w:szCs w:val="20"/>
          <w:color w:val="auto"/>
        </w:rPr>
      </w:pPr>
      <w:r>
        <w:rPr>
          <w:rFonts w:ascii="Arial" w:cs="Arial" w:eastAsia="Arial" w:hAnsi="Arial"/>
          <w:sz w:val="21"/>
          <w:szCs w:val="21"/>
          <w:color w:val="auto"/>
        </w:rPr>
        <w:t xml:space="preserve">5.4.1. </w:t>
      </w:r>
      <w:r>
        <w:rPr>
          <w:rFonts w:ascii="Arial" w:cs="Arial" w:eastAsia="Arial" w:hAnsi="Arial"/>
          <w:sz w:val="21"/>
          <w:szCs w:val="21"/>
          <w:b w:val="1"/>
          <w:bCs w:val="1"/>
          <w:color w:val="auto"/>
        </w:rPr>
        <w:t>Notice</w:t>
      </w:r>
      <w:r>
        <w:rPr>
          <w:rFonts w:ascii="Arial" w:cs="Arial" w:eastAsia="Arial" w:hAnsi="Arial"/>
          <w:sz w:val="21"/>
          <w:szCs w:val="21"/>
          <w:color w:val="auto"/>
        </w:rPr>
        <w:t>. If either ImmunoGen or CytomX becomes aware of any infringement anywhere in the world of any issued Patent Right within the Licensed Intellectual Property or Joint Patent Rights by any Third Party (an “</w:t>
      </w:r>
      <w:r>
        <w:rPr>
          <w:rFonts w:ascii="Arial" w:cs="Arial" w:eastAsia="Arial" w:hAnsi="Arial"/>
          <w:sz w:val="21"/>
          <w:szCs w:val="21"/>
          <w:b w:val="1"/>
          <w:bCs w:val="1"/>
          <w:color w:val="auto"/>
        </w:rPr>
        <w:t>Infringement</w:t>
      </w:r>
      <w:r>
        <w:rPr>
          <w:rFonts w:ascii="Arial" w:cs="Arial" w:eastAsia="Arial" w:hAnsi="Arial"/>
          <w:sz w:val="21"/>
          <w:szCs w:val="21"/>
          <w:color w:val="auto"/>
        </w:rPr>
        <w:t>”), such Party shall promptly notify the other Party in writing to that effect.</w:t>
      </w:r>
    </w:p>
    <w:p>
      <w:pPr>
        <w:spacing w:after="0" w:line="15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5.4.2.</w:t>
      </w:r>
      <w:r>
        <w:rPr>
          <w:sz w:val="20"/>
          <w:szCs w:val="20"/>
          <w:color w:val="auto"/>
        </w:rPr>
        <w:tab/>
      </w:r>
      <w:r>
        <w:rPr>
          <w:rFonts w:ascii="Arial" w:cs="Arial" w:eastAsia="Arial" w:hAnsi="Arial"/>
          <w:sz w:val="19"/>
          <w:szCs w:val="19"/>
          <w:b w:val="1"/>
          <w:bCs w:val="1"/>
          <w:color w:val="auto"/>
        </w:rPr>
        <w:t>Infringement of Certain Patent Rights</w:t>
      </w:r>
      <w:r>
        <w:rPr>
          <w:rFonts w:ascii="Arial" w:cs="Arial" w:eastAsia="Arial" w:hAnsi="Arial"/>
          <w:sz w:val="19"/>
          <w:szCs w:val="19"/>
          <w:color w:val="auto"/>
        </w:rPr>
        <w:t>.</w:t>
      </w:r>
    </w:p>
    <w:p>
      <w:pPr>
        <w:spacing w:after="0" w:line="212" w:lineRule="exact"/>
        <w:rPr>
          <w:sz w:val="20"/>
          <w:szCs w:val="20"/>
          <w:color w:val="auto"/>
        </w:rPr>
      </w:pPr>
    </w:p>
    <w:p>
      <w:pPr>
        <w:jc w:val="both"/>
        <w:ind w:left="2640" w:firstLine="2"/>
        <w:spacing w:after="0" w:line="234" w:lineRule="auto"/>
        <w:tabs>
          <w:tab w:leader="none" w:pos="352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event of any Infringement of a Patent Right included in the Licensed Intellectual Property (including, without limitation, Joint Patent Rights included in the Joint TAP Platform Improvements and Joint Conjugation Probody Platform Improvements but excluding Joint Patent Rights included in the Joint Program Technology (other than Joint Conjugation Probody Platform Improvements)), ImmunoGen shall have the first right to take action to obtain a discontinuance of Infringement or bring suit against a Third Party infringer of such Patent Right within six (6) months from the date of notice.</w:t>
      </w:r>
    </w:p>
    <w:p>
      <w:pPr>
        <w:spacing w:after="0" w:line="191" w:lineRule="exact"/>
        <w:rPr>
          <w:rFonts w:ascii="Arial" w:cs="Arial" w:eastAsia="Arial" w:hAnsi="Arial"/>
          <w:sz w:val="22"/>
          <w:szCs w:val="22"/>
          <w:color w:val="auto"/>
        </w:rPr>
      </w:pPr>
    </w:p>
    <w:p>
      <w:pPr>
        <w:jc w:val="both"/>
        <w:ind w:left="2640" w:firstLine="2"/>
        <w:spacing w:after="0" w:line="275" w:lineRule="auto"/>
        <w:tabs>
          <w:tab w:leader="none" w:pos="35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ImmunoGen shall bear all the expenses of any suit brought by it claiming infringement of any such Patent Right. CytomX shall reasonably cooperate with ImmunoGen in any such suit and shall have the right to consult with ImmunoGen and to participate in and be represented by independent counsel in such litigation at its own expense. ImmunoGen shall incur no liability to CytomX as a consequence of such litigation or any unfavorable decision resulting therefrom, including any decision holding any such Patent Right invalid or unenforceable, and ImmunoGen shall not, without CytomX’s prior written consent (which consent shall not be unreasonably withheld, conditioned or delayed), enter into any settlement or consent decree that admits the invalidity or unenforceability or limits the scope of any such Patent Right.</w:t>
      </w: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jc w:val="both"/>
        <w:ind w:left="2640" w:firstLine="2"/>
        <w:spacing w:after="0" w:line="273" w:lineRule="auto"/>
        <w:tabs>
          <w:tab w:leader="none" w:pos="3528"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ImmunoGen has not obtained a discontinuance of such Infringement by, or filed suit against, any such Third Party infringer within the six (6) month period set forth in subsection (a) above, then CytomX shall have the right, but not the obligation, to bring suit against such Third Party infringer, at CytomX’s sole expense, under any Licensed Intellectual Property. ImmunoGen shall reasonably cooperate with CytomX in any such litigation, including being joined as a party, at CytomX’s expense, provided that ImmunoGen may, at its sole discretion, elect to be represented by independent counsel in such litigation at its own expense. CytomX shall incur no liability to ImmunoGen as a consequence of such litigation or any unfavorable decision resulting therefrom, including any decision holding any such ImmunoGen Patent Right invalid or unenforceable; and CytomX shall not, without ImmunoGen’s prior written consent (which ImmunoGen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13" w:lineRule="exact"/>
        <w:rPr>
          <w:sz w:val="20"/>
          <w:szCs w:val="20"/>
          <w:color w:val="auto"/>
        </w:rPr>
      </w:pPr>
    </w:p>
    <w:p>
      <w:pPr>
        <w:ind w:right="200" w:firstLine="8"/>
        <w:spacing w:after="0" w:line="259" w:lineRule="auto"/>
        <w:tabs>
          <w:tab w:leader="none" w:pos="43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spacing w:after="0"/>
        <w:rPr>
          <w:sz w:val="20"/>
          <w:szCs w:val="20"/>
          <w:color w:val="auto"/>
        </w:rPr>
      </w:pPr>
      <w:r>
        <w:rPr>
          <w:rFonts w:ascii="Arial" w:cs="Arial" w:eastAsia="Arial" w:hAnsi="Arial"/>
          <w:sz w:val="22"/>
          <w:szCs w:val="22"/>
          <w:color w:val="auto"/>
        </w:rPr>
        <w:t>may withhold in its sole discretion), enter into any settlement or consent decree that requires any payment by or admits or imparts any other liability to ImmunoGen or admits the invalidity or unenforceability or limits the scope of any such Patent Right.</w:t>
      </w:r>
    </w:p>
    <w:p>
      <w:pPr>
        <w:spacing w:after="0" w:line="186" w:lineRule="exact"/>
        <w:rPr>
          <w:sz w:val="20"/>
          <w:szCs w:val="20"/>
          <w:color w:val="auto"/>
        </w:rPr>
      </w:pPr>
    </w:p>
    <w:p>
      <w:pPr>
        <w:jc w:val="both"/>
        <w:ind w:left="2640" w:firstLine="2"/>
        <w:spacing w:after="0" w:line="287" w:lineRule="auto"/>
        <w:tabs>
          <w:tab w:leader="none" w:pos="35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 the event of any Infringement of a Joint Patent Right included in the Joint Program Technology (other than Joint Conjugation Probody Platform Improvements), CytomX shall have the first right to take action to obtain a discontinuance of Infringement or bring suit against a Third Party infringer of such Patent Right within six (6) months from the date of notice.</w:t>
      </w:r>
    </w:p>
    <w:p>
      <w:pPr>
        <w:spacing w:after="0" w:line="143" w:lineRule="exact"/>
        <w:rPr>
          <w:rFonts w:ascii="Arial" w:cs="Arial" w:eastAsia="Arial" w:hAnsi="Arial"/>
          <w:sz w:val="19"/>
          <w:szCs w:val="19"/>
          <w:color w:val="auto"/>
        </w:rPr>
      </w:pPr>
    </w:p>
    <w:p>
      <w:pPr>
        <w:jc w:val="both"/>
        <w:ind w:left="2640" w:firstLine="2"/>
        <w:spacing w:after="0" w:line="275" w:lineRule="auto"/>
        <w:tabs>
          <w:tab w:leader="none" w:pos="352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CytomX shall bear all the expenses of any suit brought by it claiming infringement of any such Patent Right. ImmunoGen shall reasonably cooperate with CytomX in any such suit and shall have the right to consult with CytomX and to participate in and be represented by independent counsel in such litigation at its own expense. CytomX shall incur no liability to ImmunoGen as a consequence of such litigation or any unfavorable decision resulting therefrom, including any decision holding any such Patent Right invalid or unenforceable, and CytomX shall not, without ImmunoGen’s prior written consent, enter into any settlement or consent decree that admits the invalidity or unenforceability or limits the scope of any such Patent Right.</w:t>
      </w:r>
    </w:p>
    <w:p>
      <w:pPr>
        <w:spacing w:after="0" w:line="158" w:lineRule="exact"/>
        <w:rPr>
          <w:rFonts w:ascii="Arial" w:cs="Arial" w:eastAsia="Arial" w:hAnsi="Arial"/>
          <w:sz w:val="19"/>
          <w:szCs w:val="19"/>
          <w:color w:val="auto"/>
        </w:rPr>
      </w:pPr>
    </w:p>
    <w:p>
      <w:pPr>
        <w:jc w:val="both"/>
        <w:ind w:left="2640" w:firstLine="2"/>
        <w:spacing w:after="0" w:line="272" w:lineRule="auto"/>
        <w:tabs>
          <w:tab w:leader="none" w:pos="350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CytomX has not obtained a discontinuance of such Infringement by, or filed suit against, any such Third Party infringer within the six (6) month period set forth in subsection (d) above, then ImmunoGen shall have the right, but not the obligation, to bring suit against such Third Party infringer, at ImmunoGen’s sole expense, under any CytomX TAP Platform Improvements. CytomX shall reasonably cooperate with ImmunoGen in any such litigation, including being joined as a party, at ImmunoGen’s expense, provided that CytomX may, at its sole discretion, elect to be represented by independent counsel in such litigation at its own expense. ImmunoGen shall incur no liability to CytomX as a consequence of such litigation or any unfavorable decision resulting therefrom, including any decision holding any such CytomX Patent Right invalid or unenforceable; and ImmunoGen shall not, without CytomX’s prior written consent (which CytomX may withhold in its sole discretion), enter into any settlement or consent decree that requires any payment by or admits or imparts any other liability to CytomX or admits the invalidity or unenforceability or limits the scope of any such Patent Right.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13" w:lineRule="exact"/>
        <w:rPr>
          <w:sz w:val="20"/>
          <w:szCs w:val="20"/>
          <w:color w:val="auto"/>
        </w:rPr>
      </w:pPr>
    </w:p>
    <w:p>
      <w:pPr>
        <w:ind w:right="200" w:firstLine="8"/>
        <w:spacing w:after="0" w:line="259" w:lineRule="auto"/>
        <w:tabs>
          <w:tab w:leader="none" w:pos="43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firstLine="2"/>
        <w:spacing w:after="0" w:line="297" w:lineRule="auto"/>
        <w:tabs>
          <w:tab w:leader="none" w:pos="35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enforcing Party shall keep the other Party reasonably informed of all material developments in connection with any such suit. Any recoveries obtained by either Party as a result of any proceeding against such a Third Party infringer (“</w:t>
      </w:r>
      <w:r>
        <w:rPr>
          <w:rFonts w:ascii="Arial" w:cs="Arial" w:eastAsia="Arial" w:hAnsi="Arial"/>
          <w:sz w:val="19"/>
          <w:szCs w:val="19"/>
          <w:b w:val="1"/>
          <w:bCs w:val="1"/>
          <w:color w:val="auto"/>
        </w:rPr>
        <w:t>Monies</w:t>
      </w:r>
      <w:r>
        <w:rPr>
          <w:rFonts w:ascii="Arial" w:cs="Arial" w:eastAsia="Arial" w:hAnsi="Arial"/>
          <w:sz w:val="19"/>
          <w:szCs w:val="19"/>
          <w:color w:val="auto"/>
        </w:rPr>
        <w:t>”) shall be allocated as follows:</w:t>
      </w:r>
    </w:p>
    <w:p>
      <w:pPr>
        <w:spacing w:after="0" w:line="134" w:lineRule="exact"/>
        <w:rPr>
          <w:rFonts w:ascii="Arial" w:cs="Arial" w:eastAsia="Arial" w:hAnsi="Arial"/>
          <w:sz w:val="19"/>
          <w:szCs w:val="19"/>
          <w:color w:val="auto"/>
        </w:rPr>
      </w:pPr>
    </w:p>
    <w:p>
      <w:pPr>
        <w:ind w:left="3520" w:hanging="1"/>
        <w:spacing w:after="0" w:line="274" w:lineRule="auto"/>
        <w:tabs>
          <w:tab w:leader="none" w:pos="4372" w:val="left"/>
        </w:tabs>
        <w:numPr>
          <w:ilvl w:val="1"/>
          <w:numId w:val="115"/>
        </w:numPr>
        <w:rPr>
          <w:rFonts w:ascii="Arial" w:cs="Arial" w:eastAsia="Arial" w:hAnsi="Arial"/>
          <w:sz w:val="21"/>
          <w:szCs w:val="21"/>
          <w:color w:val="auto"/>
        </w:rPr>
      </w:pPr>
      <w:r>
        <w:rPr>
          <w:rFonts w:ascii="Arial" w:cs="Arial" w:eastAsia="Arial" w:hAnsi="Arial"/>
          <w:sz w:val="21"/>
          <w:szCs w:val="21"/>
          <w:color w:val="auto"/>
        </w:rPr>
        <w:t>the Monies will be distributed first to the controlling Party for its out-of-pocket litigation costs and expenses incurred in connection with such litigation; then</w:t>
      </w:r>
    </w:p>
    <w:p>
      <w:pPr>
        <w:spacing w:after="0" w:line="150" w:lineRule="exact"/>
        <w:rPr>
          <w:rFonts w:ascii="Arial" w:cs="Arial" w:eastAsia="Arial" w:hAnsi="Arial"/>
          <w:sz w:val="21"/>
          <w:szCs w:val="21"/>
          <w:color w:val="auto"/>
        </w:rPr>
      </w:pPr>
    </w:p>
    <w:p>
      <w:pPr>
        <w:ind w:left="3520" w:hanging="1"/>
        <w:spacing w:after="0" w:line="274" w:lineRule="auto"/>
        <w:tabs>
          <w:tab w:leader="none" w:pos="4432" w:val="left"/>
        </w:tabs>
        <w:numPr>
          <w:ilvl w:val="1"/>
          <w:numId w:val="115"/>
        </w:numPr>
        <w:rPr>
          <w:rFonts w:ascii="Arial" w:cs="Arial" w:eastAsia="Arial" w:hAnsi="Arial"/>
          <w:sz w:val="21"/>
          <w:szCs w:val="21"/>
          <w:color w:val="auto"/>
        </w:rPr>
      </w:pPr>
      <w:r>
        <w:rPr>
          <w:rFonts w:ascii="Arial" w:cs="Arial" w:eastAsia="Arial" w:hAnsi="Arial"/>
          <w:sz w:val="21"/>
          <w:szCs w:val="21"/>
          <w:color w:val="auto"/>
        </w:rPr>
        <w:t>the Monies will then be distributed to the other Party for its out-of-pocket litigation costs and expenses incurred in connection with such litigation; then</w:t>
      </w:r>
    </w:p>
    <w:p>
      <w:pPr>
        <w:spacing w:after="0" w:line="150" w:lineRule="exact"/>
        <w:rPr>
          <w:rFonts w:ascii="Arial" w:cs="Arial" w:eastAsia="Arial" w:hAnsi="Arial"/>
          <w:sz w:val="21"/>
          <w:szCs w:val="21"/>
          <w:color w:val="auto"/>
        </w:rPr>
      </w:pPr>
    </w:p>
    <w:p>
      <w:pPr>
        <w:jc w:val="both"/>
        <w:ind w:left="3520" w:hanging="1"/>
        <w:spacing w:after="0" w:line="277" w:lineRule="auto"/>
        <w:tabs>
          <w:tab w:leader="none" w:pos="4492" w:val="left"/>
        </w:tabs>
        <w:numPr>
          <w:ilvl w:val="1"/>
          <w:numId w:val="115"/>
        </w:numPr>
        <w:rPr>
          <w:rFonts w:ascii="Arial" w:cs="Arial" w:eastAsia="Arial" w:hAnsi="Arial"/>
          <w:sz w:val="19"/>
          <w:szCs w:val="19"/>
          <w:color w:val="auto"/>
        </w:rPr>
      </w:pPr>
      <w:r>
        <w:rPr>
          <w:rFonts w:ascii="Arial" w:cs="Arial" w:eastAsia="Arial" w:hAnsi="Arial"/>
          <w:sz w:val="19"/>
          <w:szCs w:val="19"/>
          <w:color w:val="auto"/>
        </w:rPr>
        <w:t>to the extent the remaining Monies recovered represent such Third Party’s infringing sales with respect to Licensed Products, (A) ImmunoGen will receive an amount out of such remaining Monies equal to the royalties that would have been due upon sales of the infringing product as if such infringing sales had been incremental Net Sales of a Licensed Product sold by CytomX (the “</w:t>
      </w:r>
      <w:r>
        <w:rPr>
          <w:rFonts w:ascii="Arial" w:cs="Arial" w:eastAsia="Arial" w:hAnsi="Arial"/>
          <w:sz w:val="19"/>
          <w:szCs w:val="19"/>
          <w:b w:val="1"/>
          <w:bCs w:val="1"/>
          <w:color w:val="auto"/>
        </w:rPr>
        <w:t>Deemed Royalty Portion</w:t>
      </w:r>
      <w:r>
        <w:rPr>
          <w:rFonts w:ascii="Arial" w:cs="Arial" w:eastAsia="Arial" w:hAnsi="Arial"/>
          <w:sz w:val="19"/>
          <w:szCs w:val="19"/>
          <w:color w:val="auto"/>
        </w:rPr>
        <w:t>”), and (B) CytomX will receive the amount of such remaining Monies representing such Third Party’s infringing sales with respect to Licensed Products, minus the Deemed Royalty Portion; or</w:t>
      </w:r>
    </w:p>
    <w:p>
      <w:pPr>
        <w:spacing w:after="0" w:line="152" w:lineRule="exact"/>
        <w:rPr>
          <w:rFonts w:ascii="Arial" w:cs="Arial" w:eastAsia="Arial" w:hAnsi="Arial"/>
          <w:sz w:val="19"/>
          <w:szCs w:val="19"/>
          <w:color w:val="auto"/>
        </w:rPr>
      </w:pPr>
    </w:p>
    <w:p>
      <w:pPr>
        <w:jc w:val="both"/>
        <w:ind w:left="3520" w:hanging="1"/>
        <w:spacing w:after="0" w:line="234" w:lineRule="auto"/>
        <w:tabs>
          <w:tab w:leader="none" w:pos="44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to the extent the remaining Monies recovered represent CytomX’s lost profits with respect to Licensed Products, the amount of such Monies shall be grossed up to an amount equivalent to what would have been Net Sales (taking into account CytomX’s costs of manufacture and sale relative to such Third Party’s costs of manufacture and sale) and (A) ImmunoGen will receive the Deemed Royalty Portion of such calculated Net Sales, and (B) CytomX will receive the amount of such remaining Monies representing CytomX’s lost profits with respect to Licensed Products, minus the Deemed Royalty Portion; or</w:t>
      </w:r>
    </w:p>
    <w:p>
      <w:pPr>
        <w:spacing w:after="0" w:line="187" w:lineRule="exact"/>
        <w:rPr>
          <w:rFonts w:ascii="Arial" w:cs="Arial" w:eastAsia="Arial" w:hAnsi="Arial"/>
          <w:sz w:val="22"/>
          <w:szCs w:val="22"/>
          <w:color w:val="auto"/>
        </w:rPr>
      </w:pPr>
    </w:p>
    <w:p>
      <w:pPr>
        <w:jc w:val="both"/>
        <w:ind w:left="3520" w:hanging="1"/>
        <w:spacing w:after="0" w:line="245" w:lineRule="auto"/>
        <w:tabs>
          <w:tab w:leader="none" w:pos="4420" w:val="left"/>
        </w:tabs>
        <w:numPr>
          <w:ilvl w:val="1"/>
          <w:numId w:val="115"/>
        </w:numPr>
        <w:rPr>
          <w:rFonts w:ascii="Arial" w:cs="Arial" w:eastAsia="Arial" w:hAnsi="Arial"/>
          <w:sz w:val="21"/>
          <w:szCs w:val="21"/>
          <w:color w:val="auto"/>
        </w:rPr>
      </w:pPr>
      <w:r>
        <w:rPr>
          <w:rFonts w:ascii="Arial" w:cs="Arial" w:eastAsia="Arial" w:hAnsi="Arial"/>
          <w:sz w:val="21"/>
          <w:szCs w:val="21"/>
          <w:color w:val="auto"/>
        </w:rPr>
        <w:t xml:space="preserve">to the extent the remaining Monies recovered represent royalties from sales of a product that infringes (A) any Licensed Patent Rights alone or (B) any Licensed Patent Rights </w:t>
      </w:r>
      <w:r>
        <w:rPr>
          <w:rFonts w:ascii="Arial" w:cs="Arial" w:eastAsia="Arial" w:hAnsi="Arial"/>
          <w:sz w:val="21"/>
          <w:szCs w:val="21"/>
          <w:i w:val="1"/>
          <w:iCs w:val="1"/>
          <w:color w:val="auto"/>
        </w:rPr>
        <w:t>and</w:t>
      </w:r>
      <w:r>
        <w:rPr>
          <w:rFonts w:ascii="Arial" w:cs="Arial" w:eastAsia="Arial" w:hAnsi="Arial"/>
          <w:sz w:val="21"/>
          <w:szCs w:val="21"/>
          <w:color w:val="auto"/>
        </w:rPr>
        <w:t xml:space="preserve"> any other Patent Rights owned by or licensed to CytomX or one of its Affiliates or Sublicensees, and the applicable decision-making authority in the action, suit or proceeding has not allocated the Monies between ImmunoGen and the owner of such other Patent Rights, then the Parties shall agree, in good faith, to an allocation of such Monies based on the relevant contributions of the Licensed Patent Rights and such other Patent Rights to the Licensed Product; provided that if the Parties are unable to agree in good faith as to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13" w:lineRule="exact"/>
        <w:rPr>
          <w:sz w:val="20"/>
          <w:szCs w:val="20"/>
          <w:color w:val="auto"/>
        </w:rPr>
      </w:pPr>
    </w:p>
    <w:p>
      <w:pPr>
        <w:ind w:right="200" w:firstLine="8"/>
        <w:spacing w:after="0" w:line="259" w:lineRule="auto"/>
        <w:tabs>
          <w:tab w:leader="none" w:pos="43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3520"/>
        <w:spacing w:after="0" w:line="258" w:lineRule="auto"/>
        <w:rPr>
          <w:sz w:val="20"/>
          <w:szCs w:val="20"/>
          <w:color w:val="auto"/>
        </w:rPr>
      </w:pPr>
      <w:r>
        <w:rPr>
          <w:rFonts w:ascii="Arial" w:cs="Arial" w:eastAsia="Arial" w:hAnsi="Arial"/>
          <w:sz w:val="21"/>
          <w:szCs w:val="21"/>
          <w:color w:val="auto"/>
        </w:rPr>
        <w:t>allocation of such Monies on such basis, then the Parties shall submit such matter for determination to an Independent Patent Counsel; provided that the determination of such independent patent counsel shall be final and binding upon the Parties; then</w:t>
      </w:r>
    </w:p>
    <w:p>
      <w:pPr>
        <w:spacing w:after="0" w:line="167" w:lineRule="exact"/>
        <w:rPr>
          <w:sz w:val="20"/>
          <w:szCs w:val="20"/>
          <w:color w:val="auto"/>
        </w:rPr>
      </w:pPr>
    </w:p>
    <w:p>
      <w:pPr>
        <w:jc w:val="both"/>
        <w:ind w:left="3520" w:hanging="1"/>
        <w:spacing w:after="0" w:line="251" w:lineRule="exact"/>
        <w:tabs>
          <w:tab w:leader="none" w:pos="4480" w:val="left"/>
        </w:tabs>
        <w:numPr>
          <w:ilvl w:val="1"/>
          <w:numId w:val="117"/>
        </w:numPr>
        <w:rPr>
          <w:rFonts w:ascii="Arial" w:cs="Arial" w:eastAsia="Arial" w:hAnsi="Arial"/>
          <w:sz w:val="21"/>
          <w:szCs w:val="21"/>
          <w:color w:val="auto"/>
        </w:rPr>
      </w:pPr>
      <w:r>
        <w:rPr>
          <w:rFonts w:ascii="Arial" w:cs="Arial" w:eastAsia="Arial" w:hAnsi="Arial"/>
          <w:sz w:val="21"/>
          <w:szCs w:val="21"/>
          <w:color w:val="auto"/>
        </w:rPr>
        <w:t>if CytomX is the controlling Party, then CytomX will retain all Monies remaining after the distributions described in subsections (i) through (v) above, including, without limitation, those for any multiple damages, punitive damages or other non</w:t>
      </w:r>
      <w:r>
        <w:rPr>
          <w:rFonts w:ascii="MS PGothic" w:cs="MS PGothic" w:eastAsia="MS PGothic" w:hAnsi="MS PGothic"/>
          <w:sz w:val="21"/>
          <w:szCs w:val="21"/>
          <w:color w:val="auto"/>
        </w:rPr>
        <w:t>‑</w:t>
      </w:r>
      <w:r>
        <w:rPr>
          <w:rFonts w:ascii="Arial" w:cs="Arial" w:eastAsia="Arial" w:hAnsi="Arial"/>
          <w:sz w:val="21"/>
          <w:szCs w:val="21"/>
          <w:color w:val="auto"/>
        </w:rPr>
        <w:t>compensatory damages, which are applicable to the Licensed Products; or</w:t>
      </w:r>
    </w:p>
    <w:p>
      <w:pPr>
        <w:spacing w:after="0" w:line="186" w:lineRule="exact"/>
        <w:rPr>
          <w:rFonts w:ascii="Arial" w:cs="Arial" w:eastAsia="Arial" w:hAnsi="Arial"/>
          <w:sz w:val="21"/>
          <w:szCs w:val="21"/>
          <w:color w:val="auto"/>
        </w:rPr>
      </w:pPr>
    </w:p>
    <w:p>
      <w:pPr>
        <w:jc w:val="both"/>
        <w:ind w:left="3520" w:hanging="1"/>
        <w:spacing w:after="0" w:line="251" w:lineRule="exact"/>
        <w:tabs>
          <w:tab w:leader="none" w:pos="454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ImmunoGen is the controlling Party, then ImmunoGen will retain all Monies remaining after the distributions described in subsections (i) through (v) above, including, without limitation, those for any multiple damages, punitive damages or other non</w:t>
      </w:r>
      <w:r>
        <w:rPr>
          <w:rFonts w:ascii="MS PGothic" w:cs="MS PGothic" w:eastAsia="MS PGothic" w:hAnsi="MS PGothic"/>
          <w:sz w:val="22"/>
          <w:szCs w:val="22"/>
          <w:color w:val="auto"/>
        </w:rPr>
        <w:t>‑</w:t>
      </w:r>
      <w:r>
        <w:rPr>
          <w:rFonts w:ascii="Arial" w:cs="Arial" w:eastAsia="Arial" w:hAnsi="Arial"/>
          <w:sz w:val="22"/>
          <w:szCs w:val="22"/>
          <w:color w:val="auto"/>
        </w:rPr>
        <w:t>compensatory damages.</w:t>
      </w:r>
    </w:p>
    <w:p>
      <w:pPr>
        <w:spacing w:after="0" w:line="179" w:lineRule="exact"/>
        <w:rPr>
          <w:rFonts w:ascii="Arial" w:cs="Arial" w:eastAsia="Arial" w:hAnsi="Arial"/>
          <w:sz w:val="22"/>
          <w:szCs w:val="22"/>
          <w:color w:val="auto"/>
        </w:rPr>
      </w:pPr>
    </w:p>
    <w:p>
      <w:pPr>
        <w:jc w:val="both"/>
        <w:ind w:left="2640" w:firstLine="2"/>
        <w:spacing w:after="0" w:line="243" w:lineRule="auto"/>
        <w:tabs>
          <w:tab w:leader="none" w:pos="3540"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Other Infringement</w:t>
      </w:r>
      <w:r>
        <w:rPr>
          <w:rFonts w:ascii="Arial" w:cs="Arial" w:eastAsia="Arial" w:hAnsi="Arial"/>
          <w:sz w:val="22"/>
          <w:szCs w:val="22"/>
          <w:color w:val="auto"/>
        </w:rPr>
        <w:t>. For any infringement of Patent Rights owned by CytomX or</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by CytomX from Third Parties, CytomX retains the sole right (as between the Parties), but not the obligation, to enforce such Patent Rights.</w:t>
      </w:r>
    </w:p>
    <w:p>
      <w:pPr>
        <w:spacing w:after="0" w:line="176" w:lineRule="exact"/>
        <w:rPr>
          <w:rFonts w:ascii="Arial" w:cs="Arial" w:eastAsia="Arial" w:hAnsi="Arial"/>
          <w:sz w:val="22"/>
          <w:szCs w:val="22"/>
          <w:color w:val="auto"/>
        </w:rPr>
      </w:pPr>
    </w:p>
    <w:p>
      <w:pPr>
        <w:jc w:val="both"/>
        <w:ind w:left="2640" w:firstLine="2"/>
        <w:spacing w:after="0" w:line="284" w:lineRule="auto"/>
        <w:tabs>
          <w:tab w:leader="none" w:pos="3492" w:val="left"/>
        </w:tabs>
        <w:numPr>
          <w:ilvl w:val="0"/>
          <w:numId w:val="118"/>
        </w:numPr>
        <w:rPr>
          <w:rFonts w:ascii="Arial" w:cs="Arial" w:eastAsia="Arial" w:hAnsi="Arial"/>
          <w:sz w:val="19"/>
          <w:szCs w:val="19"/>
          <w:color w:val="auto"/>
        </w:rPr>
      </w:pPr>
      <w:r>
        <w:rPr>
          <w:rFonts w:ascii="Arial" w:cs="Arial" w:eastAsia="Arial" w:hAnsi="Arial"/>
          <w:sz w:val="19"/>
          <w:szCs w:val="19"/>
          <w:b w:val="1"/>
          <w:bCs w:val="1"/>
          <w:color w:val="auto"/>
        </w:rPr>
        <w:t>Infringement of Joint Patent Rights</w:t>
      </w:r>
      <w:r>
        <w:rPr>
          <w:rFonts w:ascii="Arial" w:cs="Arial" w:eastAsia="Arial" w:hAnsi="Arial"/>
          <w:sz w:val="19"/>
          <w:szCs w:val="19"/>
          <w:color w:val="auto"/>
        </w:rPr>
        <w:t>. With respect to any notice of a Third Party infringer</w:t>
      </w:r>
      <w:r>
        <w:rPr>
          <w:rFonts w:ascii="Arial" w:cs="Arial" w:eastAsia="Arial" w:hAnsi="Arial"/>
          <w:sz w:val="19"/>
          <w:szCs w:val="19"/>
          <w:b w:val="1"/>
          <w:bCs w:val="1"/>
          <w:color w:val="auto"/>
        </w:rPr>
        <w:t xml:space="preserve"> </w:t>
      </w:r>
      <w:r>
        <w:rPr>
          <w:rFonts w:ascii="Arial" w:cs="Arial" w:eastAsia="Arial" w:hAnsi="Arial"/>
          <w:sz w:val="19"/>
          <w:szCs w:val="19"/>
          <w:color w:val="auto"/>
        </w:rPr>
        <w:t>of any Joint Patent Right other than a Patent Right included in the Joint Program Technology or Joint TAP Platform improvements, the Parties shall meet as soon as reasonably practicable to discuss such infringement and determine an appropriate course of action and the Parties’ respective rights and responsibilities with respect to any enforcement thereof.</w:t>
      </w:r>
    </w:p>
    <w:p>
      <w:pPr>
        <w:spacing w:after="0" w:line="139"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color w:val="auto"/>
        </w:rPr>
        <w:t>Response to Biosimilar Applicants</w:t>
      </w:r>
      <w:r>
        <w:rPr>
          <w:rFonts w:ascii="Arial" w:cs="Arial" w:eastAsia="Arial" w:hAnsi="Arial"/>
          <w:sz w:val="19"/>
          <w:szCs w:val="19"/>
          <w:color w:val="auto"/>
        </w:rPr>
        <w:t>.</w:t>
      </w:r>
    </w:p>
    <w:p>
      <w:pPr>
        <w:spacing w:after="0" w:line="212" w:lineRule="exact"/>
        <w:rPr>
          <w:sz w:val="20"/>
          <w:szCs w:val="20"/>
          <w:color w:val="auto"/>
        </w:rPr>
      </w:pPr>
    </w:p>
    <w:p>
      <w:pPr>
        <w:jc w:val="both"/>
        <w:ind w:left="1760"/>
        <w:spacing w:after="0" w:line="246" w:lineRule="auto"/>
        <w:rPr>
          <w:sz w:val="20"/>
          <w:szCs w:val="20"/>
          <w:color w:val="auto"/>
        </w:rPr>
      </w:pPr>
      <w:r>
        <w:rPr>
          <w:rFonts w:ascii="Arial" w:cs="Arial" w:eastAsia="Arial" w:hAnsi="Arial"/>
          <w:sz w:val="21"/>
          <w:szCs w:val="21"/>
          <w:color w:val="auto"/>
        </w:rPr>
        <w:t xml:space="preserve">5.5.1. </w:t>
      </w:r>
      <w:r>
        <w:rPr>
          <w:rFonts w:ascii="Arial" w:cs="Arial" w:eastAsia="Arial" w:hAnsi="Arial"/>
          <w:sz w:val="21"/>
          <w:szCs w:val="21"/>
          <w:u w:val="single" w:color="auto"/>
          <w:color w:val="auto"/>
        </w:rPr>
        <w:t>Notice</w:t>
      </w:r>
      <w:r>
        <w:rPr>
          <w:rFonts w:ascii="Arial" w:cs="Arial" w:eastAsia="Arial" w:hAnsi="Arial"/>
          <w:sz w:val="21"/>
          <w:szCs w:val="21"/>
          <w:color w:val="auto"/>
        </w:rPr>
        <w:t>. In the event that CytomX (a) receives a copy of a Biosimilar Application, whether or not such copy is provided under any Applicable Laws (including the BPCIA, the United States Patient Protection and Affordable Care Act, implementing FDA regulations and guidance or similar foreign laws or regulations) applicable to the approval or manufacture of any biosimilar or interchangeable biological product (a “</w:t>
      </w:r>
      <w:r>
        <w:rPr>
          <w:rFonts w:ascii="Arial" w:cs="Arial" w:eastAsia="Arial" w:hAnsi="Arial"/>
          <w:sz w:val="21"/>
          <w:szCs w:val="21"/>
          <w:b w:val="1"/>
          <w:bCs w:val="1"/>
          <w:color w:val="auto"/>
        </w:rPr>
        <w:t>Proposed</w:t>
      </w:r>
      <w:r>
        <w:rPr>
          <w:rFonts w:ascii="Arial" w:cs="Arial" w:eastAsia="Arial" w:hAnsi="Arial"/>
          <w:sz w:val="21"/>
          <w:szCs w:val="21"/>
          <w:color w:val="auto"/>
        </w:rPr>
        <w:t xml:space="preserve"> </w:t>
      </w:r>
      <w:r>
        <w:rPr>
          <w:rFonts w:ascii="Arial" w:cs="Arial" w:eastAsia="Arial" w:hAnsi="Arial"/>
          <w:sz w:val="21"/>
          <w:szCs w:val="21"/>
          <w:b w:val="1"/>
          <w:bCs w:val="1"/>
          <w:color w:val="auto"/>
        </w:rPr>
        <w:t>Biosimilar Product</w:t>
      </w:r>
      <w:r>
        <w:rPr>
          <w:rFonts w:ascii="Arial" w:cs="Arial" w:eastAsia="Arial" w:hAnsi="Arial"/>
          <w:sz w:val="21"/>
          <w:szCs w:val="21"/>
          <w:color w:val="auto"/>
        </w:rPr>
        <w:t>”) for which a Licensed Product is a “reference product,” as such term is used in the</w:t>
      </w:r>
      <w:r>
        <w:rPr>
          <w:rFonts w:ascii="Arial" w:cs="Arial" w:eastAsia="Arial" w:hAnsi="Arial"/>
          <w:sz w:val="21"/>
          <w:szCs w:val="21"/>
          <w:b w:val="1"/>
          <w:bCs w:val="1"/>
          <w:color w:val="auto"/>
        </w:rPr>
        <w:t xml:space="preserve"> </w:t>
      </w:r>
      <w:r>
        <w:rPr>
          <w:rFonts w:ascii="Arial" w:cs="Arial" w:eastAsia="Arial" w:hAnsi="Arial"/>
          <w:sz w:val="21"/>
          <w:szCs w:val="21"/>
          <w:color w:val="auto"/>
        </w:rPr>
        <w:t>BPCIA, or (b) otherwise becomes aware that such a Biosimilar Application has been filed (such as in an instance described in Section 351(1)(9)(C) of the PHSA), then CytomX shall promptly provide ImmunoGen with written notice.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13" w:lineRule="exact"/>
        <w:rPr>
          <w:sz w:val="20"/>
          <w:szCs w:val="20"/>
          <w:color w:val="auto"/>
        </w:rPr>
      </w:pPr>
    </w:p>
    <w:p>
      <w:pPr>
        <w:ind w:right="200" w:firstLine="8"/>
        <w:spacing w:after="0" w:line="259" w:lineRule="auto"/>
        <w:tabs>
          <w:tab w:leader="none" w:pos="43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73" w:lineRule="auto"/>
        <w:rPr>
          <w:sz w:val="20"/>
          <w:szCs w:val="20"/>
          <w:color w:val="auto"/>
        </w:rPr>
      </w:pPr>
      <w:r>
        <w:rPr>
          <w:rFonts w:ascii="Arial" w:cs="Arial" w:eastAsia="Arial" w:hAnsi="Arial"/>
          <w:sz w:val="19"/>
          <w:szCs w:val="19"/>
          <w:color w:val="auto"/>
        </w:rPr>
        <w:t xml:space="preserve">5.5.2. </w:t>
      </w:r>
      <w:r>
        <w:rPr>
          <w:rFonts w:ascii="Arial" w:cs="Arial" w:eastAsia="Arial" w:hAnsi="Arial"/>
          <w:sz w:val="19"/>
          <w:szCs w:val="19"/>
          <w:u w:val="single" w:color="auto"/>
          <w:color w:val="auto"/>
        </w:rPr>
        <w:t>Access to Confidential Information</w:t>
      </w:r>
      <w:r>
        <w:rPr>
          <w:rFonts w:ascii="Arial" w:cs="Arial" w:eastAsia="Arial" w:hAnsi="Arial"/>
          <w:sz w:val="19"/>
          <w:szCs w:val="19"/>
          <w:color w:val="auto"/>
        </w:rPr>
        <w:t>. Upon written request from ImmunoGen and to the extent permitted by Applicable Laws, CytomX shall provide ImmunoGen with confidential access to those portions of the Biosimilar Application and such other information provided to CytomX by the Third Party that submitted the Biosimilar Application (the “</w:t>
      </w:r>
      <w:r>
        <w:rPr>
          <w:rFonts w:ascii="Arial" w:cs="Arial" w:eastAsia="Arial" w:hAnsi="Arial"/>
          <w:sz w:val="19"/>
          <w:szCs w:val="19"/>
          <w:b w:val="1"/>
          <w:bCs w:val="1"/>
          <w:color w:val="auto"/>
        </w:rPr>
        <w:t>Applicant</w:t>
      </w:r>
      <w:r>
        <w:rPr>
          <w:rFonts w:ascii="Arial" w:cs="Arial" w:eastAsia="Arial" w:hAnsi="Arial"/>
          <w:sz w:val="19"/>
          <w:szCs w:val="19"/>
          <w:color w:val="auto"/>
        </w:rPr>
        <w:t>”) that describe the Linker and Payload of the Proposed Biosimilar Product or the method(s) of conjugating the cell-binding moiety of the Proposed Biosimilar Product to its Payload; provided, however, that prior to receiving the Biosimilar Application and such confidential information, ImmunoGen shall provide notice to CytomX and the Applicant confirming its agreement to be subject to the confidentiality provisions in Section 351(l)(l)(B)(iii) of the PHSA. For purposes of clarity, the Parties acknowledge and agree that ImmunoGen has retained a right to assert any patent within the Licensed Patent Rights and participate in litigation concerning any such patent.</w:t>
      </w:r>
    </w:p>
    <w:p>
      <w:pPr>
        <w:spacing w:after="0" w:line="162"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5.5.3.</w:t>
      </w:r>
      <w:r>
        <w:rPr>
          <w:sz w:val="20"/>
          <w:szCs w:val="20"/>
          <w:color w:val="auto"/>
        </w:rPr>
        <w:tab/>
      </w:r>
      <w:r>
        <w:rPr>
          <w:rFonts w:ascii="Arial" w:cs="Arial" w:eastAsia="Arial" w:hAnsi="Arial"/>
          <w:sz w:val="19"/>
          <w:szCs w:val="19"/>
          <w:u w:val="single" w:color="auto"/>
          <w:color w:val="auto"/>
        </w:rPr>
        <w:t>Proposed Patent List</w:t>
      </w:r>
      <w:r>
        <w:rPr>
          <w:rFonts w:ascii="Arial" w:cs="Arial" w:eastAsia="Arial" w:hAnsi="Arial"/>
          <w:sz w:val="19"/>
          <w:szCs w:val="19"/>
          <w:color w:val="auto"/>
        </w:rPr>
        <w:t>.</w:t>
      </w:r>
    </w:p>
    <w:p>
      <w:pPr>
        <w:spacing w:after="0" w:line="206" w:lineRule="exact"/>
        <w:rPr>
          <w:sz w:val="20"/>
          <w:szCs w:val="20"/>
          <w:color w:val="auto"/>
        </w:rPr>
      </w:pPr>
    </w:p>
    <w:p>
      <w:pPr>
        <w:jc w:val="both"/>
        <w:ind w:left="2640" w:firstLine="2"/>
        <w:spacing w:after="0" w:line="270" w:lineRule="auto"/>
        <w:tabs>
          <w:tab w:leader="none" w:pos="3528"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Preparation of Proposed Patent List</w:t>
      </w:r>
      <w:r>
        <w:rPr>
          <w:rFonts w:ascii="Arial" w:cs="Arial" w:eastAsia="Arial" w:hAnsi="Arial"/>
          <w:sz w:val="19"/>
          <w:szCs w:val="19"/>
          <w:color w:val="auto"/>
        </w:rPr>
        <w:t>. Not later than twenty (20) days from the date of receipt by CytomX of a copy of a Biosimilar Application and related manufacturing information, CytomX, with cooperation from ImmunoGen, shall prepare and provide ImmunoGen with a list (the “</w:t>
      </w:r>
      <w:r>
        <w:rPr>
          <w:rFonts w:ascii="Arial" w:cs="Arial" w:eastAsia="Arial" w:hAnsi="Arial"/>
          <w:sz w:val="19"/>
          <w:szCs w:val="19"/>
          <w:b w:val="1"/>
          <w:bCs w:val="1"/>
          <w:color w:val="auto"/>
        </w:rPr>
        <w:t>Proposed Patent List</w:t>
      </w:r>
      <w:r>
        <w:rPr>
          <w:rFonts w:ascii="Arial" w:cs="Arial" w:eastAsia="Arial" w:hAnsi="Arial"/>
          <w:sz w:val="19"/>
          <w:szCs w:val="19"/>
          <w:color w:val="auto"/>
        </w:rPr>
        <w:t xml:space="preserve">”) of (i) those patents within the Licensed Patent Rights that CytomX reasonably believes would be infringed by the manufacture and/or sale of the Proposed Biosimilar Product and (ii) those patents within the Licensed Patent Rights, if any, that CytomX would be willing to sublicense to such Applicant in accordance with the terms of this Agreement. As soon as practicable following the date of receipt by ImmunoGen of the Proposed Patent List, ImmunoGen and CytomX shall discuss in good faith the patents within the Licensed Patent Rights to be included on the Proposed Patent List and CytomX shall consider in good faith ImmunoGen’s proposals for changes to the Proposed Patent List with respect to the patents within the Licensed Patent Rights. Not later than the end of the period specified by Applicable Laws , CytomX shall provide the Applicant with a copy of the Proposed Patent List; provided, however, that CytomX shall incorporate certain ImmunoGen requests in accordance with </w:t>
      </w:r>
      <w:r>
        <w:rPr>
          <w:rFonts w:ascii="Arial" w:cs="Arial" w:eastAsia="Arial" w:hAnsi="Arial"/>
          <w:sz w:val="19"/>
          <w:szCs w:val="19"/>
          <w:u w:val="single" w:color="auto"/>
          <w:color w:val="auto"/>
        </w:rPr>
        <w:t>Section 5.5.3(d)</w:t>
      </w:r>
      <w:r>
        <w:rPr>
          <w:rFonts w:ascii="Arial" w:cs="Arial" w:eastAsia="Arial" w:hAnsi="Arial"/>
          <w:sz w:val="19"/>
          <w:szCs w:val="19"/>
          <w:color w:val="auto"/>
        </w:rPr>
        <w:t xml:space="preserve"> hereof. Notwithstanding the enforcement rights with respect to the Licensed Patent Rights set forth in </w:t>
      </w:r>
      <w:r>
        <w:rPr>
          <w:rFonts w:ascii="Arial" w:cs="Arial" w:eastAsia="Arial" w:hAnsi="Arial"/>
          <w:sz w:val="19"/>
          <w:szCs w:val="19"/>
          <w:u w:val="single" w:color="auto"/>
          <w:color w:val="auto"/>
        </w:rPr>
        <w:t>Section 5.2.2</w:t>
      </w:r>
      <w:r>
        <w:rPr>
          <w:rFonts w:ascii="Arial" w:cs="Arial" w:eastAsia="Arial" w:hAnsi="Arial"/>
          <w:sz w:val="19"/>
          <w:szCs w:val="19"/>
          <w:color w:val="auto"/>
        </w:rPr>
        <w:t xml:space="preserve"> hereof, CytomX shall have the right to include any of the patents within the Licensed Patent Rights on the Proposed Patent List to the extent that CytomX reasonably believes that a claim of patent infringement for such patent could be asserted by either ImmunoGen or CytomX; provided, however, that the right to control any suit or proceeding in which such a claim is asserted shall be as set forth in </w:t>
      </w:r>
      <w:r>
        <w:rPr>
          <w:rFonts w:ascii="Arial" w:cs="Arial" w:eastAsia="Arial" w:hAnsi="Arial"/>
          <w:sz w:val="19"/>
          <w:szCs w:val="19"/>
          <w:u w:val="single" w:color="auto"/>
          <w:color w:val="auto"/>
        </w:rPr>
        <w:t>Section 5.5.4</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13" w:lineRule="exact"/>
        <w:rPr>
          <w:sz w:val="20"/>
          <w:szCs w:val="20"/>
          <w:color w:val="auto"/>
        </w:rPr>
      </w:pPr>
    </w:p>
    <w:p>
      <w:pPr>
        <w:ind w:right="200" w:firstLine="8"/>
        <w:spacing w:after="0" w:line="259" w:lineRule="auto"/>
        <w:tabs>
          <w:tab w:leader="none" w:pos="43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firstLine="2"/>
        <w:spacing w:after="0" w:line="247" w:lineRule="auto"/>
        <w:tabs>
          <w:tab w:leader="none" w:pos="3540"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Disclosure of Applicant’s Response</w:t>
      </w:r>
      <w:r>
        <w:rPr>
          <w:rFonts w:ascii="Arial" w:cs="Arial" w:eastAsia="Arial" w:hAnsi="Arial"/>
          <w:sz w:val="21"/>
          <w:szCs w:val="21"/>
          <w:color w:val="auto"/>
        </w:rPr>
        <w:t>. Provided that ImmunoGen has agreed to comply with the confidentiality provisions in Section 351(1)(1)(B)(iii) of the PHSA and to the extent permitted by Applicable Laws, CytomX shall provide to ImmunoGen the portion of the Applicant Response (as defined below) pertaining to the Licensed Patent Rights no later than ten (10) days from the date of receipt by CytomX of a response from the Applicant with regard to any patent within the Licensed Patent Rights included on the Proposed Patent List, including any response required by the BPCIA (the “</w:t>
      </w:r>
      <w:r>
        <w:rPr>
          <w:rFonts w:ascii="Arial" w:cs="Arial" w:eastAsia="Arial" w:hAnsi="Arial"/>
          <w:sz w:val="21"/>
          <w:szCs w:val="21"/>
          <w:b w:val="1"/>
          <w:bCs w:val="1"/>
          <w:color w:val="auto"/>
        </w:rPr>
        <w:t>Applicant Response</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left="2640" w:firstLine="2"/>
        <w:spacing w:after="0" w:line="246" w:lineRule="exact"/>
        <w:tabs>
          <w:tab w:leader="none" w:pos="3528"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Preparation of CytomX Response</w:t>
      </w:r>
      <w:r>
        <w:rPr>
          <w:rFonts w:ascii="Arial" w:cs="Arial" w:eastAsia="Arial" w:hAnsi="Arial"/>
          <w:sz w:val="19"/>
          <w:szCs w:val="19"/>
          <w:color w:val="auto"/>
        </w:rPr>
        <w:t>. Not later than thirty (30) days from the date of receipt by CytomX of the Applicant Response, CytomX, with cooperation and assistance from ImmunoGen, shall prepare and provide ImmunoGen with a proposed response with respect to the Licensed Patent Rights (the “</w:t>
      </w:r>
      <w:r>
        <w:rPr>
          <w:rFonts w:ascii="Arial" w:cs="Arial" w:eastAsia="Arial" w:hAnsi="Arial"/>
          <w:sz w:val="19"/>
          <w:szCs w:val="19"/>
          <w:b w:val="1"/>
          <w:bCs w:val="1"/>
          <w:color w:val="auto"/>
        </w:rPr>
        <w:t>CytomX Response</w:t>
      </w:r>
      <w:r>
        <w:rPr>
          <w:rFonts w:ascii="Arial" w:cs="Arial" w:eastAsia="Arial" w:hAnsi="Arial"/>
          <w:sz w:val="19"/>
          <w:szCs w:val="19"/>
          <w:color w:val="auto"/>
        </w:rPr>
        <w:t>”) that (i) describes on a claim</w:t>
      </w:r>
      <w:r>
        <w:rPr>
          <w:rFonts w:ascii="MS PGothic" w:cs="MS PGothic" w:eastAsia="MS PGothic" w:hAnsi="MS PGothic"/>
          <w:sz w:val="19"/>
          <w:szCs w:val="19"/>
          <w:color w:val="auto"/>
        </w:rPr>
        <w:t>‑</w:t>
      </w:r>
      <w:r>
        <w:rPr>
          <w:rFonts w:ascii="Arial" w:cs="Arial" w:eastAsia="Arial" w:hAnsi="Arial"/>
          <w:sz w:val="19"/>
          <w:szCs w:val="19"/>
          <w:color w:val="auto"/>
        </w:rPr>
        <w:t>by</w:t>
      </w:r>
      <w:r>
        <w:rPr>
          <w:rFonts w:ascii="MS PGothic" w:cs="MS PGothic" w:eastAsia="MS PGothic" w:hAnsi="MS PGothic"/>
          <w:sz w:val="19"/>
          <w:szCs w:val="19"/>
          <w:color w:val="auto"/>
        </w:rPr>
        <w:t>‑</w:t>
      </w:r>
      <w:r>
        <w:rPr>
          <w:rFonts w:ascii="Arial" w:cs="Arial" w:eastAsia="Arial" w:hAnsi="Arial"/>
          <w:sz w:val="19"/>
          <w:szCs w:val="19"/>
          <w:color w:val="auto"/>
        </w:rPr>
        <w:t xml:space="preserve">claim basis, how each patent within the Licensed Patent Rights on the Proposed Patent List would be infringed by the commercial marketing of the Proposed Biosimilar Product, and (ii) responds to Applicant’s claims, if any, that the patents within the Licensed Patent Rights on the Proposed Patent List are invalid or unenforceable. The CytomX Response shall include only the foregoing and shall not be construed to include any proposed response to the Applicant relating to any patents other than the Licensed Patent Rights; further, any actual response to the Applicant under the BPCIA and all decisions relating to subsequent procedures under the BPCIA with regard to any patent other than those included within the Licensed Patent Rights shall be within the sole discretion of CytomX. As soon as practicable following the date of receipt by ImmunoGen of the proposed CytomX Response, the Parties shall discuss in good faith the statements in the proposed CytomX Response and CytomX shall consider in good faith ImmunoGen’s proposals for changes to the CytomX Response. Not later than the end of the period specified by Applicable Laws, CytomX shall provide the Applicant with a copy of the CytomX Response; provided, however, that CytomX shall incorporate certain ImmunoGen requests in accordance with </w:t>
      </w:r>
      <w:r>
        <w:rPr>
          <w:rFonts w:ascii="Arial" w:cs="Arial" w:eastAsia="Arial" w:hAnsi="Arial"/>
          <w:sz w:val="19"/>
          <w:szCs w:val="19"/>
          <w:u w:val="single" w:color="auto"/>
          <w:color w:val="auto"/>
        </w:rPr>
        <w:t>Section 5.5.3(d)</w:t>
      </w:r>
      <w:r>
        <w:rPr>
          <w:rFonts w:ascii="Arial" w:cs="Arial" w:eastAsia="Arial" w:hAnsi="Arial"/>
          <w:sz w:val="19"/>
          <w:szCs w:val="19"/>
          <w:color w:val="auto"/>
        </w:rPr>
        <w:t xml:space="preserve"> hereof.</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left="2640" w:firstLine="2"/>
        <w:spacing w:after="0" w:line="271" w:lineRule="auto"/>
        <w:tabs>
          <w:tab w:leader="none" w:pos="3540"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Inclusion of Licensed Patent Rights or Responsive Information</w:t>
      </w:r>
      <w:r>
        <w:rPr>
          <w:rFonts w:ascii="Arial" w:cs="Arial" w:eastAsia="Arial" w:hAnsi="Arial"/>
          <w:sz w:val="19"/>
          <w:szCs w:val="19"/>
          <w:color w:val="auto"/>
        </w:rPr>
        <w:t>. Provided that CytomX is legally able under Applicable Law to provide ImmunoGen with a copy of the Biosimilar Application (and related manufacturing agreement) and ImmunoGen has provided notice to CytomX and Applicant confirming its agreement to be subject to the confidentiality provisions of Section 351(1)</w:t>
      </w:r>
    </w:p>
    <w:p>
      <w:pPr>
        <w:spacing w:after="0" w:line="3" w:lineRule="exact"/>
        <w:rPr>
          <w:rFonts w:ascii="Arial" w:cs="Arial" w:eastAsia="Arial" w:hAnsi="Arial"/>
          <w:sz w:val="19"/>
          <w:szCs w:val="19"/>
          <w:color w:val="auto"/>
        </w:rPr>
      </w:pPr>
    </w:p>
    <w:p>
      <w:pPr>
        <w:jc w:val="both"/>
        <w:ind w:left="2640"/>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(1)(B)(iii) of the PHSA, if ImmunoGen requests in writing to either (i) include a patent in the Proposed Patent List that was not included in CytomX’s initial Proposed Patent List provided to ImmunoGen by CytomX pursuant to </w:t>
      </w:r>
      <w:r>
        <w:rPr>
          <w:rFonts w:ascii="Arial" w:cs="Arial" w:eastAsia="Arial" w:hAnsi="Arial"/>
          <w:sz w:val="22"/>
          <w:szCs w:val="22"/>
          <w:u w:val="single" w:color="auto"/>
          <w:color w:val="auto"/>
        </w:rPr>
        <w:t>Section 5.5.3(a)</w:t>
      </w:r>
      <w:r>
        <w:rPr>
          <w:rFonts w:ascii="Arial" w:cs="Arial" w:eastAsia="Arial" w:hAnsi="Arial"/>
          <w:sz w:val="22"/>
          <w:szCs w:val="22"/>
          <w:color w:val="auto"/>
        </w:rPr>
        <w:t xml:space="preserve"> hereof or (ii) include responsive information with respect to any patent within the Licensed Patent Rights in the CytomX Response that was not included in CytomX’s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13" w:lineRule="exact"/>
        <w:rPr>
          <w:sz w:val="20"/>
          <w:szCs w:val="20"/>
          <w:color w:val="auto"/>
        </w:rPr>
      </w:pPr>
    </w:p>
    <w:p>
      <w:pPr>
        <w:ind w:right="200" w:firstLine="8"/>
        <w:spacing w:after="0" w:line="259" w:lineRule="auto"/>
        <w:tabs>
          <w:tab w:leader="none" w:pos="4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spacing w:after="0" w:line="282" w:lineRule="auto"/>
        <w:rPr>
          <w:sz w:val="20"/>
          <w:szCs w:val="20"/>
          <w:color w:val="auto"/>
        </w:rPr>
      </w:pPr>
      <w:r>
        <w:rPr>
          <w:rFonts w:ascii="Arial" w:cs="Arial" w:eastAsia="Arial" w:hAnsi="Arial"/>
          <w:sz w:val="19"/>
          <w:szCs w:val="19"/>
          <w:color w:val="auto"/>
        </w:rPr>
        <w:t xml:space="preserve">initial CytomX Response provided to ImmunoGen pursuant to </w:t>
      </w:r>
      <w:r>
        <w:rPr>
          <w:rFonts w:ascii="Arial" w:cs="Arial" w:eastAsia="Arial" w:hAnsi="Arial"/>
          <w:sz w:val="19"/>
          <w:szCs w:val="19"/>
          <w:u w:val="single" w:color="auto"/>
          <w:color w:val="auto"/>
        </w:rPr>
        <w:t>Section 5.5.3(c)</w:t>
      </w:r>
      <w:r>
        <w:rPr>
          <w:rFonts w:ascii="Arial" w:cs="Arial" w:eastAsia="Arial" w:hAnsi="Arial"/>
          <w:sz w:val="19"/>
          <w:szCs w:val="19"/>
          <w:color w:val="auto"/>
        </w:rPr>
        <w:t xml:space="preserve"> hereof, then, absent manifest error, CytomX shall include such patent in the Proposed Patent List and such responsive information in the CytomX Response provided to Applicant, as applicable; provided, however, that ImmunoGen shall indemnify CytomX in accordance with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hereof to the extent any submissions requested by ImmunoGen are determined to have been made negligently or in bad faith.</w:t>
      </w:r>
    </w:p>
    <w:p>
      <w:pPr>
        <w:spacing w:after="0" w:line="148" w:lineRule="exact"/>
        <w:rPr>
          <w:sz w:val="20"/>
          <w:szCs w:val="20"/>
          <w:color w:val="auto"/>
        </w:rPr>
      </w:pPr>
    </w:p>
    <w:p>
      <w:pPr>
        <w:jc w:val="both"/>
        <w:ind w:left="2640" w:firstLine="2"/>
        <w:spacing w:after="0" w:line="270" w:lineRule="auto"/>
        <w:tabs>
          <w:tab w:leader="none" w:pos="352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Negotiation: ImmunoGen Rights</w:t>
      </w:r>
      <w:r>
        <w:rPr>
          <w:rFonts w:ascii="Arial" w:cs="Arial" w:eastAsia="Arial" w:hAnsi="Arial"/>
          <w:sz w:val="19"/>
          <w:szCs w:val="19"/>
          <w:color w:val="auto"/>
        </w:rPr>
        <w:t>. As soon as possible following the date on which CytomX provides the CytomX Response to the Applicant, CytomX shall commence good faith negotiations with Applicant for a period of not more than fifteen (15) days (the “</w:t>
      </w:r>
      <w:r>
        <w:rPr>
          <w:rFonts w:ascii="Arial" w:cs="Arial" w:eastAsia="Arial" w:hAnsi="Arial"/>
          <w:sz w:val="19"/>
          <w:szCs w:val="19"/>
          <w:b w:val="1"/>
          <w:bCs w:val="1"/>
          <w:color w:val="auto"/>
        </w:rPr>
        <w:t>Negotiation</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in an effort to reach agreement on the patents on the Proposed Patent List (the “</w:t>
      </w:r>
      <w:r>
        <w:rPr>
          <w:rFonts w:ascii="Arial" w:cs="Arial" w:eastAsia="Arial" w:hAnsi="Arial"/>
          <w:sz w:val="19"/>
          <w:szCs w:val="19"/>
          <w:b w:val="1"/>
          <w:bCs w:val="1"/>
          <w:color w:val="auto"/>
        </w:rPr>
        <w:t>Infringed Patent List</w:t>
      </w:r>
      <w:r>
        <w:rPr>
          <w:rFonts w:ascii="Arial" w:cs="Arial" w:eastAsia="Arial" w:hAnsi="Arial"/>
          <w:sz w:val="19"/>
          <w:szCs w:val="19"/>
          <w:color w:val="auto"/>
        </w:rPr>
        <w:t>”) that will be the subject to an Immediate Patent Infringement Action;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however, that if the Proposed Patent List includes both patents within the Licensed Patent Rights and patents that are not within the Licensed Patent Rights, then CytomX shall not agree to the inclusion in the Infringed Patent List of any patents within the Licensed Patent Rights without the prior written consent of ImmunoGen, which consent shall not be unreasonably withheld, conditioned or delayed. If CytomX and Applicant fail to reach agreement under Section 351(1)(4)(A) of the PHSA on the Infringed Patent List, CytomX shall have the sole right to determine under Section 351(1)(5)(B) of the PHSA which patents of those on the Proposed Patent List should be the subject of an Immediate Patent Infringement Action; provided, however, that if the Proposed Patent List includes both patents within the Licensed Patent Rights and patents that are not within the Licensed Patent Rights, then CytomX shall not include in the list of patents to be provided by CytomX to Applicant pursuant to Sections 351(1)(5)(B)(i)(II) of the PHSA any patents within the Licensed Patent Rights without the prior written consent of ImmunoGen, which consent shall not be unreasonably withheld, conditioned or delayed. Within ten (10) days following the exchange of such lists by CytomX and the Applicant, CytomX shall, to the extent legally permissible, provide ImmunoGen with a copy of the portion of the combined Infringed Patent List containing patents within the Licensed Patent Rights that will be the subject of an Immediate Patent Infringement Action.</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left="2640" w:firstLine="2"/>
        <w:spacing w:after="0" w:line="247" w:lineRule="auto"/>
        <w:tabs>
          <w:tab w:leader="none" w:pos="3504"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Supplements to Proposed Patent List</w:t>
      </w:r>
      <w:r>
        <w:rPr>
          <w:rFonts w:ascii="Arial" w:cs="Arial" w:eastAsia="Arial" w:hAnsi="Arial"/>
          <w:sz w:val="21"/>
          <w:szCs w:val="21"/>
          <w:color w:val="auto"/>
        </w:rPr>
        <w:t>. ImmunoGen shall provide CytomX with a copy of any U.S. patent within the Licensed Patent Rights that is issued after CytomX has provided the Proposed Patent List to the Applicant within ten (10) day after such issuance. As soon as practicable following the date of receipt by CytomX of any such patent, ImmunoGen and CytomX shall discuss in good faith whether such patent would be infringed by the manufacture and/or sale of the Proposed Biosimilar Product. CytomX shall provide the Applicant with a supplement to the Proposed Patent List to include such patent not later than thirty (30) days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13" w:lineRule="exact"/>
        <w:rPr>
          <w:sz w:val="20"/>
          <w:szCs w:val="20"/>
          <w:color w:val="auto"/>
        </w:rPr>
      </w:pPr>
    </w:p>
    <w:p>
      <w:pPr>
        <w:ind w:right="200" w:firstLine="8"/>
        <w:spacing w:after="0" w:line="259" w:lineRule="auto"/>
        <w:tabs>
          <w:tab w:leader="none" w:pos="4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spacing w:after="0" w:line="235" w:lineRule="auto"/>
        <w:rPr>
          <w:sz w:val="20"/>
          <w:szCs w:val="20"/>
          <w:color w:val="auto"/>
        </w:rPr>
      </w:pPr>
      <w:r>
        <w:rPr>
          <w:rFonts w:ascii="Arial" w:cs="Arial" w:eastAsia="Arial" w:hAnsi="Arial"/>
          <w:sz w:val="22"/>
          <w:szCs w:val="22"/>
          <w:color w:val="auto"/>
        </w:rPr>
        <w:t xml:space="preserve">after the issuance of such patent if CytomX reasonably believes that a claim of patent infringement for such patent could be asserted by either ImmunoGen or CytomX or if ImmunoGen, absent manifest error, requests that CytomX supplement the Proposed Patent List to include such patent provided, however, that ImmunoGen shall indemnify CytomX in accordance with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hereof to the extent any supplement submissions requested by ImmunoGen are determined to have been made negligently or in bad faith.</w:t>
      </w:r>
    </w:p>
    <w:p>
      <w:pPr>
        <w:spacing w:after="0" w:line="188"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5.5.4.</w:t>
      </w:r>
      <w:r>
        <w:rPr>
          <w:sz w:val="20"/>
          <w:szCs w:val="20"/>
          <w:color w:val="auto"/>
        </w:rPr>
        <w:tab/>
      </w:r>
      <w:r>
        <w:rPr>
          <w:rFonts w:ascii="Arial" w:cs="Arial" w:eastAsia="Arial" w:hAnsi="Arial"/>
          <w:sz w:val="19"/>
          <w:szCs w:val="19"/>
          <w:u w:val="single" w:color="auto"/>
          <w:color w:val="auto"/>
        </w:rPr>
        <w:t>Claims, Suits and Proceedings</w:t>
      </w:r>
      <w:r>
        <w:rPr>
          <w:rFonts w:ascii="Arial" w:cs="Arial" w:eastAsia="Arial" w:hAnsi="Arial"/>
          <w:sz w:val="19"/>
          <w:szCs w:val="19"/>
          <w:color w:val="auto"/>
        </w:rPr>
        <w:t>.</w:t>
      </w:r>
    </w:p>
    <w:p>
      <w:pPr>
        <w:spacing w:after="0" w:line="206" w:lineRule="exact"/>
        <w:rPr>
          <w:sz w:val="20"/>
          <w:szCs w:val="20"/>
          <w:color w:val="auto"/>
        </w:rPr>
      </w:pPr>
    </w:p>
    <w:p>
      <w:pPr>
        <w:jc w:val="both"/>
        <w:ind w:left="2640" w:firstLine="2"/>
        <w:spacing w:after="0" w:line="244" w:lineRule="auto"/>
        <w:tabs>
          <w:tab w:leader="none" w:pos="3528"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Immediate Patent Infringement Action</w:t>
      </w:r>
      <w:r>
        <w:rPr>
          <w:rFonts w:ascii="Arial" w:cs="Arial" w:eastAsia="Arial" w:hAnsi="Arial"/>
          <w:sz w:val="21"/>
          <w:szCs w:val="21"/>
          <w:color w:val="auto"/>
        </w:rPr>
        <w:t xml:space="preserve">. With respect to any patents within the Licensed Patent Rights or any Patent Rights claiming CytomX TAP Platform Improvements, Joint Program Technology or Joint TAP Platform Improvements that are to be the subject of an Immediate Patent Infringement Action, the Parties’ respective rights and obligations with respect to the litigation of such patents (including rights to initiate, step in, participate in, settle and share amounts recovered pursuant to such Immediate Patent Infringement Action, and obligations to pay legal costs and expenses with respect to such Immediate Patent Infringement Action) shall be as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5.4.2</w:t>
      </w:r>
      <w:r>
        <w:rPr>
          <w:rFonts w:ascii="Arial" w:cs="Arial" w:eastAsia="Arial" w:hAnsi="Arial"/>
          <w:sz w:val="21"/>
          <w:szCs w:val="21"/>
          <w:color w:val="auto"/>
        </w:rPr>
        <w:t xml:space="preserve"> hereof, except that the Party having the first right to file a claim for Infringement against the Applicant with respect to any such patent subject to an Immediate Patent Infringement Action shall file such claim within fifteen (15) days after agreement is reached as to the Infringed Patent List under Section 351(1)(4) or the exchange of the lists under Section 351(1)(5)(B) of the PHSA, as applicable.</w:t>
      </w:r>
    </w:p>
    <w:p>
      <w:pPr>
        <w:spacing w:after="0" w:line="187" w:lineRule="exact"/>
        <w:rPr>
          <w:rFonts w:ascii="Arial" w:cs="Arial" w:eastAsia="Arial" w:hAnsi="Arial"/>
          <w:sz w:val="21"/>
          <w:szCs w:val="21"/>
          <w:color w:val="auto"/>
        </w:rPr>
      </w:pPr>
    </w:p>
    <w:p>
      <w:pPr>
        <w:jc w:val="both"/>
        <w:ind w:left="2640" w:firstLine="2"/>
        <w:spacing w:after="0" w:line="234" w:lineRule="auto"/>
        <w:tabs>
          <w:tab w:leader="none" w:pos="354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Pre-Marketing Litigation</w:t>
      </w:r>
      <w:r>
        <w:rPr>
          <w:rFonts w:ascii="Arial" w:cs="Arial" w:eastAsia="Arial" w:hAnsi="Arial"/>
          <w:sz w:val="22"/>
          <w:szCs w:val="22"/>
          <w:color w:val="auto"/>
        </w:rPr>
        <w:t>. Either Party shall, within ten (10) days of receiving any notice of commercial marketing provided by the Applicant pursuant to Section 351(1)(8)(A) of the PHSA (the “</w:t>
      </w:r>
      <w:r>
        <w:rPr>
          <w:rFonts w:ascii="Arial" w:cs="Arial" w:eastAsia="Arial" w:hAnsi="Arial"/>
          <w:sz w:val="22"/>
          <w:szCs w:val="22"/>
          <w:b w:val="1"/>
          <w:bCs w:val="1"/>
          <w:color w:val="auto"/>
        </w:rPr>
        <w:t>Premarket Notice</w:t>
      </w:r>
      <w:r>
        <w:rPr>
          <w:rFonts w:ascii="Arial" w:cs="Arial" w:eastAsia="Arial" w:hAnsi="Arial"/>
          <w:sz w:val="22"/>
          <w:szCs w:val="22"/>
          <w:color w:val="auto"/>
        </w:rPr>
        <w:t xml:space="preserve">”), notify the other Party. Thereafter, the Parties’ respective rights and obligations with respect to any litigation pursuant to Section 351(1)(8)(B) of the PHSA (including rights to initiate, step in, participate in, settle and share amounts recovered pursuant to such action, and obligations to pay legal costs and expenses with respect to such action) shall be as set forth in </w:t>
      </w:r>
      <w:r>
        <w:rPr>
          <w:rFonts w:ascii="Arial" w:cs="Arial" w:eastAsia="Arial" w:hAnsi="Arial"/>
          <w:sz w:val="22"/>
          <w:szCs w:val="22"/>
          <w:u w:val="single" w:color="auto"/>
          <w:color w:val="auto"/>
        </w:rPr>
        <w:t>Section 5.4.2</w:t>
      </w:r>
      <w:r>
        <w:rPr>
          <w:rFonts w:ascii="Arial" w:cs="Arial" w:eastAsia="Arial" w:hAnsi="Arial"/>
          <w:sz w:val="22"/>
          <w:szCs w:val="22"/>
          <w:color w:val="auto"/>
        </w:rPr>
        <w:t xml:space="preserve"> hereof.</w:t>
      </w:r>
    </w:p>
    <w:p>
      <w:pPr>
        <w:spacing w:after="0" w:line="191" w:lineRule="exact"/>
        <w:rPr>
          <w:rFonts w:ascii="Arial" w:cs="Arial" w:eastAsia="Arial" w:hAnsi="Arial"/>
          <w:sz w:val="22"/>
          <w:szCs w:val="22"/>
          <w:color w:val="auto"/>
        </w:rPr>
      </w:pPr>
    </w:p>
    <w:p>
      <w:pPr>
        <w:jc w:val="both"/>
        <w:ind w:left="2640" w:firstLine="2"/>
        <w:spacing w:after="0" w:line="287" w:lineRule="auto"/>
        <w:tabs>
          <w:tab w:leader="none" w:pos="352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Cooperation; Standing</w:t>
      </w:r>
      <w:r>
        <w:rPr>
          <w:rFonts w:ascii="Arial" w:cs="Arial" w:eastAsia="Arial" w:hAnsi="Arial"/>
          <w:sz w:val="19"/>
          <w:szCs w:val="19"/>
          <w:color w:val="auto"/>
        </w:rPr>
        <w:t xml:space="preserve">. If a Party with the right to initiate legal proceedings under this </w:t>
      </w:r>
      <w:r>
        <w:rPr>
          <w:rFonts w:ascii="Arial" w:cs="Arial" w:eastAsia="Arial" w:hAnsi="Arial"/>
          <w:sz w:val="19"/>
          <w:szCs w:val="19"/>
          <w:u w:val="single" w:color="auto"/>
          <w:color w:val="auto"/>
        </w:rPr>
        <w:t>Section 5.5.4</w:t>
      </w:r>
      <w:r>
        <w:rPr>
          <w:rFonts w:ascii="Arial" w:cs="Arial" w:eastAsia="Arial" w:hAnsi="Arial"/>
          <w:sz w:val="19"/>
          <w:szCs w:val="19"/>
          <w:color w:val="auto"/>
        </w:rPr>
        <w:t xml:space="preserve"> lacks standing to do so (or lacks the right under the BPCIA to do so) and the other Party has standing (or the sole right under the BPCIA) to initiate such legal proceedings, such Party with standing shall initiate such legal proceedings at the request and expense of the other Party.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13" w:lineRule="exact"/>
        <w:rPr>
          <w:sz w:val="20"/>
          <w:szCs w:val="20"/>
          <w:color w:val="auto"/>
        </w:rPr>
      </w:pPr>
    </w:p>
    <w:p>
      <w:pPr>
        <w:ind w:right="200" w:firstLine="8"/>
        <w:spacing w:after="0" w:line="259" w:lineRule="auto"/>
        <w:tabs>
          <w:tab w:leader="none" w:pos="43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71" w:lineRule="auto"/>
        <w:rPr>
          <w:sz w:val="20"/>
          <w:szCs w:val="20"/>
          <w:color w:val="auto"/>
        </w:rPr>
      </w:pPr>
      <w:r>
        <w:rPr>
          <w:rFonts w:ascii="Arial" w:cs="Arial" w:eastAsia="Arial" w:hAnsi="Arial"/>
          <w:sz w:val="19"/>
          <w:szCs w:val="19"/>
          <w:color w:val="auto"/>
        </w:rPr>
        <w:t xml:space="preserve">5.5.5. </w:t>
      </w:r>
      <w:r>
        <w:rPr>
          <w:rFonts w:ascii="Arial" w:cs="Arial" w:eastAsia="Arial" w:hAnsi="Arial"/>
          <w:sz w:val="19"/>
          <w:szCs w:val="19"/>
          <w:u w:val="single" w:color="auto"/>
          <w:color w:val="auto"/>
        </w:rPr>
        <w:t>Invalidity or Unenforceability Defenses or Actions</w:t>
      </w:r>
      <w:r>
        <w:rPr>
          <w:rFonts w:ascii="Arial" w:cs="Arial" w:eastAsia="Arial" w:hAnsi="Arial"/>
          <w:sz w:val="19"/>
          <w:szCs w:val="19"/>
          <w:color w:val="auto"/>
        </w:rPr>
        <w:t xml:space="preserve">. In the event that the Applicant asserts, as a defense or as a counterclaim in any infringement action under </w:t>
      </w:r>
      <w:r>
        <w:rPr>
          <w:rFonts w:ascii="Arial" w:cs="Arial" w:eastAsia="Arial" w:hAnsi="Arial"/>
          <w:sz w:val="19"/>
          <w:szCs w:val="19"/>
          <w:u w:val="single" w:color="auto"/>
          <w:color w:val="auto"/>
        </w:rPr>
        <w:t>Section 5.5.4</w:t>
      </w:r>
      <w:r>
        <w:rPr>
          <w:rFonts w:ascii="Arial" w:cs="Arial" w:eastAsia="Arial" w:hAnsi="Arial"/>
          <w:sz w:val="19"/>
          <w:szCs w:val="19"/>
          <w:color w:val="auto"/>
        </w:rPr>
        <w:t xml:space="preserve"> hereof, that any of the Licensed Patent Rights or any Patent Rights claiming CytomX TAP Platform Improvements, Joint Program Technology or Joint TAP Platform Improvements is invalid or unenforceable, then the Parties’ respective rights and obligations with respect to the response to such defense or the defense against such counterclaim, as applicable, (including rights to initiate, step in, participate in, settle and share amounts recovered pursuant to such action, and obligations to pay legal costs and expenses with respect to such action) shall be as set forth in </w:t>
      </w:r>
      <w:r>
        <w:rPr>
          <w:rFonts w:ascii="Arial" w:cs="Arial" w:eastAsia="Arial" w:hAnsi="Arial"/>
          <w:sz w:val="19"/>
          <w:szCs w:val="19"/>
          <w:u w:val="single" w:color="auto"/>
          <w:color w:val="auto"/>
        </w:rPr>
        <w:t>Section 5.4.2</w:t>
      </w:r>
      <w:r>
        <w:rPr>
          <w:rFonts w:ascii="Arial" w:cs="Arial" w:eastAsia="Arial" w:hAnsi="Arial"/>
          <w:sz w:val="19"/>
          <w:szCs w:val="19"/>
          <w:color w:val="auto"/>
        </w:rPr>
        <w:t xml:space="preserve"> hereof; provided that for these purposes any such defense or counterclaim shall be deemed to be an Infringement. In all other cases, including any declaratory judgment action or similar action or claim filed by an Applicant asserting that any of the Licensed Patent Rights or any Patent Rights claiming CytomX TAP Platform Improvements, Joint Program Technology or Joint TAP Platform Improvements is invalid or unenforceable (as in a declaratory judgment action brought by the Applicant following the Premarket Notice), then the Parties’ respective rights and obligations with respect to such action (including rights to initiate, step in, participate in, settle and share amounts recovered pursuant to such action, and obligations to pay legal costs and expenses with respect to such action) shall be as set forth in </w:t>
      </w:r>
      <w:r>
        <w:rPr>
          <w:rFonts w:ascii="Arial" w:cs="Arial" w:eastAsia="Arial" w:hAnsi="Arial"/>
          <w:sz w:val="19"/>
          <w:szCs w:val="19"/>
          <w:u w:val="single" w:color="auto"/>
          <w:color w:val="auto"/>
        </w:rPr>
        <w:t>Section 5.4.2</w:t>
      </w:r>
      <w:r>
        <w:rPr>
          <w:rFonts w:ascii="Arial" w:cs="Arial" w:eastAsia="Arial" w:hAnsi="Arial"/>
          <w:sz w:val="19"/>
          <w:szCs w:val="19"/>
          <w:color w:val="auto"/>
        </w:rPr>
        <w:t xml:space="preserve"> hereof; provided that for these purposes any such case shall be deemed to be an Infringement.</w:t>
      </w:r>
    </w:p>
    <w:p>
      <w:pPr>
        <w:spacing w:after="0" w:line="200" w:lineRule="exact"/>
        <w:rPr>
          <w:sz w:val="20"/>
          <w:szCs w:val="20"/>
          <w:color w:val="auto"/>
        </w:rPr>
      </w:pPr>
    </w:p>
    <w:p>
      <w:pPr>
        <w:spacing w:after="0" w:line="205"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 xml:space="preserve">5.5.6. </w:t>
      </w:r>
      <w:r>
        <w:rPr>
          <w:rFonts w:ascii="Arial" w:cs="Arial" w:eastAsia="Arial" w:hAnsi="Arial"/>
          <w:sz w:val="22"/>
          <w:szCs w:val="22"/>
          <w:u w:val="single" w:color="auto"/>
          <w:color w:val="auto"/>
        </w:rPr>
        <w:t>Changes in Applicable Law</w:t>
      </w:r>
      <w:r>
        <w:rPr>
          <w:rFonts w:ascii="Arial" w:cs="Arial" w:eastAsia="Arial" w:hAnsi="Arial"/>
          <w:sz w:val="22"/>
          <w:szCs w:val="22"/>
          <w:color w:val="auto"/>
        </w:rPr>
        <w:t xml:space="preserve">. The Parties have agreed to the provisions of this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on the basis of the BPCIA and other applicable laws and regulations in effect as of the Effective Date. If there are any material changes to the BPCTA or other Applicable Laws that would affect these provisions, the Parties will discuss amendments to this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in good faith.</w:t>
      </w:r>
    </w:p>
    <w:p>
      <w:pPr>
        <w:spacing w:after="0" w:line="179" w:lineRule="exact"/>
        <w:rPr>
          <w:sz w:val="20"/>
          <w:szCs w:val="20"/>
          <w:color w:val="auto"/>
        </w:rPr>
      </w:pPr>
    </w:p>
    <w:p>
      <w:pPr>
        <w:jc w:val="both"/>
        <w:ind w:left="880"/>
        <w:spacing w:after="0" w:line="249"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b w:val="1"/>
          <w:bCs w:val="1"/>
          <w:color w:val="auto"/>
        </w:rPr>
        <w:t>Interference, Opposition, Revocation and Declaratory Judgment Actions</w:t>
      </w:r>
      <w:r>
        <w:rPr>
          <w:rFonts w:ascii="Arial" w:cs="Arial" w:eastAsia="Arial" w:hAnsi="Arial"/>
          <w:sz w:val="21"/>
          <w:szCs w:val="21"/>
          <w:color w:val="auto"/>
        </w:rPr>
        <w:t>. If the Parties mutually determine that, based upon the review of a Third Party’s patent or patent application or other intellectual property rights, it may be desirable in connection with any Licensed Product to provoke or institute an interference, opposition, revocation, post-grant review or other patent office proceedings or declaratory judgment action with respect thereto, then the Parties shall consult with one another and shall reasonably cooperate in connection with such an action. Each Party shall retain all rights to control any actions initiated prior to the Effective Date.</w:t>
      </w:r>
    </w:p>
    <w:p>
      <w:pPr>
        <w:spacing w:after="0" w:line="171" w:lineRule="exact"/>
        <w:rPr>
          <w:sz w:val="20"/>
          <w:szCs w:val="20"/>
          <w:color w:val="auto"/>
        </w:rPr>
      </w:pPr>
    </w:p>
    <w:p>
      <w:pPr>
        <w:jc w:val="both"/>
        <w:ind w:left="880"/>
        <w:spacing w:after="0" w:line="251"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b w:val="1"/>
          <w:bCs w:val="1"/>
          <w:color w:val="auto"/>
        </w:rPr>
        <w:t>Infringement of Third Party Patent Rights</w:t>
      </w:r>
      <w:r>
        <w:rPr>
          <w:rFonts w:ascii="Arial" w:cs="Arial" w:eastAsia="Arial" w:hAnsi="Arial"/>
          <w:sz w:val="21"/>
          <w:szCs w:val="21"/>
          <w:color w:val="auto"/>
        </w:rPr>
        <w:t xml:space="preserve">. If the Development, Manufacture, use or Commercialization of any Licensed Product is alleged by a Third Party to infringe a Third Party’s patent or other intellectual property rights, the Party becoming aware of such allegation shall promptly notify the other Party. CytomX shall have the right to take such action as it deems appropriate in response to such allegation, and shall be solely responsible for all damages, costs and expenses in connection therewith, subject to </w:t>
      </w:r>
      <w:r>
        <w:rPr>
          <w:rFonts w:ascii="Arial" w:cs="Arial" w:eastAsia="Arial" w:hAnsi="Arial"/>
          <w:sz w:val="21"/>
          <w:szCs w:val="21"/>
          <w:u w:val="single" w:color="auto"/>
          <w:color w:val="auto"/>
        </w:rPr>
        <w:t>Article 9</w:t>
      </w:r>
      <w:r>
        <w:rPr>
          <w:rFonts w:ascii="Arial" w:cs="Arial" w:eastAsia="Arial" w:hAnsi="Arial"/>
          <w:sz w:val="21"/>
          <w:szCs w:val="21"/>
          <w:color w:val="auto"/>
        </w:rPr>
        <w:t xml:space="preserve">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13" w:lineRule="exact"/>
        <w:rPr>
          <w:sz w:val="20"/>
          <w:szCs w:val="20"/>
          <w:color w:val="auto"/>
        </w:rPr>
      </w:pPr>
    </w:p>
    <w:p>
      <w:pPr>
        <w:ind w:right="200" w:firstLine="8"/>
        <w:spacing w:after="0" w:line="259" w:lineRule="auto"/>
        <w:tabs>
          <w:tab w:leader="none" w:pos="43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880" w:hanging="872"/>
        <w:spacing w:after="0"/>
        <w:tabs>
          <w:tab w:leader="none" w:pos="880" w:val="left"/>
        </w:tabs>
        <w:numPr>
          <w:ilvl w:val="0"/>
          <w:numId w:val="12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192" w:lineRule="exact"/>
        <w:rPr>
          <w:rFonts w:ascii="Arial" w:cs="Arial" w:eastAsia="Arial" w:hAnsi="Arial"/>
          <w:sz w:val="22"/>
          <w:szCs w:val="22"/>
          <w:b w:val="1"/>
          <w:bCs w:val="1"/>
          <w:color w:val="auto"/>
        </w:rPr>
      </w:pPr>
    </w:p>
    <w:p>
      <w:pPr>
        <w:jc w:val="both"/>
        <w:ind w:left="880"/>
        <w:spacing w:after="0" w:line="242" w:lineRule="auto"/>
        <w:rPr>
          <w:rFonts w:ascii="Arial" w:cs="Arial" w:eastAsia="Arial" w:hAnsi="Arial"/>
          <w:sz w:val="22"/>
          <w:szCs w:val="22"/>
          <w:b w:val="1"/>
          <w:bCs w:val="1"/>
          <w:color w:val="auto"/>
        </w:rPr>
      </w:pPr>
      <w:r>
        <w:rPr>
          <w:rFonts w:ascii="Arial" w:cs="Arial" w:eastAsia="Arial" w:hAnsi="Arial"/>
          <w:sz w:val="19"/>
          <w:szCs w:val="19"/>
          <w:color w:val="auto"/>
        </w:rPr>
        <w:t xml:space="preserve">6.1 </w:t>
      </w:r>
      <w:r>
        <w:rPr>
          <w:rFonts w:ascii="Arial" w:cs="Arial" w:eastAsia="Arial" w:hAnsi="Arial"/>
          <w:sz w:val="19"/>
          <w:szCs w:val="19"/>
          <w:b w:val="1"/>
          <w:bCs w:val="1"/>
          <w:color w:val="auto"/>
        </w:rPr>
        <w:t>Confidentiality</w:t>
      </w:r>
      <w:r>
        <w:rPr>
          <w:rFonts w:ascii="Arial" w:cs="Arial" w:eastAsia="Arial" w:hAnsi="Arial"/>
          <w:sz w:val="19"/>
          <w:szCs w:val="19"/>
          <w:color w:val="auto"/>
        </w:rPr>
        <w:t>. Except to the extent expressly authorized by this Agreement, the Parties agree that, during the Term and for ten (10) years thereafter, each Party, in its capacity as the Receiving Party shall: (a) keep the Disclosing Party’s Confidential Information confidential; (b) not disclose, or permit the disclosure of, the Disclosing Party’s Confidential Information; and (c) not use, or permit to be used, the Disclosing Party’s Confidential Information for any purpose, in each case, except for the performance of its obligations or exercise of its rights under this Agreement, provided, however, that the foregoing obligations shall not apply, or shall cease to apply, to the extent that such Confidential Information (i) was already known by the Receiving Party or its Affiliates (other than under an obligation of confidentiality to the Disclosing Party) at the time of disclosure by the Disclosing Party; (ii) was generally available to the public or otherwise part of the public domain at the time of its disclosure to the Receiving Party; (iii) became generally available to the public or otherwise part of the public domain after its disclosure to the Receiving Party, other than through any act or omission of the Receiving Party or its Affiliates or any of their respective Representatives in breach of its obligations under this Agreement; (iv) was disclosed to the Receiving Party or its Affiliates, other than under an obligation of confidentiality, by a Third Party who had no obligation to the Disclosing Party not to disclose such information to the Receiving Party; or (v) was independently discovered or developed by or on behalf of the Receiving Party without the use of any Confidential Information of the Disclosing Party.</w:t>
      </w:r>
    </w:p>
    <w:p>
      <w:pPr>
        <w:spacing w:after="0" w:line="386" w:lineRule="exact"/>
        <w:rPr>
          <w:rFonts w:ascii="Arial" w:cs="Arial" w:eastAsia="Arial" w:hAnsi="Arial"/>
          <w:sz w:val="22"/>
          <w:szCs w:val="22"/>
          <w:b w:val="1"/>
          <w:bCs w:val="1"/>
          <w:color w:val="auto"/>
        </w:rPr>
      </w:pPr>
    </w:p>
    <w:p>
      <w:pPr>
        <w:ind w:left="880"/>
        <w:spacing w:after="0"/>
        <w:rPr>
          <w:rFonts w:ascii="Arial" w:cs="Arial" w:eastAsia="Arial" w:hAnsi="Arial"/>
          <w:sz w:val="22"/>
          <w:szCs w:val="22"/>
          <w:b w:val="1"/>
          <w:bCs w:val="1"/>
          <w:color w:val="auto"/>
        </w:rPr>
      </w:pPr>
      <w:r>
        <w:rPr>
          <w:rFonts w:ascii="Arial" w:cs="Arial" w:eastAsia="Arial" w:hAnsi="Arial"/>
          <w:sz w:val="22"/>
          <w:szCs w:val="22"/>
          <w:color w:val="auto"/>
        </w:rPr>
        <w:t>6.2</w:t>
      </w:r>
      <w:r>
        <w:rPr>
          <w:rFonts w:ascii="Arial" w:cs="Arial" w:eastAsia="Arial" w:hAnsi="Arial"/>
          <w:sz w:val="19"/>
          <w:szCs w:val="19"/>
          <w:b w:val="1"/>
          <w:bCs w:val="1"/>
          <w:color w:val="auto"/>
        </w:rPr>
        <w:t>Authorized Disclosure</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80" w:lineRule="auto"/>
        <w:rPr>
          <w:sz w:val="20"/>
          <w:szCs w:val="20"/>
          <w:color w:val="auto"/>
        </w:rPr>
      </w:pPr>
      <w:r>
        <w:rPr>
          <w:rFonts w:ascii="Arial" w:cs="Arial" w:eastAsia="Arial" w:hAnsi="Arial"/>
          <w:sz w:val="19"/>
          <w:szCs w:val="19"/>
          <w:color w:val="auto"/>
        </w:rPr>
        <w:t xml:space="preserve">6.2.1. </w:t>
      </w:r>
      <w:r>
        <w:rPr>
          <w:rFonts w:ascii="Arial" w:cs="Arial" w:eastAsia="Arial" w:hAnsi="Arial"/>
          <w:sz w:val="19"/>
          <w:szCs w:val="19"/>
          <w:b w:val="1"/>
          <w:bCs w:val="1"/>
          <w:color w:val="auto"/>
        </w:rPr>
        <w:t>Disclosure to Party Representatives</w:t>
      </w:r>
      <w:r>
        <w:rPr>
          <w:rFonts w:ascii="Arial" w:cs="Arial" w:eastAsia="Arial" w:hAnsi="Arial"/>
          <w:sz w:val="19"/>
          <w:szCs w:val="19"/>
          <w:color w:val="auto"/>
        </w:rPr>
        <w:t xml:space="preserve">. Notwithstanding the foregoing provisions of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the Receiving Party may disclose Confidential Information belonging to the Disclosing Party to the Receiving Party’s Representatives who (a) have a need to know such Confidential Information in connection with the performance of the Receiving Party’s obligations or the exercise of the Receiving Party’s rights under this Agreement and (b) have agreed in writing to non-disclosure and non-use provisions with respect to such Confidential Information that are at least as restrictive as those set forth in this </w:t>
      </w:r>
      <w:r>
        <w:rPr>
          <w:rFonts w:ascii="Arial" w:cs="Arial" w:eastAsia="Arial" w:hAnsi="Arial"/>
          <w:sz w:val="19"/>
          <w:szCs w:val="19"/>
          <w:u w:val="single" w:color="auto"/>
          <w:color w:val="auto"/>
        </w:rPr>
        <w:t>Article 6</w:t>
      </w:r>
      <w:r>
        <w:rPr>
          <w:rFonts w:ascii="Arial" w:cs="Arial" w:eastAsia="Arial" w:hAnsi="Arial"/>
          <w:sz w:val="19"/>
          <w:szCs w:val="19"/>
          <w:color w:val="auto"/>
        </w:rPr>
        <w:t>.</w:t>
      </w:r>
    </w:p>
    <w:p>
      <w:pPr>
        <w:spacing w:after="0" w:line="145" w:lineRule="exact"/>
        <w:rPr>
          <w:sz w:val="20"/>
          <w:szCs w:val="20"/>
          <w:color w:val="auto"/>
        </w:rPr>
      </w:pPr>
    </w:p>
    <w:p>
      <w:pPr>
        <w:ind w:left="1760"/>
        <w:spacing w:after="0"/>
        <w:tabs>
          <w:tab w:leader="none" w:pos="2880" w:val="left"/>
        </w:tabs>
        <w:rPr>
          <w:sz w:val="20"/>
          <w:szCs w:val="20"/>
          <w:color w:val="auto"/>
        </w:rPr>
      </w:pPr>
      <w:r>
        <w:rPr>
          <w:rFonts w:ascii="Arial" w:cs="Arial" w:eastAsia="Arial" w:hAnsi="Arial"/>
          <w:sz w:val="22"/>
          <w:szCs w:val="22"/>
          <w:color w:val="auto"/>
        </w:rPr>
        <w:t>6.2.2.</w:t>
      </w:r>
      <w:r>
        <w:rPr>
          <w:sz w:val="20"/>
          <w:szCs w:val="20"/>
          <w:color w:val="auto"/>
        </w:rPr>
        <w:tab/>
      </w:r>
      <w:r>
        <w:rPr>
          <w:rFonts w:ascii="Arial" w:cs="Arial" w:eastAsia="Arial" w:hAnsi="Arial"/>
          <w:sz w:val="19"/>
          <w:szCs w:val="19"/>
          <w:b w:val="1"/>
          <w:bCs w:val="1"/>
          <w:color w:val="auto"/>
        </w:rPr>
        <w:t>Disclosure to Third Parties</w:t>
      </w:r>
      <w:r>
        <w:rPr>
          <w:rFonts w:ascii="Arial" w:cs="Arial" w:eastAsia="Arial" w:hAnsi="Arial"/>
          <w:sz w:val="19"/>
          <w:szCs w:val="19"/>
          <w:color w:val="auto"/>
        </w:rPr>
        <w:t>.</w:t>
      </w:r>
    </w:p>
    <w:p>
      <w:pPr>
        <w:spacing w:after="0" w:line="212" w:lineRule="exact"/>
        <w:rPr>
          <w:sz w:val="20"/>
          <w:szCs w:val="20"/>
          <w:color w:val="auto"/>
        </w:rPr>
      </w:pPr>
    </w:p>
    <w:p>
      <w:pPr>
        <w:ind w:left="2640" w:right="20" w:firstLine="2"/>
        <w:spacing w:after="0" w:line="251" w:lineRule="auto"/>
        <w:tabs>
          <w:tab w:leader="none" w:pos="352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Notwithstanding the foregoing provisions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hereof, the Parties may disclose Confidential Information belonging to the other Party.</w:t>
      </w:r>
    </w:p>
    <w:p>
      <w:pPr>
        <w:spacing w:after="0" w:line="173" w:lineRule="exact"/>
        <w:rPr>
          <w:rFonts w:ascii="Arial" w:cs="Arial" w:eastAsia="Arial" w:hAnsi="Arial"/>
          <w:sz w:val="22"/>
          <w:szCs w:val="22"/>
          <w:color w:val="auto"/>
        </w:rPr>
      </w:pPr>
    </w:p>
    <w:p>
      <w:pPr>
        <w:jc w:val="both"/>
        <w:ind w:left="3520" w:hanging="1"/>
        <w:spacing w:after="0" w:line="238" w:lineRule="auto"/>
        <w:tabs>
          <w:tab w:leader="none" w:pos="4372"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to Governmental Authorities to the extent reasonably necessary to obtain or maintain INDs or Regulatory Approvals for any Licensed Product and in order to respond to inquiries, requests, investigations, orders or subpoenas of Governmental Authorities relating to this Agreement;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13" w:lineRule="exact"/>
        <w:rPr>
          <w:sz w:val="20"/>
          <w:szCs w:val="20"/>
          <w:color w:val="auto"/>
        </w:rPr>
      </w:pPr>
    </w:p>
    <w:p>
      <w:pPr>
        <w:ind w:right="200" w:firstLine="8"/>
        <w:spacing w:after="0" w:line="259" w:lineRule="auto"/>
        <w:tabs>
          <w:tab w:leader="none" w:pos="43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3520" w:hanging="1"/>
        <w:spacing w:after="0" w:line="238" w:lineRule="auto"/>
        <w:tabs>
          <w:tab w:leader="none" w:pos="4432"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to outside consultants, contractors, advisory boards, managed care organizations, and non-clinical and clinical investigators, in each case to the extent reasonably necessary to Develop, Manufacture, use or Commercialize any Licensed Product under reasonable obligations of confidentiality;</w:t>
      </w:r>
    </w:p>
    <w:p>
      <w:pPr>
        <w:spacing w:after="0" w:line="185" w:lineRule="exact"/>
        <w:rPr>
          <w:rFonts w:ascii="Arial" w:cs="Arial" w:eastAsia="Arial" w:hAnsi="Arial"/>
          <w:sz w:val="22"/>
          <w:szCs w:val="22"/>
          <w:color w:val="auto"/>
        </w:rPr>
      </w:pPr>
    </w:p>
    <w:p>
      <w:pPr>
        <w:ind w:left="3520" w:hanging="1"/>
        <w:spacing w:after="0" w:line="274" w:lineRule="auto"/>
        <w:tabs>
          <w:tab w:leader="none" w:pos="4492"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hereof, to the extent reasonably necessary, in connection with filing or prosecuting Patent Rights as permitted by this Agreement;</w:t>
      </w:r>
    </w:p>
    <w:p>
      <w:pPr>
        <w:spacing w:after="0" w:line="150" w:lineRule="exact"/>
        <w:rPr>
          <w:rFonts w:ascii="Arial" w:cs="Arial" w:eastAsia="Arial" w:hAnsi="Arial"/>
          <w:sz w:val="21"/>
          <w:szCs w:val="21"/>
          <w:color w:val="auto"/>
        </w:rPr>
      </w:pPr>
    </w:p>
    <w:p>
      <w:pPr>
        <w:ind w:left="3520" w:hanging="1"/>
        <w:spacing w:after="0" w:line="251" w:lineRule="auto"/>
        <w:tabs>
          <w:tab w:leader="none" w:pos="44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to the extent reasonably necessary, in connection with prosecuting or defending litigation as permitted by this Agreement;</w:t>
      </w:r>
    </w:p>
    <w:p>
      <w:pPr>
        <w:spacing w:after="0" w:line="173" w:lineRule="exact"/>
        <w:rPr>
          <w:rFonts w:ascii="Arial" w:cs="Arial" w:eastAsia="Arial" w:hAnsi="Arial"/>
          <w:sz w:val="22"/>
          <w:szCs w:val="22"/>
          <w:color w:val="auto"/>
        </w:rPr>
      </w:pPr>
    </w:p>
    <w:p>
      <w:pPr>
        <w:jc w:val="both"/>
        <w:ind w:left="3520" w:hanging="1"/>
        <w:spacing w:after="0" w:line="246" w:lineRule="auto"/>
        <w:tabs>
          <w:tab w:leader="none" w:pos="4420" w:val="left"/>
        </w:tabs>
        <w:numPr>
          <w:ilvl w:val="1"/>
          <w:numId w:val="132"/>
        </w:numPr>
        <w:rPr>
          <w:rFonts w:ascii="Arial" w:cs="Arial" w:eastAsia="Arial" w:hAnsi="Arial"/>
          <w:sz w:val="21"/>
          <w:szCs w:val="21"/>
          <w:color w:val="auto"/>
        </w:rPr>
      </w:pPr>
      <w:r>
        <w:rPr>
          <w:rFonts w:ascii="Arial" w:cs="Arial" w:eastAsia="Arial" w:hAnsi="Arial"/>
          <w:sz w:val="21"/>
          <w:szCs w:val="21"/>
          <w:color w:val="auto"/>
        </w:rPr>
        <w:t>regarding the existence of this Agreement, this Agreement itself or the material and financial terms of this Agreement, (A) to its accountants, lawyers, and other advisers, and (B) to actual or potential investors, lenders, licensors, licensees, acquirers, investment bankers, or agents of the foregoing in connection with a financing, licensing transaction, merger, or acquisition, in each case (A)-(B) under confidentiality obligations no less restrictive than those set forth in this Agreement, provided that ImmunoGen shall not disclose the identity of the Licensed Target under clause (B) without the prior written consent of CytomX;</w:t>
      </w:r>
    </w:p>
    <w:p>
      <w:pPr>
        <w:spacing w:after="0" w:line="180" w:lineRule="exact"/>
        <w:rPr>
          <w:rFonts w:ascii="Arial" w:cs="Arial" w:eastAsia="Arial" w:hAnsi="Arial"/>
          <w:sz w:val="21"/>
          <w:szCs w:val="21"/>
          <w:color w:val="auto"/>
        </w:rPr>
      </w:pPr>
    </w:p>
    <w:p>
      <w:pPr>
        <w:jc w:val="both"/>
        <w:ind w:left="3520" w:hanging="1"/>
        <w:spacing w:after="0" w:line="238" w:lineRule="auto"/>
        <w:tabs>
          <w:tab w:leader="none" w:pos="44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6.3.2</w:t>
      </w:r>
      <w:r>
        <w:rPr>
          <w:rFonts w:ascii="Arial" w:cs="Arial" w:eastAsia="Arial" w:hAnsi="Arial"/>
          <w:sz w:val="22"/>
          <w:szCs w:val="22"/>
          <w:color w:val="auto"/>
        </w:rPr>
        <w:t xml:space="preserve"> hereof, in connection with or included in scientific presentations and publications relating to Licensed Products, including abstracts, posters, journal articles and the like, and posting results of and other information about clinical trials to clinicaltrials.gov or PhRMA websites; and</w:t>
      </w:r>
    </w:p>
    <w:p>
      <w:pPr>
        <w:spacing w:after="0" w:line="185" w:lineRule="exact"/>
        <w:rPr>
          <w:rFonts w:ascii="Arial" w:cs="Arial" w:eastAsia="Arial" w:hAnsi="Arial"/>
          <w:sz w:val="22"/>
          <w:szCs w:val="22"/>
          <w:color w:val="auto"/>
        </w:rPr>
      </w:pPr>
    </w:p>
    <w:p>
      <w:pPr>
        <w:ind w:left="4540" w:hanging="1021"/>
        <w:spacing w:after="0"/>
        <w:tabs>
          <w:tab w:leader="none" w:pos="454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to the extent necessary in order to enforce its rights under this Agreement.</w:t>
      </w:r>
    </w:p>
    <w:p>
      <w:pPr>
        <w:spacing w:after="0" w:line="240" w:lineRule="exact"/>
        <w:rPr>
          <w:rFonts w:ascii="Arial" w:cs="Arial" w:eastAsia="Arial" w:hAnsi="Arial"/>
          <w:sz w:val="19"/>
          <w:szCs w:val="19"/>
          <w:color w:val="auto"/>
        </w:rPr>
      </w:pPr>
    </w:p>
    <w:p>
      <w:pPr>
        <w:jc w:val="both"/>
        <w:ind w:left="2640" w:firstLine="2"/>
        <w:spacing w:after="0" w:line="287" w:lineRule="auto"/>
        <w:tabs>
          <w:tab w:leader="none" w:pos="35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In the event a Party deems it reasonably necessary to disclose Confidential Information belonging to the other Party pursuant to </w:t>
      </w:r>
      <w:r>
        <w:rPr>
          <w:rFonts w:ascii="Arial" w:cs="Arial" w:eastAsia="Arial" w:hAnsi="Arial"/>
          <w:sz w:val="19"/>
          <w:szCs w:val="19"/>
          <w:u w:val="single" w:color="auto"/>
          <w:color w:val="auto"/>
        </w:rPr>
        <w:t>Section 6.2.2(a)(i)</w:t>
      </w:r>
      <w:r>
        <w:rPr>
          <w:rFonts w:ascii="Arial" w:cs="Arial" w:eastAsia="Arial" w:hAnsi="Arial"/>
          <w:sz w:val="19"/>
          <w:szCs w:val="19"/>
          <w:color w:val="auto"/>
        </w:rPr>
        <w:t xml:space="preserve"> hereof, the Disclosing Party shall to the extent possible give reasonable advance written notice of such disclosure to the other Party and take all reasonable measures to ensure confidential treatment of such information.</w:t>
      </w:r>
    </w:p>
    <w:p>
      <w:pPr>
        <w:spacing w:after="0" w:line="143" w:lineRule="exact"/>
        <w:rPr>
          <w:rFonts w:ascii="Arial" w:cs="Arial" w:eastAsia="Arial" w:hAnsi="Arial"/>
          <w:sz w:val="19"/>
          <w:szCs w:val="19"/>
          <w:color w:val="auto"/>
        </w:rPr>
      </w:pPr>
    </w:p>
    <w:p>
      <w:pPr>
        <w:ind w:left="2640" w:firstLine="2"/>
        <w:spacing w:after="0" w:line="251" w:lineRule="auto"/>
        <w:tabs>
          <w:tab w:leader="none" w:pos="352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Data generated by CytomX using Licensed Products shall not be considered Confidential Information of ImmunoGen, and, therefore, not subject to this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13" w:lineRule="exact"/>
        <w:rPr>
          <w:sz w:val="20"/>
          <w:szCs w:val="20"/>
          <w:color w:val="auto"/>
        </w:rPr>
      </w:pPr>
    </w:p>
    <w:p>
      <w:pPr>
        <w:ind w:right="200" w:firstLine="8"/>
        <w:spacing w:after="0" w:line="259" w:lineRule="auto"/>
        <w:tabs>
          <w:tab w:leader="none" w:pos="4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spacing w:after="0" w:line="246" w:lineRule="auto"/>
        <w:rPr>
          <w:sz w:val="20"/>
          <w:szCs w:val="20"/>
          <w:color w:val="auto"/>
        </w:rPr>
      </w:pPr>
      <w:r>
        <w:rPr>
          <w:rFonts w:ascii="Arial" w:cs="Arial" w:eastAsia="Arial" w:hAnsi="Arial"/>
          <w:sz w:val="21"/>
          <w:szCs w:val="21"/>
          <w:color w:val="auto"/>
        </w:rPr>
        <w:t xml:space="preserve">6.2.3. </w:t>
      </w:r>
      <w:r>
        <w:rPr>
          <w:rFonts w:ascii="Arial" w:cs="Arial" w:eastAsia="Arial" w:hAnsi="Arial"/>
          <w:sz w:val="21"/>
          <w:szCs w:val="21"/>
          <w:b w:val="1"/>
          <w:bCs w:val="1"/>
          <w:color w:val="auto"/>
        </w:rPr>
        <w:t>SEC Filings and Other Disclosures</w:t>
      </w:r>
      <w:r>
        <w:rPr>
          <w:rFonts w:ascii="Arial" w:cs="Arial" w:eastAsia="Arial" w:hAnsi="Arial"/>
          <w:sz w:val="21"/>
          <w:szCs w:val="21"/>
          <w:color w:val="auto"/>
        </w:rPr>
        <w:t xml:space="preserve">. Notwithstanding any provision of this Agreement to the contrary, either Party may disclose the existence or terms of this Agreement to the extent required, in the reasonable opinion of such Party’s legal counsel, to comply with Applicable Law. Notwithstanding the foregoing, before disclosing this Agreement or any of the terms hereof pursuant to this </w:t>
      </w:r>
      <w:r>
        <w:rPr>
          <w:rFonts w:ascii="Arial" w:cs="Arial" w:eastAsia="Arial" w:hAnsi="Arial"/>
          <w:sz w:val="21"/>
          <w:szCs w:val="21"/>
          <w:u w:val="single" w:color="auto"/>
          <w:color w:val="auto"/>
        </w:rPr>
        <w:t>Section 6.2.3</w:t>
      </w:r>
      <w:r>
        <w:rPr>
          <w:rFonts w:ascii="Arial" w:cs="Arial" w:eastAsia="Arial" w:hAnsi="Arial"/>
          <w:sz w:val="21"/>
          <w:szCs w:val="21"/>
          <w:color w:val="auto"/>
        </w:rPr>
        <w:t xml:space="preserve">, the Parties will consult with one another on the terms of this Agreement to be redacted in making any such disclosure. Further, if a Party discloses this Agreement or any of the terms hereof in accordance with this </w:t>
      </w:r>
      <w:r>
        <w:rPr>
          <w:rFonts w:ascii="Arial" w:cs="Arial" w:eastAsia="Arial" w:hAnsi="Arial"/>
          <w:sz w:val="21"/>
          <w:szCs w:val="21"/>
          <w:u w:val="single" w:color="auto"/>
          <w:color w:val="auto"/>
        </w:rPr>
        <w:t>Section 6.2.3</w:t>
      </w:r>
      <w:r>
        <w:rPr>
          <w:rFonts w:ascii="Arial" w:cs="Arial" w:eastAsia="Arial" w:hAnsi="Arial"/>
          <w:sz w:val="21"/>
          <w:szCs w:val="21"/>
          <w:color w:val="auto"/>
        </w:rPr>
        <w:t>, such Party shall, at its own expense, use Commercially Reasonable Efforts to seek such confidential treatment of confidential portions of this Agreement and such other terms, as may be reasonably requested by the other Party.</w:t>
      </w:r>
    </w:p>
    <w:p>
      <w:pPr>
        <w:spacing w:after="0" w:line="176"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b w:val="1"/>
          <w:bCs w:val="1"/>
          <w:color w:val="auto"/>
        </w:rPr>
        <w:t>Public Announcements; Publications</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45" w:lineRule="auto"/>
        <w:rPr>
          <w:sz w:val="20"/>
          <w:szCs w:val="20"/>
          <w:color w:val="auto"/>
        </w:rPr>
      </w:pPr>
      <w:r>
        <w:rPr>
          <w:rFonts w:ascii="Arial" w:cs="Arial" w:eastAsia="Arial" w:hAnsi="Arial"/>
          <w:sz w:val="21"/>
          <w:szCs w:val="21"/>
          <w:color w:val="auto"/>
        </w:rPr>
        <w:t xml:space="preserve">6.3.1. </w:t>
      </w:r>
      <w:r>
        <w:rPr>
          <w:rFonts w:ascii="Arial" w:cs="Arial" w:eastAsia="Arial" w:hAnsi="Arial"/>
          <w:sz w:val="21"/>
          <w:szCs w:val="21"/>
          <w:b w:val="1"/>
          <w:bCs w:val="1"/>
          <w:color w:val="auto"/>
        </w:rPr>
        <w:t>Announcements</w:t>
      </w:r>
      <w:r>
        <w:rPr>
          <w:rFonts w:ascii="Arial" w:cs="Arial" w:eastAsia="Arial" w:hAnsi="Arial"/>
          <w:sz w:val="21"/>
          <w:szCs w:val="21"/>
          <w:color w:val="auto"/>
        </w:rPr>
        <w:t xml:space="preserve">. Except as may be expressly permitted under </w:t>
      </w:r>
      <w:r>
        <w:rPr>
          <w:rFonts w:ascii="Arial" w:cs="Arial" w:eastAsia="Arial" w:hAnsi="Arial"/>
          <w:sz w:val="21"/>
          <w:szCs w:val="21"/>
          <w:u w:val="single" w:color="auto"/>
          <w:color w:val="auto"/>
        </w:rPr>
        <w:t>Section 6.2.3</w:t>
      </w:r>
      <w:r>
        <w:rPr>
          <w:rFonts w:ascii="Arial" w:cs="Arial" w:eastAsia="Arial" w:hAnsi="Arial"/>
          <w:sz w:val="21"/>
          <w:szCs w:val="21"/>
          <w:color w:val="auto"/>
        </w:rPr>
        <w:t>, neither Party will make any public announcement regarding the existence or terms of this Agreement without the prior written approval of the other Party. For the sake of clarity, nothing in this Agreement shall prevent either Party from making any public disclosure relating to this Agreement if the contents of such public disclosure have previously been made public other than through a breach of this Agreement by the issuing Party or its Affiliates. The Parties shall mutually agree to one or more press releases regarding the signing of this Agreement following the Effective Date. The Parties agree that each Party may issue future announcements concerning CytomX’s achievement of any significant milestones, including the selection of a clinical candidate, under this Agreement, provided that the content of any such announcement has been mutually agreed upon by the Parties.</w:t>
      </w:r>
    </w:p>
    <w:p>
      <w:pPr>
        <w:spacing w:after="0" w:line="182" w:lineRule="exact"/>
        <w:rPr>
          <w:sz w:val="20"/>
          <w:szCs w:val="20"/>
          <w:color w:val="auto"/>
        </w:rPr>
      </w:pPr>
    </w:p>
    <w:p>
      <w:pPr>
        <w:jc w:val="both"/>
        <w:ind w:left="1760"/>
        <w:spacing w:after="0" w:line="246" w:lineRule="exact"/>
        <w:rPr>
          <w:sz w:val="20"/>
          <w:szCs w:val="20"/>
          <w:color w:val="auto"/>
        </w:rPr>
      </w:pPr>
      <w:r>
        <w:rPr>
          <w:rFonts w:ascii="Arial" w:cs="Arial" w:eastAsia="Arial" w:hAnsi="Arial"/>
          <w:sz w:val="21"/>
          <w:szCs w:val="21"/>
          <w:color w:val="auto"/>
        </w:rPr>
        <w:t xml:space="preserve">6.3.2. </w:t>
      </w:r>
      <w:r>
        <w:rPr>
          <w:rFonts w:ascii="Arial" w:cs="Arial" w:eastAsia="Arial" w:hAnsi="Arial"/>
          <w:sz w:val="21"/>
          <w:szCs w:val="21"/>
          <w:b w:val="1"/>
          <w:bCs w:val="1"/>
          <w:color w:val="auto"/>
        </w:rPr>
        <w:t>Publications</w:t>
      </w:r>
      <w:r>
        <w:rPr>
          <w:rFonts w:ascii="Arial" w:cs="Arial" w:eastAsia="Arial" w:hAnsi="Arial"/>
          <w:sz w:val="21"/>
          <w:szCs w:val="21"/>
          <w:color w:val="auto"/>
        </w:rPr>
        <w:t>. The Parties acknowledge that scientific publications and presentations must be strictly monitored to prevent any adverse effect from premature publication or dissemination of results of the activities hereunder. Each Party (in such capacity the “</w:t>
      </w:r>
      <w:r>
        <w:rPr>
          <w:rFonts w:ascii="Arial" w:cs="Arial" w:eastAsia="Arial" w:hAnsi="Arial"/>
          <w:sz w:val="21"/>
          <w:szCs w:val="21"/>
          <w:b w:val="1"/>
          <w:bCs w:val="1"/>
          <w:color w:val="auto"/>
        </w:rPr>
        <w:t>Publishing Party</w:t>
      </w:r>
      <w:r>
        <w:rPr>
          <w:rFonts w:ascii="Arial" w:cs="Arial" w:eastAsia="Arial" w:hAnsi="Arial"/>
          <w:sz w:val="21"/>
          <w:szCs w:val="21"/>
          <w:color w:val="auto"/>
        </w:rPr>
        <w:t>”) agrees that, except as required by Applicable Laws, it shall not publish or present, or permit to be published or presented, any results of the Development, Manufacture, use or Commercialization of a Licensed Product to the extent such results refer to, derive from or otherwise relate to the Licensed Intellectual Property (the “</w:t>
      </w:r>
      <w:r>
        <w:rPr>
          <w:rFonts w:ascii="Arial" w:cs="Arial" w:eastAsia="Arial" w:hAnsi="Arial"/>
          <w:sz w:val="21"/>
          <w:szCs w:val="21"/>
          <w:b w:val="1"/>
          <w:bCs w:val="1"/>
          <w:color w:val="auto"/>
        </w:rPr>
        <w:t>Covered Results</w:t>
      </w:r>
      <w:r>
        <w:rPr>
          <w:rFonts w:ascii="Arial" w:cs="Arial" w:eastAsia="Arial" w:hAnsi="Arial"/>
          <w:sz w:val="21"/>
          <w:szCs w:val="21"/>
          <w:color w:val="auto"/>
        </w:rPr>
        <w:t>”), without the prior review by and approval of the other Party (in such capacity, the “</w:t>
      </w:r>
      <w:r>
        <w:rPr>
          <w:rFonts w:ascii="Arial" w:cs="Arial" w:eastAsia="Arial" w:hAnsi="Arial"/>
          <w:sz w:val="21"/>
          <w:szCs w:val="21"/>
          <w:b w:val="1"/>
          <w:bCs w:val="1"/>
          <w:color w:val="auto"/>
        </w:rPr>
        <w:t>Non</w:t>
      </w:r>
      <w:r>
        <w:rPr>
          <w:rFonts w:ascii="MS PGothic" w:cs="MS PGothic" w:eastAsia="MS PGothic" w:hAnsi="MS PGothic"/>
          <w:sz w:val="21"/>
          <w:szCs w:val="21"/>
          <w:b w:val="1"/>
          <w:bCs w:val="1"/>
          <w:color w:val="auto"/>
        </w:rPr>
        <w:t>‑</w:t>
      </w:r>
      <w:r>
        <w:rPr>
          <w:rFonts w:ascii="Arial" w:cs="Arial" w:eastAsia="Arial" w:hAnsi="Arial"/>
          <w:sz w:val="21"/>
          <w:szCs w:val="21"/>
          <w:b w:val="1"/>
          <w:bCs w:val="1"/>
          <w:color w:val="auto"/>
        </w:rPr>
        <w:t>Disclosing Party</w:t>
      </w:r>
      <w:r>
        <w:rPr>
          <w:rFonts w:ascii="Arial" w:cs="Arial" w:eastAsia="Arial" w:hAnsi="Arial"/>
          <w:sz w:val="21"/>
          <w:szCs w:val="21"/>
          <w:color w:val="auto"/>
        </w:rPr>
        <w:t>”), which approval shall not be unreasonably withheld; provided that it shall not be deemed unreasonable for CytomX to withhold its consent to any request by ImmunoGen to publish or disseminate Covered Results prior to the publication or dissemination of such Covered Results by CytomX. The Publishing Party shall submit to the Non-Disclosing Party for review and approval any proposed academic, scientific and medical publication or public presentation which contains Covered Results or otherwise contains the Non-Disclosing Party’s Confidential Information; provided that the foregoing requirement shall apply to CytomX only to the extent any such proposed publication or presentation would refer to, describe or otherwise disclose Confidential Information of ImmunoGen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13" w:lineRule="exact"/>
        <w:rPr>
          <w:sz w:val="20"/>
          <w:szCs w:val="20"/>
          <w:color w:val="auto"/>
        </w:rPr>
      </w:pPr>
    </w:p>
    <w:p>
      <w:pPr>
        <w:ind w:right="200" w:firstLine="8"/>
        <w:spacing w:after="0" w:line="259" w:lineRule="auto"/>
        <w:tabs>
          <w:tab w:leader="none" w:pos="43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71" w:lineRule="auto"/>
        <w:rPr>
          <w:sz w:val="20"/>
          <w:szCs w:val="20"/>
          <w:color w:val="auto"/>
        </w:rPr>
      </w:pPr>
      <w:r>
        <w:rPr>
          <w:rFonts w:ascii="Arial" w:cs="Arial" w:eastAsia="Arial" w:hAnsi="Arial"/>
          <w:sz w:val="19"/>
          <w:szCs w:val="19"/>
          <w:color w:val="auto"/>
        </w:rPr>
        <w:t>(including, without limitation, any nonpublic Licensed Intellectual Property). In addition, each Party shall submit to the other Party for review and approval any proposed publication or public presentation relating to data generated under the Research Program. In both instances, such review and approval will be conducted for the purposes of preserving the value of the Licensed Intellectual Property and determining whether any portion of the proposed publication or presentation containing the Non-Disclosing Party’s Confidential Information should be modified or deleted. Written copies of such proposed publication or presentation required to be submitted hereunder shall be submitted to the Non-Disclosing Party no later than thirty (30) days before submission for publication or presentation (the “</w:t>
      </w:r>
      <w:r>
        <w:rPr>
          <w:rFonts w:ascii="Arial" w:cs="Arial" w:eastAsia="Arial" w:hAnsi="Arial"/>
          <w:sz w:val="19"/>
          <w:szCs w:val="19"/>
          <w:b w:val="1"/>
          <w:bCs w:val="1"/>
          <w:color w:val="auto"/>
        </w:rPr>
        <w:t>Review Period</w:t>
      </w:r>
      <w:r>
        <w:rPr>
          <w:rFonts w:ascii="Arial" w:cs="Arial" w:eastAsia="Arial" w:hAnsi="Arial"/>
          <w:sz w:val="19"/>
          <w:szCs w:val="19"/>
          <w:color w:val="auto"/>
        </w:rPr>
        <w:t xml:space="preserve">”). The Non-Disclosing Party shall provide its comments with respect to such publications and presentations within fifteen (15) days after its receipt of such written copy, and the Publishing Party shall delete any Confidential Information of the Non-Disclosing Party upon request. The Review Period may be extended for an additional sixty (60) days in the event the Non-Disclosing Party can, within fifteen (15) days of receipt of the written copy, demonstrate reasonable need for such extension, including for the preparation and filing of patent applications. The Parties will each comply with standard academic practice regarding authorship of scientific publications and recognition of contribution of other parties in any publication governed by this </w:t>
      </w:r>
      <w:r>
        <w:rPr>
          <w:rFonts w:ascii="Arial" w:cs="Arial" w:eastAsia="Arial" w:hAnsi="Arial"/>
          <w:sz w:val="19"/>
          <w:szCs w:val="19"/>
          <w:u w:val="single" w:color="auto"/>
          <w:color w:val="auto"/>
        </w:rPr>
        <w:t>Section 6.3.2</w:t>
      </w:r>
      <w:r>
        <w:rPr>
          <w:rFonts w:ascii="Arial" w:cs="Arial" w:eastAsia="Arial" w:hAnsi="Arial"/>
          <w:sz w:val="19"/>
          <w:szCs w:val="19"/>
          <w:color w:val="auto"/>
        </w:rPr>
        <w:t>.</w:t>
      </w:r>
    </w:p>
    <w:p>
      <w:pPr>
        <w:spacing w:after="0" w:line="156" w:lineRule="exact"/>
        <w:rPr>
          <w:sz w:val="20"/>
          <w:szCs w:val="20"/>
          <w:color w:val="auto"/>
        </w:rPr>
      </w:pPr>
    </w:p>
    <w:p>
      <w:pPr>
        <w:jc w:val="both"/>
        <w:ind w:left="1760"/>
        <w:spacing w:after="0" w:line="236" w:lineRule="auto"/>
        <w:rPr>
          <w:sz w:val="20"/>
          <w:szCs w:val="20"/>
          <w:color w:val="auto"/>
        </w:rPr>
      </w:pPr>
      <w:r>
        <w:rPr>
          <w:rFonts w:ascii="Arial" w:cs="Arial" w:eastAsia="Arial" w:hAnsi="Arial"/>
          <w:sz w:val="22"/>
          <w:szCs w:val="22"/>
          <w:color w:val="auto"/>
        </w:rPr>
        <w:t xml:space="preserve">6.3.3. </w:t>
      </w:r>
      <w:r>
        <w:rPr>
          <w:rFonts w:ascii="Arial" w:cs="Arial" w:eastAsia="Arial" w:hAnsi="Arial"/>
          <w:sz w:val="22"/>
          <w:szCs w:val="22"/>
          <w:b w:val="1"/>
          <w:bCs w:val="1"/>
          <w:color w:val="auto"/>
        </w:rPr>
        <w:t>Integration</w:t>
      </w:r>
      <w:r>
        <w:rPr>
          <w:rFonts w:ascii="Arial" w:cs="Arial" w:eastAsia="Arial" w:hAnsi="Arial"/>
          <w:sz w:val="22"/>
          <w:szCs w:val="22"/>
          <w:color w:val="auto"/>
        </w:rPr>
        <w:t xml:space="preserve">. As to the subject matter of this Agreement, this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supersedes any confidential disclosure agreements between the Parties, including, without limitation, the Confidentiality Agreement and the confidentiality provisions of the Research Collaboration Agreement. Any confidential information of a Party disclosed under the Confidentiality Agreement or the Research Collaboration Agreement relating to the subject matter of this Agreement shall be treated as Confidential Information of such Party hereunder, subject to the terms of this </w:t>
      </w:r>
      <w:r>
        <w:rPr>
          <w:rFonts w:ascii="Arial" w:cs="Arial" w:eastAsia="Arial" w:hAnsi="Arial"/>
          <w:sz w:val="22"/>
          <w:szCs w:val="22"/>
          <w:u w:val="single" w:color="auto"/>
          <w:color w:val="auto"/>
        </w:rPr>
        <w:t>Article 6</w:t>
      </w:r>
      <w:r>
        <w:rPr>
          <w:rFonts w:ascii="Arial" w:cs="Arial" w:eastAsia="Arial" w:hAnsi="Arial"/>
          <w:sz w:val="22"/>
          <w:szCs w:val="22"/>
          <w:color w:val="auto"/>
        </w:rPr>
        <w:t>.</w:t>
      </w:r>
    </w:p>
    <w:p>
      <w:pPr>
        <w:spacing w:after="0" w:line="182" w:lineRule="exact"/>
        <w:rPr>
          <w:sz w:val="20"/>
          <w:szCs w:val="20"/>
          <w:color w:val="auto"/>
        </w:rPr>
      </w:pPr>
    </w:p>
    <w:p>
      <w:pPr>
        <w:ind w:left="880" w:hanging="872"/>
        <w:spacing w:after="0"/>
        <w:tabs>
          <w:tab w:leader="none" w:pos="880"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 AND WARRANTIES.</w:t>
      </w:r>
    </w:p>
    <w:p>
      <w:pPr>
        <w:spacing w:after="0" w:line="206" w:lineRule="exact"/>
        <w:rPr>
          <w:sz w:val="20"/>
          <w:szCs w:val="20"/>
          <w:color w:val="auto"/>
        </w:rPr>
      </w:pPr>
    </w:p>
    <w:p>
      <w:pPr>
        <w:ind w:left="880"/>
        <w:spacing w:after="0" w:line="25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b w:val="1"/>
          <w:bCs w:val="1"/>
          <w:color w:val="auto"/>
        </w:rPr>
        <w:t>Mutual Representations and Warranties</w:t>
      </w:r>
      <w:r>
        <w:rPr>
          <w:rFonts w:ascii="Arial" w:cs="Arial" w:eastAsia="Arial" w:hAnsi="Arial"/>
          <w:sz w:val="22"/>
          <w:szCs w:val="22"/>
          <w:color w:val="auto"/>
        </w:rPr>
        <w:t>. Each of CytomX and ImmunoGen hereby represents and warrants to the other that:</w:t>
      </w:r>
    </w:p>
    <w:p>
      <w:pPr>
        <w:spacing w:after="0" w:line="169" w:lineRule="exact"/>
        <w:rPr>
          <w:sz w:val="20"/>
          <w:szCs w:val="20"/>
          <w:color w:val="auto"/>
        </w:rPr>
      </w:pPr>
    </w:p>
    <w:p>
      <w:pPr>
        <w:jc w:val="both"/>
        <w:ind w:left="1760" w:right="20"/>
        <w:spacing w:after="0" w:line="251" w:lineRule="auto"/>
        <w:rPr>
          <w:sz w:val="20"/>
          <w:szCs w:val="20"/>
          <w:color w:val="auto"/>
        </w:rPr>
      </w:pPr>
      <w:r>
        <w:rPr>
          <w:rFonts w:ascii="Arial" w:cs="Arial" w:eastAsia="Arial" w:hAnsi="Arial"/>
          <w:sz w:val="22"/>
          <w:szCs w:val="22"/>
          <w:color w:val="auto"/>
        </w:rPr>
        <w:t>7.1.1. it is duly organized, validly existing and in good standing under the laws of the jurisdiction of its organization;</w:t>
      </w:r>
    </w:p>
    <w:p>
      <w:pPr>
        <w:spacing w:after="0" w:line="173"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7.1.2. 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spacing w:after="0" w:line="185" w:lineRule="exact"/>
        <w:rPr>
          <w:sz w:val="20"/>
          <w:szCs w:val="20"/>
          <w:color w:val="auto"/>
        </w:rPr>
      </w:pPr>
    </w:p>
    <w:p>
      <w:pPr>
        <w:jc w:val="both"/>
        <w:ind w:left="1760"/>
        <w:spacing w:after="0" w:line="251" w:lineRule="auto"/>
        <w:rPr>
          <w:sz w:val="20"/>
          <w:szCs w:val="20"/>
          <w:color w:val="auto"/>
        </w:rPr>
      </w:pPr>
      <w:r>
        <w:rPr>
          <w:rFonts w:ascii="Arial" w:cs="Arial" w:eastAsia="Arial" w:hAnsi="Arial"/>
          <w:sz w:val="22"/>
          <w:szCs w:val="22"/>
          <w:color w:val="auto"/>
        </w:rPr>
        <w:t>7.1.3. it has the power and authority to execute and deliver this Agreement and to perform its obligations hereunder;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13" w:lineRule="exact"/>
        <w:rPr>
          <w:sz w:val="20"/>
          <w:szCs w:val="20"/>
          <w:color w:val="auto"/>
        </w:rPr>
      </w:pPr>
    </w:p>
    <w:p>
      <w:pPr>
        <w:ind w:right="200" w:firstLine="8"/>
        <w:spacing w:after="0" w:line="259" w:lineRule="auto"/>
        <w:tabs>
          <w:tab w:leader="none" w:pos="4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51" w:lineRule="auto"/>
        <w:rPr>
          <w:sz w:val="20"/>
          <w:szCs w:val="20"/>
          <w:color w:val="auto"/>
        </w:rPr>
      </w:pPr>
      <w:r>
        <w:rPr>
          <w:rFonts w:ascii="Arial" w:cs="Arial" w:eastAsia="Arial" w:hAnsi="Arial"/>
          <w:sz w:val="22"/>
          <w:szCs w:val="22"/>
          <w:color w:val="auto"/>
        </w:rPr>
        <w:t>7.1.4. this Agreement has been duly executed and is a legal, valid and Binding Obligation on it, enforceable against it in accordance with its terms; and</w:t>
      </w:r>
    </w:p>
    <w:p>
      <w:pPr>
        <w:spacing w:after="0" w:line="173" w:lineRule="exact"/>
        <w:rPr>
          <w:sz w:val="20"/>
          <w:szCs w:val="20"/>
          <w:color w:val="auto"/>
        </w:rPr>
      </w:pPr>
    </w:p>
    <w:p>
      <w:pPr>
        <w:jc w:val="both"/>
        <w:ind w:left="1760"/>
        <w:spacing w:after="0"/>
        <w:rPr>
          <w:sz w:val="20"/>
          <w:szCs w:val="20"/>
          <w:color w:val="auto"/>
        </w:rPr>
      </w:pPr>
      <w:r>
        <w:rPr>
          <w:rFonts w:ascii="Arial" w:cs="Arial" w:eastAsia="Arial" w:hAnsi="Arial"/>
          <w:sz w:val="22"/>
          <w:szCs w:val="22"/>
          <w:color w:val="auto"/>
        </w:rPr>
        <w:t>7.1.5. the execution, delivery and performance by such Party of this Agreement and its compliance with the terms and provisions hereof does not and will not conflict with or result in a breach of or default under any Binding Obligation existing as of the Effective Date.</w:t>
      </w:r>
    </w:p>
    <w:p>
      <w:pPr>
        <w:spacing w:after="0" w:line="180" w:lineRule="exact"/>
        <w:rPr>
          <w:sz w:val="20"/>
          <w:szCs w:val="20"/>
          <w:color w:val="auto"/>
        </w:rPr>
      </w:pPr>
    </w:p>
    <w:p>
      <w:pPr>
        <w:jc w:val="both"/>
        <w:ind w:left="880"/>
        <w:spacing w:after="0" w:line="23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b w:val="1"/>
          <w:bCs w:val="1"/>
          <w:color w:val="auto"/>
        </w:rPr>
        <w:t>Representations and Warranties of ImmunoGen</w:t>
      </w:r>
      <w:r>
        <w:rPr>
          <w:rFonts w:ascii="Arial" w:cs="Arial" w:eastAsia="Arial" w:hAnsi="Arial"/>
          <w:sz w:val="22"/>
          <w:szCs w:val="22"/>
          <w:color w:val="auto"/>
        </w:rPr>
        <w:t>. Except as set forth in a written disclosure letter (the “</w:t>
      </w:r>
      <w:r>
        <w:rPr>
          <w:rFonts w:ascii="Arial" w:cs="Arial" w:eastAsia="Arial" w:hAnsi="Arial"/>
          <w:sz w:val="22"/>
          <w:szCs w:val="22"/>
          <w:b w:val="1"/>
          <w:bCs w:val="1"/>
          <w:color w:val="auto"/>
        </w:rPr>
        <w:t>Disclosure Letter</w:t>
      </w:r>
      <w:r>
        <w:rPr>
          <w:rFonts w:ascii="Arial" w:cs="Arial" w:eastAsia="Arial" w:hAnsi="Arial"/>
          <w:sz w:val="22"/>
          <w:szCs w:val="22"/>
          <w:color w:val="auto"/>
        </w:rPr>
        <w:t>”) delivered by ImmunoGen to CytomX within fifteen (15) days after the Effective Date (which shall be deemed Confidential Information of ImmunoGen), ImmunoGen hereby represents and warrants to CytomX that as of the Effective Date:</w:t>
      </w:r>
    </w:p>
    <w:p>
      <w:pPr>
        <w:spacing w:after="0" w:line="187" w:lineRule="exact"/>
        <w:rPr>
          <w:sz w:val="20"/>
          <w:szCs w:val="20"/>
          <w:color w:val="auto"/>
        </w:rPr>
      </w:pPr>
    </w:p>
    <w:p>
      <w:pPr>
        <w:jc w:val="both"/>
        <w:ind w:left="1760"/>
        <w:spacing w:after="0" w:line="297" w:lineRule="auto"/>
        <w:rPr>
          <w:sz w:val="20"/>
          <w:szCs w:val="20"/>
          <w:color w:val="auto"/>
        </w:rPr>
      </w:pPr>
      <w:r>
        <w:rPr>
          <w:rFonts w:ascii="Arial" w:cs="Arial" w:eastAsia="Arial" w:hAnsi="Arial"/>
          <w:sz w:val="19"/>
          <w:szCs w:val="19"/>
          <w:color w:val="auto"/>
        </w:rPr>
        <w:t>7.2.1. to its Knowledge, (a) the issued and unexpired patents within the Licensed Intellectual Property are valid and enforceable patents and (b) ImmunoGen has received no written notice from a Third Party challenging or threatening to challenge the extent, validity or enforceability of any Licensed Patent Rights;</w:t>
      </w:r>
    </w:p>
    <w:p>
      <w:pPr>
        <w:spacing w:after="0" w:line="134" w:lineRule="exact"/>
        <w:rPr>
          <w:sz w:val="20"/>
          <w:szCs w:val="20"/>
          <w:color w:val="auto"/>
        </w:rPr>
      </w:pPr>
    </w:p>
    <w:p>
      <w:pPr>
        <w:jc w:val="both"/>
        <w:ind w:left="1760"/>
        <w:spacing w:after="0" w:line="236" w:lineRule="auto"/>
        <w:rPr>
          <w:sz w:val="20"/>
          <w:szCs w:val="20"/>
          <w:color w:val="auto"/>
        </w:rPr>
      </w:pPr>
      <w:r>
        <w:rPr>
          <w:rFonts w:ascii="Arial" w:cs="Arial" w:eastAsia="Arial" w:hAnsi="Arial"/>
          <w:sz w:val="22"/>
          <w:szCs w:val="22"/>
          <w:color w:val="auto"/>
        </w:rPr>
        <w:t>7.2.2. to its Knowledge, ImmunoGen has received no written notice from a Third Party claiming that the use, practice or application of the Licensed Intellectual Property pursuant to the license granted hereunder to CytomX will infringe the issued patents of any such Third Party (excluding, for clarity, any potential infringement that might arise solely as a result of the combination of any Licensed Intellectual Property with any other technology or intellectual property); and</w:t>
      </w:r>
    </w:p>
    <w:p>
      <w:pPr>
        <w:spacing w:after="0" w:line="188" w:lineRule="exact"/>
        <w:rPr>
          <w:sz w:val="20"/>
          <w:szCs w:val="20"/>
          <w:color w:val="auto"/>
        </w:rPr>
      </w:pPr>
    </w:p>
    <w:p>
      <w:pPr>
        <w:jc w:val="both"/>
        <w:ind w:left="1760"/>
        <w:spacing w:after="0" w:line="236" w:lineRule="auto"/>
        <w:rPr>
          <w:sz w:val="20"/>
          <w:szCs w:val="20"/>
          <w:color w:val="auto"/>
        </w:rPr>
      </w:pPr>
      <w:r>
        <w:rPr>
          <w:rFonts w:ascii="Arial" w:cs="Arial" w:eastAsia="Arial" w:hAnsi="Arial"/>
          <w:sz w:val="22"/>
          <w:szCs w:val="22"/>
          <w:color w:val="auto"/>
        </w:rPr>
        <w:t>7.2.3. there is no (a) claim, demand, suit, proceeding, arbitration, inquiry, investigation or other legal action of any nature, civil, criminal, regulatory or otherwise, pending or, to its Knowledge, threatened against ImmunoGen or any of its Affiliates or (b) judgment or settlement against or owed by ImmunoGen or any of its Affiliates, in each case in connection with the Licensed Intellectual Property or relating to the transactions contemplated by this Agreement.</w:t>
      </w:r>
    </w:p>
    <w:p>
      <w:pPr>
        <w:spacing w:after="0" w:line="182" w:lineRule="exact"/>
        <w:rPr>
          <w:sz w:val="20"/>
          <w:szCs w:val="20"/>
          <w:color w:val="auto"/>
        </w:rPr>
      </w:pPr>
    </w:p>
    <w:p>
      <w:pPr>
        <w:jc w:val="both"/>
        <w:ind w:left="880"/>
        <w:spacing w:after="0" w:line="239" w:lineRule="auto"/>
        <w:rPr>
          <w:sz w:val="20"/>
          <w:szCs w:val="20"/>
          <w:color w:val="auto"/>
        </w:rPr>
      </w:pPr>
      <w:r>
        <w:rPr>
          <w:rFonts w:ascii="Arial" w:cs="Arial" w:eastAsia="Arial" w:hAnsi="Arial"/>
          <w:sz w:val="22"/>
          <w:szCs w:val="22"/>
          <w:color w:val="auto"/>
        </w:rPr>
        <w:t>For purposes of this Section 7.2, “</w:t>
      </w:r>
      <w:r>
        <w:rPr>
          <w:rFonts w:ascii="Arial" w:cs="Arial" w:eastAsia="Arial" w:hAnsi="Arial"/>
          <w:sz w:val="22"/>
          <w:szCs w:val="22"/>
          <w:b w:val="1"/>
          <w:bCs w:val="1"/>
          <w:color w:val="auto"/>
        </w:rPr>
        <w:t>Knowledge</w:t>
      </w:r>
      <w:r>
        <w:rPr>
          <w:rFonts w:ascii="Arial" w:cs="Arial" w:eastAsia="Arial" w:hAnsi="Arial"/>
          <w:sz w:val="22"/>
          <w:szCs w:val="22"/>
          <w:color w:val="auto"/>
        </w:rPr>
        <w:t>” means the actual knowledge (without having conducted, or having any duty to conduct, any specific inquiry) of the following ImmunoGen employees: (i) any “executive officer” (as defined in Rule 3b-7 promulgated under the Securities Exchange Act of 1934, as amended) and (ii) chief patent counsel (or person with similar responsibilities).</w:t>
      </w:r>
    </w:p>
    <w:p>
      <w:pPr>
        <w:spacing w:after="0" w:line="181" w:lineRule="exact"/>
        <w:rPr>
          <w:sz w:val="20"/>
          <w:szCs w:val="20"/>
          <w:color w:val="auto"/>
        </w:rPr>
      </w:pPr>
    </w:p>
    <w:p>
      <w:pPr>
        <w:jc w:val="both"/>
        <w:ind w:left="880"/>
        <w:spacing w:after="0" w:line="237"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b w:val="1"/>
          <w:bCs w:val="1"/>
          <w:color w:val="auto"/>
        </w:rPr>
        <w:t>Government Approvals</w:t>
      </w:r>
      <w:r>
        <w:rPr>
          <w:rFonts w:ascii="Arial" w:cs="Arial" w:eastAsia="Arial" w:hAnsi="Arial"/>
          <w:sz w:val="22"/>
          <w:szCs w:val="22"/>
          <w:color w:val="auto"/>
        </w:rPr>
        <w:t>. Each of CytomX and ImmunoGen shall cooperate with the other Party and use Commercially Reasonable Efforts to make all registrations, filings and applications, to give all notices and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13" w:lineRule="exact"/>
        <w:rPr>
          <w:sz w:val="20"/>
          <w:szCs w:val="20"/>
          <w:color w:val="auto"/>
        </w:rPr>
      </w:pPr>
    </w:p>
    <w:p>
      <w:pPr>
        <w:ind w:right="200" w:firstLine="8"/>
        <w:spacing w:after="0" w:line="259" w:lineRule="auto"/>
        <w:tabs>
          <w:tab w:leader="none" w:pos="4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spacing w:after="0" w:line="251"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b w:val="1"/>
          <w:bCs w:val="1"/>
          <w:color w:val="auto"/>
        </w:rPr>
        <w:t>Further Covenants</w:t>
      </w:r>
      <w:r>
        <w:rPr>
          <w:rFonts w:ascii="Arial" w:cs="Arial" w:eastAsia="Arial" w:hAnsi="Arial"/>
          <w:sz w:val="21"/>
          <w:szCs w:val="21"/>
          <w:color w:val="auto"/>
        </w:rPr>
        <w:t>. In addition to the covenants made elsewhere in this Agreement, ImmunoGen hereby covenants to CytomX that, from the Effective Date until expiration or termination of this Agreement, it will not (a) knowingly take any action that conflicts with the rights under the Licensed Intellectual Property granted to CytomX under this Agreement or (b) knowingly fail to take any action that is reasonably necessary to avoid a conflict with the rights under the Licensed Intellectual Property granted to CytomX under this Agreement.</w:t>
      </w:r>
    </w:p>
    <w:p>
      <w:pPr>
        <w:spacing w:after="0" w:line="169" w:lineRule="exact"/>
        <w:rPr>
          <w:sz w:val="20"/>
          <w:szCs w:val="20"/>
          <w:color w:val="auto"/>
        </w:rPr>
      </w:pPr>
    </w:p>
    <w:p>
      <w:pPr>
        <w:jc w:val="both"/>
        <w:ind w:left="880"/>
        <w:spacing w:after="0" w:line="239"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b w:val="1"/>
          <w:bCs w:val="1"/>
          <w:color w:val="auto"/>
        </w:rPr>
        <w:t>Representation by Legal Counsel</w:t>
      </w:r>
      <w:r>
        <w:rPr>
          <w:rFonts w:ascii="Arial" w:cs="Arial" w:eastAsia="Arial" w:hAnsi="Arial"/>
          <w:sz w:val="22"/>
          <w:szCs w:val="22"/>
          <w:color w:val="auto"/>
        </w:rPr>
        <w:t>. Each Party hereto represents that it has been represented by legal counsel in 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18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b w:val="1"/>
          <w:bCs w:val="1"/>
          <w:color w:val="auto"/>
        </w:rPr>
        <w:t>Warranty Disclaimers</w:t>
      </w:r>
      <w:r>
        <w:rPr>
          <w:rFonts w:ascii="Arial" w:cs="Arial" w:eastAsia="Arial" w:hAnsi="Arial"/>
          <w:sz w:val="19"/>
          <w:szCs w:val="19"/>
          <w:color w:val="auto"/>
        </w:rPr>
        <w:t>.</w:t>
      </w:r>
    </w:p>
    <w:p>
      <w:pPr>
        <w:spacing w:after="0" w:line="212" w:lineRule="exact"/>
        <w:rPr>
          <w:sz w:val="20"/>
          <w:szCs w:val="20"/>
          <w:color w:val="auto"/>
        </w:rPr>
      </w:pPr>
    </w:p>
    <w:p>
      <w:pPr>
        <w:jc w:val="both"/>
        <w:ind w:left="1760"/>
        <w:spacing w:after="0" w:line="236" w:lineRule="auto"/>
        <w:rPr>
          <w:sz w:val="20"/>
          <w:szCs w:val="20"/>
          <w:color w:val="auto"/>
        </w:rPr>
      </w:pPr>
      <w:r>
        <w:rPr>
          <w:rFonts w:ascii="Arial" w:cs="Arial" w:eastAsia="Arial" w:hAnsi="Arial"/>
          <w:sz w:val="22"/>
          <w:szCs w:val="22"/>
          <w:color w:val="auto"/>
        </w:rPr>
        <w:t xml:space="preserve">7.6.1. Except as expressly set forth in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hereof, nothing in this Agreement is or shall be construed as a warranty or representation by ImmunoGen (a) as to the validity or scope of any patent application or patent within the Licensed Patent Rights or (b) that anything made, used, sold or otherwise disposed of under any license granted under this Agreement is or will be free from infringement of patents, copyrights and other rights of Third Parties.</w:t>
      </w:r>
    </w:p>
    <w:p>
      <w:pPr>
        <w:spacing w:after="0" w:line="188" w:lineRule="exact"/>
        <w:rPr>
          <w:sz w:val="20"/>
          <w:szCs w:val="20"/>
          <w:color w:val="auto"/>
        </w:rPr>
      </w:pPr>
    </w:p>
    <w:p>
      <w:pPr>
        <w:jc w:val="both"/>
        <w:ind w:left="1760"/>
        <w:spacing w:after="0" w:line="249" w:lineRule="auto"/>
        <w:rPr>
          <w:sz w:val="20"/>
          <w:szCs w:val="20"/>
          <w:color w:val="auto"/>
        </w:rPr>
      </w:pPr>
      <w:r>
        <w:rPr>
          <w:rFonts w:ascii="Arial" w:cs="Arial" w:eastAsia="Arial" w:hAnsi="Arial"/>
          <w:sz w:val="21"/>
          <w:szCs w:val="21"/>
          <w:color w:val="auto"/>
        </w:rPr>
        <w:t>7.6.2. EXCEPT AS OTHERWISE EXPRESSLY PROVIDED IN THIS AGREEMENT, NEITHER PARTY MAKES ANY REPRESENTATION OR EXTENDS ANY WARRANTY OF ANY KIND, EXPRESS OR IMPLIED, WITH RESPECT TO ANY TECHNOLOGY, GOODS, SERVICES, RIGHTS OR OTHER SUBJECT MATTER OF THIS AGREEMENT, INCLUDING, WITHOUT LIMITATION, WARRANTIES OF TITLE, MERCHANTABILITY, FITNESS FOR A PARTICULAR PURPOSE AND NON-INFRINGEMENT.</w:t>
      </w:r>
    </w:p>
    <w:p>
      <w:pPr>
        <w:spacing w:after="0" w:line="173" w:lineRule="exact"/>
        <w:rPr>
          <w:sz w:val="20"/>
          <w:szCs w:val="20"/>
          <w:color w:val="auto"/>
        </w:rPr>
      </w:pPr>
    </w:p>
    <w:p>
      <w:pPr>
        <w:ind w:left="880" w:hanging="872"/>
        <w:spacing w:after="0"/>
        <w:tabs>
          <w:tab w:leader="none" w:pos="880" w:val="left"/>
        </w:tabs>
        <w:numPr>
          <w:ilvl w:val="0"/>
          <w:numId w:val="139"/>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06" w:lineRule="exact"/>
        <w:rPr>
          <w:rFonts w:ascii="Arial" w:cs="Arial" w:eastAsia="Arial" w:hAnsi="Arial"/>
          <w:sz w:val="22"/>
          <w:szCs w:val="22"/>
          <w:b w:val="1"/>
          <w:bCs w:val="1"/>
          <w:color w:val="auto"/>
        </w:rPr>
      </w:pPr>
    </w:p>
    <w:p>
      <w:pPr>
        <w:jc w:val="both"/>
        <w:ind w:left="880"/>
        <w:spacing w:after="0" w:line="276" w:lineRule="auto"/>
        <w:rPr>
          <w:rFonts w:ascii="Arial" w:cs="Arial" w:eastAsia="Arial" w:hAnsi="Arial"/>
          <w:sz w:val="22"/>
          <w:szCs w:val="22"/>
          <w:b w:val="1"/>
          <w:bCs w:val="1"/>
          <w:color w:val="auto"/>
        </w:rPr>
      </w:pPr>
      <w:r>
        <w:rPr>
          <w:rFonts w:ascii="Arial" w:cs="Arial" w:eastAsia="Arial" w:hAnsi="Arial"/>
          <w:sz w:val="19"/>
          <w:szCs w:val="19"/>
          <w:color w:val="auto"/>
        </w:rPr>
        <w:t xml:space="preserve">8.1 </w:t>
      </w:r>
      <w:r>
        <w:rPr>
          <w:rFonts w:ascii="Arial" w:cs="Arial" w:eastAsia="Arial" w:hAnsi="Arial"/>
          <w:sz w:val="19"/>
          <w:szCs w:val="19"/>
          <w:b w:val="1"/>
          <w:bCs w:val="1"/>
          <w:color w:val="auto"/>
        </w:rPr>
        <w:t>Term</w:t>
      </w:r>
      <w:r>
        <w:rPr>
          <w:rFonts w:ascii="Arial" w:cs="Arial" w:eastAsia="Arial" w:hAnsi="Arial"/>
          <w:sz w:val="19"/>
          <w:szCs w:val="19"/>
          <w:color w:val="auto"/>
        </w:rPr>
        <w:t>. The term of this Agreement (the “</w:t>
      </w:r>
      <w:r>
        <w:rPr>
          <w:rFonts w:ascii="Arial" w:cs="Arial" w:eastAsia="Arial" w:hAnsi="Arial"/>
          <w:sz w:val="19"/>
          <w:szCs w:val="19"/>
          <w:b w:val="1"/>
          <w:bCs w:val="1"/>
          <w:color w:val="auto"/>
        </w:rPr>
        <w:t>Term</w:t>
      </w:r>
      <w:r>
        <w:rPr>
          <w:rFonts w:ascii="Arial" w:cs="Arial" w:eastAsia="Arial" w:hAnsi="Arial"/>
          <w:sz w:val="19"/>
          <w:szCs w:val="19"/>
          <w:color w:val="auto"/>
        </w:rPr>
        <w:t xml:space="preserve">”) shall commence on the Effective Date and shall extend, unless this Agreement is terminated earlier in accordance with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on a Licensed Product-by-Licensed Product and country-by-country basis, until such time as the Royalty Term with respect to the sale of such Licensed Product in such country expires. Provided this Agreement has not been terminated prior thereto by ImmunoGen under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w:t>
      </w:r>
      <w:r>
        <w:rPr>
          <w:rFonts w:ascii="Arial" w:cs="Arial" w:eastAsia="Arial" w:hAnsi="Arial"/>
          <w:sz w:val="19"/>
          <w:szCs w:val="19"/>
          <w:u w:val="single" w:color="auto"/>
          <w:color w:val="auto"/>
        </w:rPr>
        <w:t>8.4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8.5</w:t>
      </w:r>
      <w:r>
        <w:rPr>
          <w:rFonts w:ascii="Arial" w:cs="Arial" w:eastAsia="Arial" w:hAnsi="Arial"/>
          <w:sz w:val="19"/>
          <w:szCs w:val="19"/>
          <w:color w:val="auto"/>
        </w:rPr>
        <w:t xml:space="preserve"> hereof or by CytomX under </w:t>
      </w:r>
      <w:r>
        <w:rPr>
          <w:rFonts w:ascii="Arial" w:cs="Arial" w:eastAsia="Arial" w:hAnsi="Arial"/>
          <w:sz w:val="19"/>
          <w:szCs w:val="19"/>
          <w:u w:val="single" w:color="auto"/>
          <w:color w:val="auto"/>
        </w:rPr>
        <w:t>Section 8.2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8.4</w:t>
      </w:r>
      <w:r>
        <w:rPr>
          <w:rFonts w:ascii="Arial" w:cs="Arial" w:eastAsia="Arial" w:hAnsi="Arial"/>
          <w:sz w:val="19"/>
          <w:szCs w:val="19"/>
          <w:color w:val="auto"/>
        </w:rPr>
        <w:t xml:space="preserve"> hereof, following the expiration of the Royalty Term applicable to a Licensed Product in a country in accordance with </w:t>
      </w:r>
      <w:r>
        <w:rPr>
          <w:rFonts w:ascii="Arial" w:cs="Arial" w:eastAsia="Arial" w:hAnsi="Arial"/>
          <w:sz w:val="19"/>
          <w:szCs w:val="19"/>
          <w:u w:val="single" w:color="auto"/>
          <w:color w:val="auto"/>
        </w:rPr>
        <w:t>Section 1.134</w:t>
      </w:r>
      <w:r>
        <w:rPr>
          <w:rFonts w:ascii="Arial" w:cs="Arial" w:eastAsia="Arial" w:hAnsi="Arial"/>
          <w:sz w:val="19"/>
          <w:szCs w:val="19"/>
          <w:color w:val="auto"/>
        </w:rPr>
        <w:t xml:space="preserve"> hereof, CytomX and its Affiliates shall have a fully paid-up, irrevocable, freely transferable and sublicensable license under the relevant Licensed Intellectual Property, to make, have made, use, sell, offer for sale and import such Licensed Products in such country.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13" w:lineRule="exact"/>
        <w:rPr>
          <w:sz w:val="20"/>
          <w:szCs w:val="20"/>
          <w:color w:val="auto"/>
        </w:rPr>
      </w:pPr>
    </w:p>
    <w:p>
      <w:pPr>
        <w:ind w:right="200" w:firstLine="8"/>
        <w:spacing w:after="0" w:line="259" w:lineRule="auto"/>
        <w:tabs>
          <w:tab w:leader="none" w:pos="4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spacing w:after="0" w:line="261"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b w:val="1"/>
          <w:bCs w:val="1"/>
          <w:color w:val="auto"/>
        </w:rPr>
        <w:t>Voluntary Termination by CytomX</w:t>
      </w:r>
      <w:r>
        <w:rPr>
          <w:rFonts w:ascii="Arial" w:cs="Arial" w:eastAsia="Arial" w:hAnsi="Arial"/>
          <w:sz w:val="21"/>
          <w:szCs w:val="21"/>
          <w:color w:val="auto"/>
        </w:rPr>
        <w:t>. CytomX shall have the right to terminate this Agreement at any time prior to the achievement of the first Regulatory Marketing Approval for any Licensed Product in any country or other jurisdiction in the Territory, upon not less than ninety (90) days’ prior written notice to ImmunoGen.</w:t>
      </w:r>
    </w:p>
    <w:p>
      <w:pPr>
        <w:spacing w:after="0" w:line="158" w:lineRule="exact"/>
        <w:rPr>
          <w:sz w:val="20"/>
          <w:szCs w:val="20"/>
          <w:color w:val="auto"/>
        </w:rPr>
      </w:pPr>
    </w:p>
    <w:p>
      <w:pPr>
        <w:jc w:val="both"/>
        <w:ind w:left="880"/>
        <w:spacing w:after="0" w:line="235"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b w:val="1"/>
          <w:bCs w:val="1"/>
          <w:color w:val="auto"/>
        </w:rPr>
        <w:t>Termination by Either Party for Cause</w:t>
      </w:r>
      <w:r>
        <w:rPr>
          <w:rFonts w:ascii="Arial" w:cs="Arial" w:eastAsia="Arial" w:hAnsi="Arial"/>
          <w:sz w:val="22"/>
          <w:szCs w:val="22"/>
          <w:color w:val="auto"/>
        </w:rPr>
        <w:t>. Either Party may terminate this Agreement in its entirety at any time during the Term by giving written notice to the other Party if the other Party commits a material breach of its obligations under this Agreement (a “</w:t>
      </w:r>
      <w:r>
        <w:rPr>
          <w:rFonts w:ascii="Arial" w:cs="Arial" w:eastAsia="Arial" w:hAnsi="Arial"/>
          <w:sz w:val="22"/>
          <w:szCs w:val="22"/>
          <w:b w:val="1"/>
          <w:bCs w:val="1"/>
          <w:color w:val="auto"/>
        </w:rPr>
        <w:t>Material Breach</w:t>
      </w:r>
      <w:r>
        <w:rPr>
          <w:rFonts w:ascii="Arial" w:cs="Arial" w:eastAsia="Arial" w:hAnsi="Arial"/>
          <w:sz w:val="22"/>
          <w:szCs w:val="22"/>
          <w:color w:val="auto"/>
        </w:rPr>
        <w:t>”), such notice to describe such Material Breach in reasonable detail, and such Material Breach remains uncured for ninety (90) days, measured from the date written notice of such breach is given to the breaching Party; provided, however, that if the nature of the asserted breach is such that more than ninety (90) days are reasonably required to cure, then the cure period shall be extended for a period not to exceed an additional sixty (60) days so long as the Party seeking to cure the asserted breach is diligently pursuing such cure to completion.</w:t>
      </w:r>
    </w:p>
    <w:p>
      <w:pPr>
        <w:spacing w:after="0" w:line="179" w:lineRule="exact"/>
        <w:rPr>
          <w:sz w:val="20"/>
          <w:szCs w:val="20"/>
          <w:color w:val="auto"/>
        </w:rPr>
      </w:pPr>
    </w:p>
    <w:p>
      <w:pPr>
        <w:jc w:val="both"/>
        <w:ind w:left="880"/>
        <w:spacing w:after="0" w:line="256"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b w:val="1"/>
          <w:bCs w:val="1"/>
          <w:color w:val="auto"/>
        </w:rPr>
        <w:t>Termination on Insolvency</w:t>
      </w:r>
      <w:r>
        <w:rPr>
          <w:rFonts w:ascii="Arial" w:cs="Arial" w:eastAsia="Arial" w:hAnsi="Arial"/>
          <w:sz w:val="22"/>
          <w:szCs w:val="22"/>
          <w:color w:val="auto"/>
        </w:rPr>
        <w:t>. This Agreement may be terminated upon written notice by either Party at any time in the event of an Insolvency Event of the other Party.</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Termination for Material Breach of the Research Collaboration Agreement by CytomX</w:t>
      </w:r>
    </w:p>
    <w:p>
      <w:pPr>
        <w:spacing w:after="0" w:line="206" w:lineRule="exact"/>
        <w:rPr>
          <w:sz w:val="20"/>
          <w:szCs w:val="20"/>
          <w:color w:val="auto"/>
        </w:rPr>
      </w:pPr>
    </w:p>
    <w:p>
      <w:pPr>
        <w:jc w:val="both"/>
        <w:ind w:left="880" w:firstLine="816"/>
        <w:spacing w:after="0" w:line="252" w:lineRule="auto"/>
        <w:tabs>
          <w:tab w:leader="none" w:pos="1823"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ImmunoGen shall have the right to terminate this Agreement, effective upon thirty (30) days’ prior written notice to CytomX, in the event ImmunoGen has terminated the Research Collaboration Agreement due to the occurrence of a Material Breach (as defined in the Research Collaboration Agreement) thereunder by CytomX which remains uncured as of the termination date of the Research Collaboration Agreement.</w:t>
      </w:r>
    </w:p>
    <w:p>
      <w:pPr>
        <w:spacing w:after="0" w:line="168"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b w:val="1"/>
          <w:bCs w:val="1"/>
          <w:color w:val="auto"/>
        </w:rPr>
        <w:t>Effects of Expiration or Termination</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43" w:lineRule="auto"/>
        <w:rPr>
          <w:sz w:val="20"/>
          <w:szCs w:val="20"/>
          <w:color w:val="auto"/>
        </w:rPr>
      </w:pPr>
      <w:r>
        <w:rPr>
          <w:rFonts w:ascii="Arial" w:cs="Arial" w:eastAsia="Arial" w:hAnsi="Arial"/>
          <w:sz w:val="22"/>
          <w:szCs w:val="22"/>
          <w:color w:val="auto"/>
        </w:rPr>
        <w:t xml:space="preserve">8.6.1. </w:t>
      </w:r>
      <w:r>
        <w:rPr>
          <w:rFonts w:ascii="Arial" w:cs="Arial" w:eastAsia="Arial" w:hAnsi="Arial"/>
          <w:sz w:val="22"/>
          <w:szCs w:val="22"/>
          <w:b w:val="1"/>
          <w:bCs w:val="1"/>
          <w:color w:val="auto"/>
        </w:rPr>
        <w:t>Effect of Termination by ImmunoGen under Section 8.3, 8.4 or 8.5 or by CytomX under</w:t>
      </w:r>
      <w:r>
        <w:rPr>
          <w:rFonts w:ascii="Arial" w:cs="Arial" w:eastAsia="Arial" w:hAnsi="Arial"/>
          <w:sz w:val="22"/>
          <w:szCs w:val="22"/>
          <w:color w:val="auto"/>
        </w:rPr>
        <w:t xml:space="preserve"> </w:t>
      </w:r>
      <w:r>
        <w:rPr>
          <w:rFonts w:ascii="Arial" w:cs="Arial" w:eastAsia="Arial" w:hAnsi="Arial"/>
          <w:sz w:val="22"/>
          <w:szCs w:val="22"/>
          <w:b w:val="1"/>
          <w:bCs w:val="1"/>
          <w:color w:val="auto"/>
        </w:rPr>
        <w:t>Section 8.2</w:t>
      </w:r>
      <w:r>
        <w:rPr>
          <w:rFonts w:ascii="Arial" w:cs="Arial" w:eastAsia="Arial" w:hAnsi="Arial"/>
          <w:sz w:val="22"/>
          <w:szCs w:val="22"/>
          <w:color w:val="auto"/>
        </w:rPr>
        <w:t>. If ImmunoGen terminates this Agreement pursuant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8.3</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8.4</w:t>
      </w:r>
      <w:r>
        <w:rPr>
          <w:rFonts w:ascii="Arial" w:cs="Arial" w:eastAsia="Arial" w:hAnsi="Arial"/>
          <w:sz w:val="22"/>
          <w:szCs w:val="22"/>
          <w:b w:val="1"/>
          <w:bCs w:val="1"/>
          <w:color w:val="auto"/>
        </w:rPr>
        <w:t xml:space="preserve"> </w:t>
      </w:r>
      <w:r>
        <w:rPr>
          <w:rFonts w:ascii="Arial" w:cs="Arial" w:eastAsia="Arial" w:hAnsi="Arial"/>
          <w:sz w:val="22"/>
          <w:szCs w:val="22"/>
          <w:color w:val="auto"/>
        </w:rPr>
        <w:t>or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8.5</w:t>
      </w:r>
      <w:r>
        <w:rPr>
          <w:rFonts w:ascii="Arial" w:cs="Arial" w:eastAsia="Arial" w:hAnsi="Arial"/>
          <w:sz w:val="22"/>
          <w:szCs w:val="22"/>
          <w:b w:val="1"/>
          <w:bCs w:val="1"/>
          <w:color w:val="auto"/>
        </w:rPr>
        <w:t xml:space="preserve"> </w:t>
      </w:r>
      <w:r>
        <w:rPr>
          <w:rFonts w:ascii="Arial" w:cs="Arial" w:eastAsia="Arial" w:hAnsi="Arial"/>
          <w:sz w:val="22"/>
          <w:szCs w:val="22"/>
          <w:color w:val="auto"/>
        </w:rPr>
        <w:t>hereof, or CytomX</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terminates this Agreement pursuant to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hereof, then:</w:t>
      </w:r>
    </w:p>
    <w:p>
      <w:pPr>
        <w:spacing w:after="0" w:line="183" w:lineRule="exact"/>
        <w:rPr>
          <w:sz w:val="20"/>
          <w:szCs w:val="20"/>
          <w:color w:val="auto"/>
        </w:rPr>
      </w:pPr>
    </w:p>
    <w:p>
      <w:pPr>
        <w:jc w:val="both"/>
        <w:ind w:left="2640" w:firstLine="2"/>
        <w:spacing w:after="0" w:line="287" w:lineRule="auto"/>
        <w:tabs>
          <w:tab w:leader="none" w:pos="352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the license granted by ImmunoGen to CytomX and its Affiliates under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hereof shall immediately terminate, and CytomX and its Affiliates shall discontinue the use of any Licensed Intellectual Property except, with respect to the Licensed Patent Rights, as otherwise permitted under 35 U.S.C. § 271(e)(1) with respect to activities performed in the United States;</w:t>
      </w:r>
    </w:p>
    <w:p>
      <w:pPr>
        <w:spacing w:after="0" w:line="143" w:lineRule="exact"/>
        <w:rPr>
          <w:rFonts w:ascii="Arial" w:cs="Arial" w:eastAsia="Arial" w:hAnsi="Arial"/>
          <w:sz w:val="19"/>
          <w:szCs w:val="19"/>
          <w:color w:val="auto"/>
        </w:rPr>
      </w:pPr>
    </w:p>
    <w:p>
      <w:pPr>
        <w:ind w:left="2640" w:right="20" w:firstLine="2"/>
        <w:spacing w:after="0" w:line="274" w:lineRule="auto"/>
        <w:tabs>
          <w:tab w:leader="none" w:pos="354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 xml:space="preserve">CytomX and its Affiliates and Sublicensees shall cease any Development and Commercialization of Licensed Products in the Territory, subject to </w:t>
      </w:r>
      <w:r>
        <w:rPr>
          <w:rFonts w:ascii="Arial" w:cs="Arial" w:eastAsia="Arial" w:hAnsi="Arial"/>
          <w:sz w:val="21"/>
          <w:szCs w:val="21"/>
          <w:u w:val="single" w:color="auto"/>
          <w:color w:val="auto"/>
        </w:rPr>
        <w:t>Section 8.6.3</w:t>
      </w:r>
      <w:r>
        <w:rPr>
          <w:rFonts w:ascii="Arial" w:cs="Arial" w:eastAsia="Arial" w:hAnsi="Arial"/>
          <w:sz w:val="21"/>
          <w:szCs w:val="21"/>
          <w:color w:val="auto"/>
        </w:rPr>
        <w:t xml:space="preserve"> hereof; and</w:t>
      </w:r>
    </w:p>
    <w:p>
      <w:pPr>
        <w:spacing w:after="0" w:line="150" w:lineRule="exact"/>
        <w:rPr>
          <w:rFonts w:ascii="Arial" w:cs="Arial" w:eastAsia="Arial" w:hAnsi="Arial"/>
          <w:sz w:val="21"/>
          <w:szCs w:val="21"/>
          <w:color w:val="auto"/>
        </w:rPr>
      </w:pPr>
    </w:p>
    <w:p>
      <w:pPr>
        <w:jc w:val="both"/>
        <w:ind w:left="2640" w:firstLine="2"/>
        <w:spacing w:after="0"/>
        <w:tabs>
          <w:tab w:leader="none" w:pos="352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each Party shall promptly return or destroy all of the other Party’s Confidential Information, provided that each Party may retain, subject to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hereof, (i) one (1) copy of the other Party’s Confidential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13" w:lineRule="exact"/>
        <w:rPr>
          <w:sz w:val="20"/>
          <w:szCs w:val="20"/>
          <w:color w:val="auto"/>
        </w:rPr>
      </w:pPr>
    </w:p>
    <w:p>
      <w:pPr>
        <w:ind w:right="200" w:firstLine="8"/>
        <w:spacing w:after="0" w:line="259" w:lineRule="auto"/>
        <w:tabs>
          <w:tab w:leader="none" w:pos="43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spacing w:after="0" w:line="236" w:lineRule="auto"/>
        <w:rPr>
          <w:sz w:val="20"/>
          <w:szCs w:val="20"/>
          <w:color w:val="auto"/>
        </w:rPr>
      </w:pPr>
      <w:r>
        <w:rPr>
          <w:rFonts w:ascii="Arial" w:cs="Arial" w:eastAsia="Arial" w:hAnsi="Arial"/>
          <w:sz w:val="22"/>
          <w:szCs w:val="22"/>
          <w:color w:val="auto"/>
        </w:rPr>
        <w:t>Information in its archives solely for the purpose of establishing the contents thereof and ensuring compliance with its obligations hereunder, (ii) any Confidential Information of the other Party contained in its laboratory notebooks or databases, and (iii) any Confidential Information of the other Party to the extent reasonably required to exercise its rights and perform its obligations under any other then-outstanding License Agreement,</w:t>
      </w:r>
    </w:p>
    <w:p>
      <w:pPr>
        <w:spacing w:after="0" w:line="182" w:lineRule="exact"/>
        <w:rPr>
          <w:sz w:val="20"/>
          <w:szCs w:val="20"/>
          <w:color w:val="auto"/>
        </w:rPr>
      </w:pPr>
    </w:p>
    <w:p>
      <w:pPr>
        <w:ind w:left="1760"/>
        <w:spacing w:after="0" w:line="256" w:lineRule="auto"/>
        <w:rPr>
          <w:sz w:val="20"/>
          <w:szCs w:val="20"/>
          <w:color w:val="auto"/>
        </w:rPr>
      </w:pPr>
      <w:r>
        <w:rPr>
          <w:rFonts w:ascii="Arial" w:cs="Arial" w:eastAsia="Arial" w:hAnsi="Arial"/>
          <w:sz w:val="22"/>
          <w:szCs w:val="22"/>
          <w:color w:val="auto"/>
        </w:rPr>
        <w:t xml:space="preserve">8.6.2. </w:t>
      </w:r>
      <w:r>
        <w:rPr>
          <w:rFonts w:ascii="Arial" w:cs="Arial" w:eastAsia="Arial" w:hAnsi="Arial"/>
          <w:sz w:val="22"/>
          <w:szCs w:val="22"/>
          <w:b w:val="1"/>
          <w:bCs w:val="1"/>
          <w:color w:val="auto"/>
        </w:rPr>
        <w:t>Effect of Termination by CytomX under Section 83 or 8.4</w:t>
      </w:r>
      <w:r>
        <w:rPr>
          <w:rFonts w:ascii="Arial" w:cs="Arial" w:eastAsia="Arial" w:hAnsi="Arial"/>
          <w:sz w:val="22"/>
          <w:szCs w:val="22"/>
          <w:color w:val="auto"/>
        </w:rPr>
        <w:t xml:space="preserve">. If CytomX terminates this Agreement pursuant to </w:t>
      </w:r>
      <w:r>
        <w:rPr>
          <w:rFonts w:ascii="Arial" w:cs="Arial" w:eastAsia="Arial" w:hAnsi="Arial"/>
          <w:sz w:val="22"/>
          <w:szCs w:val="22"/>
          <w:u w:val="single" w:color="auto"/>
          <w:color w:val="auto"/>
        </w:rPr>
        <w:t>Section 8.3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8.4</w:t>
      </w:r>
      <w:r>
        <w:rPr>
          <w:rFonts w:ascii="Arial" w:cs="Arial" w:eastAsia="Arial" w:hAnsi="Arial"/>
          <w:sz w:val="22"/>
          <w:szCs w:val="22"/>
          <w:color w:val="auto"/>
        </w:rPr>
        <w:t xml:space="preserve"> hereof, then</w:t>
      </w:r>
    </w:p>
    <w:p>
      <w:pPr>
        <w:spacing w:after="0" w:line="169" w:lineRule="exact"/>
        <w:rPr>
          <w:sz w:val="20"/>
          <w:szCs w:val="20"/>
          <w:color w:val="auto"/>
        </w:rPr>
      </w:pPr>
    </w:p>
    <w:p>
      <w:pPr>
        <w:jc w:val="both"/>
        <w:ind w:left="2640" w:firstLine="2"/>
        <w:spacing w:after="0" w:line="274" w:lineRule="auto"/>
        <w:tabs>
          <w:tab w:leader="none" w:pos="352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the license granted to CytomX by ImmunoGen pursuant to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hereof shall continue on the terms set forth herein, subject to CytomX’s continued payment of all milestone and royalty payments in accordance with this Agreement, and on a country-by-country and Licensed Product-by-Licensed Product basis, upon the expiration of the Royalty Term applicable to a Licensed Product in country in accordance with </w:t>
      </w:r>
      <w:r>
        <w:rPr>
          <w:rFonts w:ascii="Arial" w:cs="Arial" w:eastAsia="Arial" w:hAnsi="Arial"/>
          <w:sz w:val="19"/>
          <w:szCs w:val="19"/>
          <w:u w:val="single" w:color="auto"/>
          <w:color w:val="auto"/>
        </w:rPr>
        <w:t>Section 1.134</w:t>
      </w:r>
      <w:r>
        <w:rPr>
          <w:rFonts w:ascii="Arial" w:cs="Arial" w:eastAsia="Arial" w:hAnsi="Arial"/>
          <w:sz w:val="19"/>
          <w:szCs w:val="19"/>
          <w:color w:val="auto"/>
        </w:rPr>
        <w:t xml:space="preserve"> hereof and provided CytomX shall have paid to ImmunoGen all royalty amounts due to ImmunoGen with respect to Net Sales in such country, CytomX and its Affiliates shall thereafter have a fully paid-up, irrevocable, freely transferable ad sublicensable license under the relevant Licensed Intellectual Property, to make, have made, use, sell, offer for sale and import such Licensed Product in such country;</w:t>
      </w:r>
    </w:p>
    <w:p>
      <w:pPr>
        <w:spacing w:after="0" w:line="158" w:lineRule="exact"/>
        <w:rPr>
          <w:rFonts w:ascii="Arial" w:cs="Arial" w:eastAsia="Arial" w:hAnsi="Arial"/>
          <w:sz w:val="19"/>
          <w:szCs w:val="19"/>
          <w:color w:val="auto"/>
        </w:rPr>
      </w:pPr>
    </w:p>
    <w:p>
      <w:pPr>
        <w:ind w:left="2640" w:firstLine="2"/>
        <w:spacing w:after="0" w:line="251" w:lineRule="auto"/>
        <w:tabs>
          <w:tab w:leader="none" w:pos="354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ImmunoGen shall remain entitled to receive payments that accrued before the effective date of such termination; and</w:t>
      </w:r>
    </w:p>
    <w:p>
      <w:pPr>
        <w:spacing w:after="0" w:line="173" w:lineRule="exact"/>
        <w:rPr>
          <w:rFonts w:ascii="Arial" w:cs="Arial" w:eastAsia="Arial" w:hAnsi="Arial"/>
          <w:sz w:val="22"/>
          <w:szCs w:val="22"/>
          <w:color w:val="auto"/>
        </w:rPr>
      </w:pPr>
    </w:p>
    <w:p>
      <w:pPr>
        <w:jc w:val="both"/>
        <w:ind w:left="2640" w:firstLine="2"/>
        <w:spacing w:after="0" w:line="233" w:lineRule="auto"/>
        <w:tabs>
          <w:tab w:leader="none" w:pos="3528" w:val="left"/>
        </w:tabs>
        <w:numPr>
          <w:ilvl w:val="0"/>
          <w:numId w:val="144"/>
        </w:numPr>
        <w:rPr>
          <w:rFonts w:ascii="Arial" w:cs="Arial" w:eastAsia="Arial" w:hAnsi="Arial"/>
          <w:sz w:val="22"/>
          <w:szCs w:val="22"/>
          <w:color w:val="auto"/>
        </w:rPr>
      </w:pPr>
      <w:r>
        <w:rPr>
          <w:rFonts w:ascii="Arial" w:cs="Arial" w:eastAsia="Arial" w:hAnsi="Arial"/>
          <w:sz w:val="22"/>
          <w:szCs w:val="22"/>
          <w:color w:val="auto"/>
        </w:rPr>
        <w:t xml:space="preserve">each Party shall promptly return or destroy all of the other Party’s Confidential Information, provided that each Party may retain, subject to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hereof, (i) one (1) copy of the other Party’s Confidential Information in its archives solely for the purpose of establishing the contents thereof and ensuring compliance with its obligations hereunder, (ii) any Confidential Information of the other Party contained in its laboratory notebooks or databases and (iii) any Confidential Information of the other Party to the extent reasonably required to exercise its rights and perform its obligations under any then-outstanding License Agreement. The foregoing notwithstanding, and subject to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hereof, CytomX may retain and use ImmunoGen’s Confidential Information with respect to the exercise of its rights set forth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or necessary or useful to exercise any other of its rights under this Agreement that survive such termination.</w:t>
      </w:r>
    </w:p>
    <w:p>
      <w:pPr>
        <w:spacing w:after="0" w:line="183" w:lineRule="exact"/>
        <w:rPr>
          <w:sz w:val="20"/>
          <w:szCs w:val="20"/>
          <w:color w:val="auto"/>
        </w:rPr>
      </w:pPr>
    </w:p>
    <w:p>
      <w:pPr>
        <w:ind w:left="1760" w:right="20"/>
        <w:spacing w:after="0" w:line="280" w:lineRule="auto"/>
        <w:rPr>
          <w:sz w:val="20"/>
          <w:szCs w:val="20"/>
          <w:color w:val="auto"/>
        </w:rPr>
      </w:pPr>
      <w:r>
        <w:rPr>
          <w:rFonts w:ascii="Arial" w:cs="Arial" w:eastAsia="Arial" w:hAnsi="Arial"/>
          <w:sz w:val="21"/>
          <w:szCs w:val="21"/>
          <w:color w:val="auto"/>
        </w:rPr>
        <w:t xml:space="preserve">8.6.3. </w:t>
      </w:r>
      <w:r>
        <w:rPr>
          <w:rFonts w:ascii="Arial" w:cs="Arial" w:eastAsia="Arial" w:hAnsi="Arial"/>
          <w:sz w:val="21"/>
          <w:szCs w:val="21"/>
          <w:b w:val="1"/>
          <w:bCs w:val="1"/>
          <w:color w:val="auto"/>
        </w:rPr>
        <w:t>Treatment of Sublicensees on Termination</w:t>
      </w:r>
      <w:r>
        <w:rPr>
          <w:rFonts w:ascii="Arial" w:cs="Arial" w:eastAsia="Arial" w:hAnsi="Arial"/>
          <w:sz w:val="21"/>
          <w:szCs w:val="21"/>
          <w:color w:val="auto"/>
        </w:rPr>
        <w:t>. Notwithstanding the foregoing, ImmunoGen shall permit a Sublicensee of CytomX to become its direct Sublicensee upon notification to ImmunoGen.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13" w:lineRule="exact"/>
        <w:rPr>
          <w:sz w:val="20"/>
          <w:szCs w:val="20"/>
          <w:color w:val="auto"/>
        </w:rPr>
      </w:pPr>
    </w:p>
    <w:p>
      <w:pPr>
        <w:ind w:right="200" w:firstLine="8"/>
        <w:spacing w:after="0" w:line="259" w:lineRule="auto"/>
        <w:tabs>
          <w:tab w:leader="none" w:pos="43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spacing w:after="0" w:line="243" w:lineRule="auto"/>
        <w:rPr>
          <w:sz w:val="20"/>
          <w:szCs w:val="20"/>
          <w:color w:val="auto"/>
        </w:rPr>
      </w:pPr>
      <w:r>
        <w:rPr>
          <w:rFonts w:ascii="Arial" w:cs="Arial" w:eastAsia="Arial" w:hAnsi="Arial"/>
          <w:sz w:val="22"/>
          <w:szCs w:val="22"/>
          <w:color w:val="auto"/>
        </w:rPr>
        <w:t xml:space="preserve">8.6.4. </w:t>
      </w:r>
      <w:r>
        <w:rPr>
          <w:rFonts w:ascii="Arial" w:cs="Arial" w:eastAsia="Arial" w:hAnsi="Arial"/>
          <w:sz w:val="22"/>
          <w:szCs w:val="22"/>
          <w:b w:val="1"/>
          <w:bCs w:val="1"/>
          <w:color w:val="auto"/>
        </w:rPr>
        <w:t>Satisfaction of Obligations During Notice Period</w:t>
      </w:r>
      <w:r>
        <w:rPr>
          <w:rFonts w:ascii="Arial" w:cs="Arial" w:eastAsia="Arial" w:hAnsi="Arial"/>
          <w:sz w:val="22"/>
          <w:szCs w:val="22"/>
          <w:color w:val="auto"/>
        </w:rPr>
        <w:t>. During the period from providing a notice of termination through the termination of the Agreement, the Parties shall continue to perform their obligations under this Agreement.</w:t>
      </w:r>
    </w:p>
    <w:p>
      <w:pPr>
        <w:spacing w:after="0" w:line="177" w:lineRule="exact"/>
        <w:rPr>
          <w:sz w:val="20"/>
          <w:szCs w:val="20"/>
          <w:color w:val="auto"/>
        </w:rPr>
      </w:pPr>
    </w:p>
    <w:p>
      <w:pPr>
        <w:jc w:val="both"/>
        <w:ind w:left="1760"/>
        <w:spacing w:after="0" w:line="245" w:lineRule="auto"/>
        <w:rPr>
          <w:sz w:val="20"/>
          <w:szCs w:val="20"/>
          <w:color w:val="auto"/>
        </w:rPr>
      </w:pPr>
      <w:r>
        <w:rPr>
          <w:rFonts w:ascii="Arial" w:cs="Arial" w:eastAsia="Arial" w:hAnsi="Arial"/>
          <w:sz w:val="21"/>
          <w:szCs w:val="21"/>
          <w:color w:val="auto"/>
        </w:rPr>
        <w:t xml:space="preserve">8.6.5. </w:t>
      </w:r>
      <w:r>
        <w:rPr>
          <w:rFonts w:ascii="Arial" w:cs="Arial" w:eastAsia="Arial" w:hAnsi="Arial"/>
          <w:sz w:val="21"/>
          <w:szCs w:val="21"/>
          <w:b w:val="1"/>
          <w:bCs w:val="1"/>
          <w:color w:val="auto"/>
        </w:rPr>
        <w:t>Pending Dispute Resolution</w:t>
      </w:r>
      <w:r>
        <w:rPr>
          <w:rFonts w:ascii="Arial" w:cs="Arial" w:eastAsia="Arial" w:hAnsi="Arial"/>
          <w:sz w:val="21"/>
          <w:szCs w:val="21"/>
          <w:color w:val="auto"/>
        </w:rPr>
        <w:t xml:space="preserve">. If a Party gives notice of termination and the other Party disputes whether such notice was proper, then the issue of whether this Agreement has been terminated shall be resolved in accordance with </w:t>
      </w:r>
      <w:r>
        <w:rPr>
          <w:rFonts w:ascii="Arial" w:cs="Arial" w:eastAsia="Arial" w:hAnsi="Arial"/>
          <w:sz w:val="21"/>
          <w:szCs w:val="21"/>
          <w:u w:val="single" w:color="auto"/>
          <w:color w:val="auto"/>
        </w:rPr>
        <w:t>Section 10.9</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10.10</w:t>
      </w:r>
      <w:r>
        <w:rPr>
          <w:rFonts w:ascii="Arial" w:cs="Arial" w:eastAsia="Arial" w:hAnsi="Arial"/>
          <w:sz w:val="21"/>
          <w:szCs w:val="21"/>
          <w:color w:val="auto"/>
        </w:rPr>
        <w:t xml:space="preserve"> hereof, as applicable, and this Agreement shall remain in effect pending the resolution of such dispute. If as a result of such dispute resolution process it is determined that the notice of termination was proper, then such termination shall be effective immediately. If as a result of such dispute resolution process it is determined that the notice of termination was improper, then no termination shall have occurred and this Agreement shall remain in effect. Anything contained in this Agreement to the contrary notwithstanding, if the asserted breach is cured or shown to be non-existent within the applicable cure period, the first notice of breach hereunder shall be deemed automatically withdrawn and of no effect.</w:t>
      </w:r>
    </w:p>
    <w:p>
      <w:pPr>
        <w:spacing w:after="0" w:line="182" w:lineRule="exact"/>
        <w:rPr>
          <w:sz w:val="20"/>
          <w:szCs w:val="20"/>
          <w:color w:val="auto"/>
        </w:rPr>
      </w:pPr>
    </w:p>
    <w:p>
      <w:pPr>
        <w:jc w:val="both"/>
        <w:ind w:left="880"/>
        <w:spacing w:after="0" w:line="284"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b w:val="1"/>
          <w:bCs w:val="1"/>
          <w:color w:val="auto"/>
        </w:rPr>
        <w:t>Disposition of Inventories of Products</w:t>
      </w:r>
      <w:r>
        <w:rPr>
          <w:rFonts w:ascii="Arial" w:cs="Arial" w:eastAsia="Arial" w:hAnsi="Arial"/>
          <w:sz w:val="19"/>
          <w:szCs w:val="19"/>
          <w:color w:val="auto"/>
        </w:rPr>
        <w:t xml:space="preserve">. Following termination of this Agreement by ImmunoGen pursuant to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8.4</w:t>
      </w:r>
      <w:r>
        <w:rPr>
          <w:rFonts w:ascii="Arial" w:cs="Arial" w:eastAsia="Arial" w:hAnsi="Arial"/>
          <w:sz w:val="19"/>
          <w:szCs w:val="19"/>
          <w:color w:val="auto"/>
        </w:rPr>
        <w:t xml:space="preserve">, CytomX and its Affiliates and Sublicensees shall have the right to continue to sell their existing inventories of Licensed Product(s) that have received Regulatory Marketing Approval prior to such termination for a period not to exceed six (6) months after the effective date of such termination or expiration and CytomX shall pay any milestones and royalties payable in connection with such sales in accordance with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hereof.</w:t>
      </w:r>
    </w:p>
    <w:p>
      <w:pPr>
        <w:spacing w:after="0" w:line="139" w:lineRule="exact"/>
        <w:rPr>
          <w:sz w:val="20"/>
          <w:szCs w:val="20"/>
          <w:color w:val="auto"/>
        </w:rPr>
      </w:pPr>
    </w:p>
    <w:p>
      <w:pPr>
        <w:jc w:val="both"/>
        <w:ind w:left="880"/>
        <w:spacing w:after="0" w:line="278"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b w:val="1"/>
          <w:bCs w:val="1"/>
          <w:color w:val="auto"/>
        </w:rPr>
        <w:t>Remedies</w:t>
      </w:r>
      <w:r>
        <w:rPr>
          <w:rFonts w:ascii="Arial" w:cs="Arial" w:eastAsia="Arial" w:hAnsi="Arial"/>
          <w:sz w:val="19"/>
          <w:szCs w:val="19"/>
          <w:color w:val="auto"/>
        </w:rPr>
        <w:t xml:space="preserve">. Except in the case of either Party’s breach of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hereof, the rights of the non-breaching Party set forth in </w:t>
      </w:r>
      <w:r>
        <w:rPr>
          <w:rFonts w:ascii="Arial" w:cs="Arial" w:eastAsia="Arial" w:hAnsi="Arial"/>
          <w:sz w:val="19"/>
          <w:szCs w:val="19"/>
          <w:u w:val="single" w:color="auto"/>
          <w:color w:val="auto"/>
        </w:rPr>
        <w:t>Section 8.6</w:t>
      </w:r>
      <w:r>
        <w:rPr>
          <w:rFonts w:ascii="Arial" w:cs="Arial" w:eastAsia="Arial" w:hAnsi="Arial"/>
          <w:sz w:val="19"/>
          <w:szCs w:val="19"/>
          <w:color w:val="auto"/>
        </w:rPr>
        <w:t xml:space="preserve"> hereof shall be the exclusive legal remedy to a Party arising from a Material Breach; provided, however, that (a) in addition to the foregoing legal remedy, the Parties may seek any and all equitable remedies, including, without limitation, declarative and injunctive relief and specific performance in accordance with applicable law, and (b) nothing in this Section shall limit the Parties’ respective rights and obligations with respect to (i) Unauthorized Use of the other Party’s Confidential Information or Proprietary Materials, (ii) unauthorized disclosure of the other Party’s Confidential Information or (iii) indemnification as set forth in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hereof.</w:t>
      </w:r>
    </w:p>
    <w:p>
      <w:pPr>
        <w:spacing w:after="0" w:line="146" w:lineRule="exact"/>
        <w:rPr>
          <w:sz w:val="20"/>
          <w:szCs w:val="20"/>
          <w:color w:val="auto"/>
        </w:rPr>
      </w:pPr>
    </w:p>
    <w:p>
      <w:pPr>
        <w:jc w:val="both"/>
        <w:ind w:left="880"/>
        <w:spacing w:after="0" w:line="251" w:lineRule="auto"/>
        <w:rPr>
          <w:sz w:val="20"/>
          <w:szCs w:val="20"/>
          <w:color w:val="auto"/>
        </w:rPr>
      </w:pPr>
      <w:r>
        <w:rPr>
          <w:rFonts w:ascii="Arial" w:cs="Arial" w:eastAsia="Arial" w:hAnsi="Arial"/>
          <w:sz w:val="21"/>
          <w:szCs w:val="21"/>
          <w:color w:val="auto"/>
        </w:rPr>
        <w:t xml:space="preserve">8.9 </w:t>
      </w:r>
      <w:r>
        <w:rPr>
          <w:rFonts w:ascii="Arial" w:cs="Arial" w:eastAsia="Arial" w:hAnsi="Arial"/>
          <w:sz w:val="21"/>
          <w:szCs w:val="21"/>
          <w:b w:val="1"/>
          <w:bCs w:val="1"/>
          <w:color w:val="auto"/>
        </w:rPr>
        <w:t>Survival of Certain Obligations</w:t>
      </w:r>
      <w:r>
        <w:rPr>
          <w:rFonts w:ascii="Arial" w:cs="Arial" w:eastAsia="Arial" w:hAnsi="Arial"/>
          <w:sz w:val="21"/>
          <w:szCs w:val="21"/>
          <w:color w:val="auto"/>
        </w:rPr>
        <w:t xml:space="preserve">. Expiration or termination of this Agreement shall not relieve the Parties of any obligation that accrued before such expiration or termination. The following provisions shall survive expiration or termination of this Agreement: </w:t>
      </w:r>
      <w:r>
        <w:rPr>
          <w:rFonts w:ascii="Arial" w:cs="Arial" w:eastAsia="Arial" w:hAnsi="Arial"/>
          <w:sz w:val="21"/>
          <w:szCs w:val="21"/>
          <w:u w:val="single" w:color="auto"/>
          <w:color w:val="auto"/>
        </w:rPr>
        <w:t>Sections 2.5.2</w:t>
      </w:r>
      <w:r>
        <w:rPr>
          <w:rFonts w:ascii="Arial" w:cs="Arial" w:eastAsia="Arial" w:hAnsi="Arial"/>
          <w:sz w:val="21"/>
          <w:szCs w:val="21"/>
          <w:color w:val="auto"/>
        </w:rPr>
        <w:t xml:space="preserve">, </w:t>
      </w:r>
      <w:r>
        <w:rPr>
          <w:rFonts w:ascii="Arial" w:cs="Arial" w:eastAsia="Arial" w:hAnsi="Arial"/>
          <w:sz w:val="21"/>
          <w:szCs w:val="21"/>
          <w:u w:val="single" w:color="auto"/>
          <w:color w:val="auto"/>
        </w:rPr>
        <w:t>2.5.3</w:t>
      </w:r>
      <w:r>
        <w:rPr>
          <w:rFonts w:ascii="Arial" w:cs="Arial" w:eastAsia="Arial" w:hAnsi="Arial"/>
          <w:sz w:val="21"/>
          <w:szCs w:val="21"/>
          <w:color w:val="auto"/>
        </w:rPr>
        <w:t xml:space="preserve">, </w:t>
      </w:r>
      <w:r>
        <w:rPr>
          <w:rFonts w:ascii="Arial" w:cs="Arial" w:eastAsia="Arial" w:hAnsi="Arial"/>
          <w:sz w:val="21"/>
          <w:szCs w:val="21"/>
          <w:u w:val="single" w:color="auto"/>
          <w:color w:val="auto"/>
        </w:rPr>
        <w:t>2.5.4</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3.3</w:t>
      </w:r>
      <w:r>
        <w:rPr>
          <w:rFonts w:ascii="Arial" w:cs="Arial" w:eastAsia="Arial" w:hAnsi="Arial"/>
          <w:sz w:val="21"/>
          <w:szCs w:val="21"/>
          <w:color w:val="auto"/>
        </w:rPr>
        <w:t xml:space="preserve">, </w:t>
      </w:r>
      <w:r>
        <w:rPr>
          <w:rFonts w:ascii="Arial" w:cs="Arial" w:eastAsia="Arial" w:hAnsi="Arial"/>
          <w:sz w:val="21"/>
          <w:szCs w:val="21"/>
          <w:u w:val="single" w:color="auto"/>
          <w:color w:val="auto"/>
        </w:rPr>
        <w:t>Articles 4</w:t>
      </w:r>
      <w:r>
        <w:rPr>
          <w:rFonts w:ascii="Arial" w:cs="Arial" w:eastAsia="Arial" w:hAnsi="Arial"/>
          <w:sz w:val="21"/>
          <w:szCs w:val="21"/>
          <w:color w:val="auto"/>
        </w:rPr>
        <w:t xml:space="preserve">. </w:t>
      </w:r>
      <w:r>
        <w:rPr>
          <w:rFonts w:ascii="Arial" w:cs="Arial" w:eastAsia="Arial" w:hAnsi="Arial"/>
          <w:sz w:val="21"/>
          <w:szCs w:val="21"/>
          <w:u w:val="single" w:color="auto"/>
          <w:color w:val="auto"/>
        </w:rPr>
        <w:t>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6</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Sections 7.6</w:t>
      </w:r>
      <w:r>
        <w:rPr>
          <w:rFonts w:ascii="Arial" w:cs="Arial" w:eastAsia="Arial" w:hAnsi="Arial"/>
          <w:sz w:val="21"/>
          <w:szCs w:val="21"/>
          <w:color w:val="auto"/>
        </w:rPr>
        <w:t xml:space="preserve">, </w:t>
      </w:r>
      <w:r>
        <w:rPr>
          <w:rFonts w:ascii="Arial" w:cs="Arial" w:eastAsia="Arial" w:hAnsi="Arial"/>
          <w:sz w:val="21"/>
          <w:szCs w:val="21"/>
          <w:u w:val="single" w:color="auto"/>
          <w:color w:val="auto"/>
        </w:rPr>
        <w:t>8.1</w:t>
      </w:r>
      <w:r>
        <w:rPr>
          <w:rFonts w:ascii="Arial" w:cs="Arial" w:eastAsia="Arial" w:hAnsi="Arial"/>
          <w:sz w:val="21"/>
          <w:szCs w:val="21"/>
          <w:color w:val="auto"/>
        </w:rPr>
        <w:t xml:space="preserve">, </w:t>
      </w:r>
      <w:r>
        <w:rPr>
          <w:rFonts w:ascii="Arial" w:cs="Arial" w:eastAsia="Arial" w:hAnsi="Arial"/>
          <w:sz w:val="21"/>
          <w:szCs w:val="21"/>
          <w:u w:val="single" w:color="auto"/>
          <w:color w:val="auto"/>
        </w:rPr>
        <w:t>8.6</w:t>
      </w:r>
      <w:r>
        <w:rPr>
          <w:rFonts w:ascii="Arial" w:cs="Arial" w:eastAsia="Arial" w:hAnsi="Arial"/>
          <w:sz w:val="21"/>
          <w:szCs w:val="21"/>
          <w:color w:val="auto"/>
        </w:rPr>
        <w:t xml:space="preserve">, </w:t>
      </w:r>
      <w:r>
        <w:rPr>
          <w:rFonts w:ascii="Arial" w:cs="Arial" w:eastAsia="Arial" w:hAnsi="Arial"/>
          <w:sz w:val="21"/>
          <w:szCs w:val="21"/>
          <w:u w:val="single" w:color="auto"/>
          <w:color w:val="auto"/>
        </w:rPr>
        <w:t>8.7</w:t>
      </w:r>
      <w:r>
        <w:rPr>
          <w:rFonts w:ascii="Arial" w:cs="Arial" w:eastAsia="Arial" w:hAnsi="Arial"/>
          <w:sz w:val="21"/>
          <w:szCs w:val="21"/>
          <w:color w:val="auto"/>
        </w:rPr>
        <w:t xml:space="preserve"> (for the period set forth therein), </w:t>
      </w:r>
      <w:r>
        <w:rPr>
          <w:rFonts w:ascii="Arial" w:cs="Arial" w:eastAsia="Arial" w:hAnsi="Arial"/>
          <w:sz w:val="21"/>
          <w:szCs w:val="21"/>
          <w:u w:val="single" w:color="auto"/>
          <w:color w:val="auto"/>
        </w:rPr>
        <w:t>8.8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8.9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Articles 9</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10</w:t>
      </w:r>
      <w:r>
        <w:rPr>
          <w:rFonts w:ascii="Arial" w:cs="Arial" w:eastAsia="Arial" w:hAnsi="Arial"/>
          <w:sz w:val="21"/>
          <w:szCs w:val="21"/>
          <w:color w:val="auto"/>
        </w:rPr>
        <w:t>. For avoidance of doubt, any other Section that explicitly states it survives expiration or termination of this Agreement shall so survive.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13" w:lineRule="exact"/>
        <w:rPr>
          <w:sz w:val="20"/>
          <w:szCs w:val="20"/>
          <w:color w:val="auto"/>
        </w:rPr>
      </w:pPr>
    </w:p>
    <w:p>
      <w:pPr>
        <w:ind w:right="200" w:firstLine="8"/>
        <w:spacing w:after="0" w:line="259" w:lineRule="auto"/>
        <w:tabs>
          <w:tab w:leader="none" w:pos="43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880" w:hanging="872"/>
        <w:spacing w:after="0"/>
        <w:tabs>
          <w:tab w:leader="none" w:pos="88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ON LIABILITY, INDEMNIFICATION AND INSURANCE.</w:t>
      </w:r>
    </w:p>
    <w:p>
      <w:pPr>
        <w:spacing w:after="0" w:line="206" w:lineRule="exact"/>
        <w:rPr>
          <w:rFonts w:ascii="Arial" w:cs="Arial" w:eastAsia="Arial" w:hAnsi="Arial"/>
          <w:sz w:val="22"/>
          <w:szCs w:val="22"/>
          <w:b w:val="1"/>
          <w:bCs w:val="1"/>
          <w:color w:val="auto"/>
        </w:rPr>
      </w:pPr>
    </w:p>
    <w:p>
      <w:pPr>
        <w:jc w:val="both"/>
        <w:ind w:left="880"/>
        <w:spacing w:after="0" w:line="245" w:lineRule="auto"/>
        <w:rPr>
          <w:rFonts w:ascii="Arial" w:cs="Arial" w:eastAsia="Arial" w:hAnsi="Arial"/>
          <w:sz w:val="22"/>
          <w:szCs w:val="22"/>
          <w:b w:val="1"/>
          <w:bCs w:val="1"/>
          <w:color w:val="auto"/>
        </w:rPr>
      </w:pPr>
      <w:r>
        <w:rPr>
          <w:rFonts w:ascii="Arial" w:cs="Arial" w:eastAsia="Arial" w:hAnsi="Arial"/>
          <w:sz w:val="21"/>
          <w:szCs w:val="21"/>
          <w:color w:val="auto"/>
        </w:rPr>
        <w:t xml:space="preserve">9.1 </w:t>
      </w:r>
      <w:r>
        <w:rPr>
          <w:rFonts w:ascii="Arial" w:cs="Arial" w:eastAsia="Arial" w:hAnsi="Arial"/>
          <w:sz w:val="21"/>
          <w:szCs w:val="21"/>
          <w:b w:val="1"/>
          <w:bCs w:val="1"/>
          <w:color w:val="auto"/>
        </w:rPr>
        <w:t>No Consequential Damages</w:t>
      </w:r>
      <w:r>
        <w:rPr>
          <w:rFonts w:ascii="Arial" w:cs="Arial" w:eastAsia="Arial" w:hAnsi="Arial"/>
          <w:sz w:val="21"/>
          <w:szCs w:val="21"/>
          <w:color w:val="auto"/>
        </w:rPr>
        <w:t xml:space="preserve">. Except with respect to liability arising from a breach of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hereof, in no event will either Party, its Affiliates or any of its or its Affiliates’ respective Representatives be liable under this Agreement for any special, indirect, incidental, consequential or punitive or exemplary damages, whether in contract, warranty, tort, negligence, strict liability or otherwise, (a) including loss of profits or revenue suffered by either Party or any of its respective Affiliates or Representatives or (b) cost of procurement of substitute goods, technology or services, even if either Party is informed in advance of the possibility of such damages and even if the remedies provided for in this Agreement fail of their essential purpose. For purposes of clarity, a Party’s monetary liability under a Third Party Claim for such Third Party’s special, indirect, incidental or consequential damages or for any punitive or exemplary damages payable in connection with such Third Party Claim, shall be deemed to be the direct damages of such Party for purposes of this </w:t>
      </w:r>
      <w:r>
        <w:rPr>
          <w:rFonts w:ascii="Arial" w:cs="Arial" w:eastAsia="Arial" w:hAnsi="Arial"/>
          <w:sz w:val="21"/>
          <w:szCs w:val="21"/>
          <w:u w:val="single" w:color="auto"/>
          <w:color w:val="auto"/>
        </w:rPr>
        <w:t>Article 9</w:t>
      </w:r>
      <w:r>
        <w:rPr>
          <w:rFonts w:ascii="Arial" w:cs="Arial" w:eastAsia="Arial" w:hAnsi="Arial"/>
          <w:sz w:val="21"/>
          <w:szCs w:val="21"/>
          <w:color w:val="auto"/>
        </w:rPr>
        <w:t>.</w:t>
      </w:r>
    </w:p>
    <w:p>
      <w:pPr>
        <w:spacing w:after="0" w:line="181" w:lineRule="exact"/>
        <w:rPr>
          <w:rFonts w:ascii="Arial" w:cs="Arial" w:eastAsia="Arial" w:hAnsi="Arial"/>
          <w:sz w:val="22"/>
          <w:szCs w:val="22"/>
          <w:b w:val="1"/>
          <w:bCs w:val="1"/>
          <w:color w:val="auto"/>
        </w:rPr>
      </w:pPr>
    </w:p>
    <w:p>
      <w:pPr>
        <w:jc w:val="both"/>
        <w:ind w:left="880"/>
        <w:spacing w:after="0" w:line="272" w:lineRule="auto"/>
        <w:rPr>
          <w:rFonts w:ascii="Arial" w:cs="Arial" w:eastAsia="Arial" w:hAnsi="Arial"/>
          <w:sz w:val="22"/>
          <w:szCs w:val="22"/>
          <w:b w:val="1"/>
          <w:bCs w:val="1"/>
          <w:color w:val="auto"/>
        </w:rPr>
      </w:pPr>
      <w:r>
        <w:rPr>
          <w:rFonts w:ascii="Arial" w:cs="Arial" w:eastAsia="Arial" w:hAnsi="Arial"/>
          <w:sz w:val="19"/>
          <w:szCs w:val="19"/>
          <w:color w:val="auto"/>
        </w:rPr>
        <w:t xml:space="preserve">9.2 </w:t>
      </w:r>
      <w:r>
        <w:rPr>
          <w:rFonts w:ascii="Arial" w:cs="Arial" w:eastAsia="Arial" w:hAnsi="Arial"/>
          <w:sz w:val="19"/>
          <w:szCs w:val="19"/>
          <w:b w:val="1"/>
          <w:bCs w:val="1"/>
          <w:color w:val="auto"/>
        </w:rPr>
        <w:t>Indemnification by ImmunoGen</w:t>
      </w:r>
      <w:r>
        <w:rPr>
          <w:rFonts w:ascii="Arial" w:cs="Arial" w:eastAsia="Arial" w:hAnsi="Arial"/>
          <w:sz w:val="19"/>
          <w:szCs w:val="19"/>
          <w:color w:val="auto"/>
        </w:rPr>
        <w:t>. ImmunoGen will indemnify, defend and hold harmless CytomX, its Affiliates and each of its and their respective employees, officers, directors and agents (each, a “</w:t>
      </w:r>
      <w:r>
        <w:rPr>
          <w:rFonts w:ascii="Arial" w:cs="Arial" w:eastAsia="Arial" w:hAnsi="Arial"/>
          <w:sz w:val="19"/>
          <w:szCs w:val="19"/>
          <w:b w:val="1"/>
          <w:bCs w:val="1"/>
          <w:color w:val="auto"/>
        </w:rPr>
        <w:t>CytomX 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Party</w:t>
      </w:r>
      <w:r>
        <w:rPr>
          <w:rFonts w:ascii="Arial" w:cs="Arial" w:eastAsia="Arial" w:hAnsi="Arial"/>
          <w:sz w:val="19"/>
          <w:szCs w:val="19"/>
          <w:color w:val="auto"/>
        </w:rPr>
        <w:t>”) from and against any and all liability, loss, damage, expense (including reasonable attorneys’ fees and expenses)</w:t>
      </w:r>
      <w:r>
        <w:rPr>
          <w:rFonts w:ascii="Arial" w:cs="Arial" w:eastAsia="Arial" w:hAnsi="Arial"/>
          <w:sz w:val="19"/>
          <w:szCs w:val="19"/>
          <w:b w:val="1"/>
          <w:bCs w:val="1"/>
          <w:color w:val="auto"/>
        </w:rPr>
        <w:t xml:space="preserve"> </w:t>
      </w:r>
      <w:r>
        <w:rPr>
          <w:rFonts w:ascii="Arial" w:cs="Arial" w:eastAsia="Arial" w:hAnsi="Arial"/>
          <w:sz w:val="19"/>
          <w:szCs w:val="19"/>
          <w:color w:val="auto"/>
        </w:rPr>
        <w:t>and cost (collectively, a “</w:t>
      </w:r>
      <w:r>
        <w:rPr>
          <w:rFonts w:ascii="Arial" w:cs="Arial" w:eastAsia="Arial" w:hAnsi="Arial"/>
          <w:sz w:val="19"/>
          <w:szCs w:val="19"/>
          <w:b w:val="1"/>
          <w:bCs w:val="1"/>
          <w:color w:val="auto"/>
        </w:rPr>
        <w:t>Liability</w:t>
      </w:r>
      <w:r>
        <w:rPr>
          <w:rFonts w:ascii="Arial" w:cs="Arial" w:eastAsia="Arial" w:hAnsi="Arial"/>
          <w:sz w:val="19"/>
          <w:szCs w:val="19"/>
          <w:color w:val="auto"/>
        </w:rPr>
        <w:t>”) as a direct result of any Third Party claims, suits, actions, demands or judgments, including, without limitation, personal injury and product liability matters (collectively, “</w:t>
      </w:r>
      <w:r>
        <w:rPr>
          <w:rFonts w:ascii="Arial" w:cs="Arial" w:eastAsia="Arial" w:hAnsi="Arial"/>
          <w:sz w:val="19"/>
          <w:szCs w:val="19"/>
          <w:b w:val="1"/>
          <w:bCs w:val="1"/>
          <w:color w:val="auto"/>
        </w:rPr>
        <w:t>Third Party Claims</w:t>
      </w:r>
      <w:r>
        <w:rPr>
          <w:rFonts w:ascii="Arial" w:cs="Arial" w:eastAsia="Arial" w:hAnsi="Arial"/>
          <w:sz w:val="19"/>
          <w:szCs w:val="19"/>
          <w:color w:val="auto"/>
        </w:rPr>
        <w:t xml:space="preserve">”) arising out of a Material Breach of this Agreement by ImmunoGen, except, in each case, to the extent any such Third Party Claim or Liability results from a Material Breach of this Agreement by CytomX, the Development, Manufacture, Commercialization or use (including, without limitation, the production, manufacture, promotion, import, sale or use by any Person) of any Licensed Product by, on behalf of, or under the authority of, CytomX or any of its Affiliates, Sublicensees, subcontractors, distributors or agents (other than an ImmunoGen Indemnified Party), or the negligence, recklessness or intentional acts of CytomX or any of its Affiliates, Sublicensees, subcontractors, distributors or agents; provided that with respect to any Third Party Claim for which CytomX also has an obligation to indemnify any ImmunoGen Indemnified Party pursuant to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hereof, ImmunoGen shall indemnify each CytomX Indemnified Party for its Liability to the extent of ImmunoGen’s responsibility, relative to CytomX (or to Persons for whom CytomX is legally responsible), for the facts underlying the Third Party Claim.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13" w:lineRule="exact"/>
        <w:rPr>
          <w:sz w:val="20"/>
          <w:szCs w:val="20"/>
          <w:color w:val="auto"/>
        </w:rPr>
      </w:pPr>
    </w:p>
    <w:p>
      <w:pPr>
        <w:ind w:right="200" w:firstLine="8"/>
        <w:spacing w:after="0" w:line="259" w:lineRule="auto"/>
        <w:tabs>
          <w:tab w:leader="none" w:pos="43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spacing w:after="0" w:line="239"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b w:val="1"/>
          <w:bCs w:val="1"/>
          <w:color w:val="auto"/>
        </w:rPr>
        <w:t>Indemnification by CytomX</w:t>
      </w:r>
      <w:r>
        <w:rPr>
          <w:rFonts w:ascii="Arial" w:cs="Arial" w:eastAsia="Arial" w:hAnsi="Arial"/>
          <w:sz w:val="22"/>
          <w:szCs w:val="22"/>
          <w:color w:val="auto"/>
        </w:rPr>
        <w:t>. CytomX will indemnify, defend and hold harmless ImmunoGen, its Affiliates, contractors, distributors and each of its and their respective employees, officers, directors and agents (each, a “</w:t>
      </w:r>
      <w:r>
        <w:rPr>
          <w:rFonts w:ascii="Arial" w:cs="Arial" w:eastAsia="Arial" w:hAnsi="Arial"/>
          <w:sz w:val="22"/>
          <w:szCs w:val="22"/>
          <w:b w:val="1"/>
          <w:bCs w:val="1"/>
          <w:color w:val="auto"/>
        </w:rPr>
        <w:t>ImmunoGen Indemnified Party</w:t>
      </w:r>
      <w:r>
        <w:rPr>
          <w:rFonts w:ascii="Arial" w:cs="Arial" w:eastAsia="Arial" w:hAnsi="Arial"/>
          <w:sz w:val="22"/>
          <w:szCs w:val="22"/>
          <w:color w:val="auto"/>
        </w:rPr>
        <w:t>”) from and against any and all Liabilities as a direct result of any Third Party Claims arising out of:</w:t>
      </w:r>
    </w:p>
    <w:p>
      <w:pPr>
        <w:spacing w:after="0" w:line="187" w:lineRule="exact"/>
        <w:rPr>
          <w:sz w:val="20"/>
          <w:szCs w:val="20"/>
          <w:color w:val="auto"/>
        </w:rPr>
      </w:pPr>
    </w:p>
    <w:p>
      <w:pPr>
        <w:jc w:val="both"/>
        <w:ind w:left="2640" w:firstLine="2"/>
        <w:spacing w:after="0" w:line="287" w:lineRule="auto"/>
        <w:tabs>
          <w:tab w:leader="none" w:pos="3528"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Development, Manufacture, Commercialization or use (including, without limitation, the production, manufacture, promotion, import, sale or use by any Person) of any Licensed Product by, on behalf of, or under the authority of, CytomX or any of its Affiliates, Sublicensees, subcontractors, distributors or agents (other than by any ImmunoGen Indemnified Party); or</w:t>
      </w:r>
    </w:p>
    <w:p>
      <w:pPr>
        <w:spacing w:after="0" w:line="143" w:lineRule="exact"/>
        <w:rPr>
          <w:rFonts w:ascii="Arial" w:cs="Arial" w:eastAsia="Arial" w:hAnsi="Arial"/>
          <w:sz w:val="19"/>
          <w:szCs w:val="19"/>
          <w:color w:val="auto"/>
        </w:rPr>
      </w:pPr>
    </w:p>
    <w:p>
      <w:pPr>
        <w:ind w:left="3540" w:hanging="898"/>
        <w:spacing w:after="0"/>
        <w:tabs>
          <w:tab w:leader="none" w:pos="354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 Material Breach of this Agreement by CytomX;</w:t>
      </w:r>
    </w:p>
    <w:p>
      <w:pPr>
        <w:spacing w:after="0" w:line="206" w:lineRule="exact"/>
        <w:rPr>
          <w:sz w:val="20"/>
          <w:szCs w:val="20"/>
          <w:color w:val="auto"/>
        </w:rPr>
      </w:pPr>
    </w:p>
    <w:p>
      <w:pPr>
        <w:jc w:val="both"/>
        <w:ind w:left="880"/>
        <w:spacing w:after="0" w:line="248" w:lineRule="auto"/>
        <w:rPr>
          <w:sz w:val="20"/>
          <w:szCs w:val="20"/>
          <w:color w:val="auto"/>
        </w:rPr>
      </w:pPr>
      <w:r>
        <w:rPr>
          <w:rFonts w:ascii="Arial" w:cs="Arial" w:eastAsia="Arial" w:hAnsi="Arial"/>
          <w:sz w:val="21"/>
          <w:szCs w:val="21"/>
          <w:color w:val="auto"/>
        </w:rPr>
        <w:t xml:space="preserve">except to the extent any such Third Party Claim or Liability results from a Material Breach of this Agreement by ImmunoGen or the negligence, recklessness or intentional acts of ImmunoGen or any ImmunoGen Indemnified Party; provided that with respect to any Third Party Claim for which ImmunoGen also has an obligation to indemnify any CytomX Indemnified Party pursuant to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hereof, CytomX shall indemnify each ImmunoGen Indemnified Party for its Liability to the extent of CytomX’s responsibility, relative to ImmunoGen (or to Persons for whom ImmunoGen is legally responsible), for the facts underlying the Third Party Claim.</w:t>
      </w:r>
    </w:p>
    <w:p>
      <w:pPr>
        <w:spacing w:after="0" w:line="171"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b w:val="1"/>
          <w:bCs w:val="1"/>
          <w:color w:val="auto"/>
        </w:rPr>
        <w:t>Procedure</w:t>
      </w:r>
      <w:r>
        <w:rPr>
          <w:rFonts w:ascii="Arial" w:cs="Arial" w:eastAsia="Arial" w:hAnsi="Arial"/>
          <w:sz w:val="19"/>
          <w:szCs w:val="19"/>
          <w:color w:val="auto"/>
        </w:rPr>
        <w:t>.</w:t>
      </w:r>
    </w:p>
    <w:p>
      <w:pPr>
        <w:spacing w:after="0" w:line="206" w:lineRule="exact"/>
        <w:rPr>
          <w:sz w:val="20"/>
          <w:szCs w:val="20"/>
          <w:color w:val="auto"/>
        </w:rPr>
      </w:pPr>
    </w:p>
    <w:p>
      <w:pPr>
        <w:jc w:val="both"/>
        <w:ind w:left="1760"/>
        <w:spacing w:after="0" w:line="235" w:lineRule="auto"/>
        <w:rPr>
          <w:sz w:val="20"/>
          <w:szCs w:val="20"/>
          <w:color w:val="auto"/>
        </w:rPr>
      </w:pPr>
      <w:r>
        <w:rPr>
          <w:rFonts w:ascii="Arial" w:cs="Arial" w:eastAsia="Arial" w:hAnsi="Arial"/>
          <w:sz w:val="22"/>
          <w:szCs w:val="22"/>
          <w:color w:val="auto"/>
        </w:rPr>
        <w:t xml:space="preserve">9.4.1. </w:t>
      </w:r>
      <w:r>
        <w:rPr>
          <w:rFonts w:ascii="Arial" w:cs="Arial" w:eastAsia="Arial" w:hAnsi="Arial"/>
          <w:sz w:val="22"/>
          <w:szCs w:val="22"/>
          <w:b w:val="1"/>
          <w:bCs w:val="1"/>
          <w:color w:val="auto"/>
        </w:rPr>
        <w:t>Notice</w:t>
      </w:r>
      <w:r>
        <w:rPr>
          <w:rFonts w:ascii="Arial" w:cs="Arial" w:eastAsia="Arial" w:hAnsi="Arial"/>
          <w:sz w:val="22"/>
          <w:szCs w:val="22"/>
          <w:color w:val="auto"/>
        </w:rPr>
        <w:t>. Each Party will notify the other Party in writing in the event it becomes aware of a claim for which indemnification may be sought hereunder. In the event that any Third Party asserts a claim or other proceeding (including any governmental investigation) with respect to any matter for which a Party (the “</w:t>
      </w:r>
      <w:r>
        <w:rPr>
          <w:rFonts w:ascii="Arial" w:cs="Arial" w:eastAsia="Arial" w:hAnsi="Arial"/>
          <w:sz w:val="22"/>
          <w:szCs w:val="22"/>
          <w:b w:val="1"/>
          <w:bCs w:val="1"/>
          <w:color w:val="auto"/>
        </w:rPr>
        <w:t>Indemnified Party</w:t>
      </w:r>
      <w:r>
        <w:rPr>
          <w:rFonts w:ascii="Arial" w:cs="Arial" w:eastAsia="Arial" w:hAnsi="Arial"/>
          <w:sz w:val="22"/>
          <w:szCs w:val="22"/>
          <w:color w:val="auto"/>
        </w:rPr>
        <w:t>”) is entitled to indemnification hereunder, then the Indemnified Party shall promptly notify the Party obligated to indemnify the Indemnified Party (the “</w:t>
      </w:r>
      <w:r>
        <w:rPr>
          <w:rFonts w:ascii="Arial" w:cs="Arial" w:eastAsia="Arial" w:hAnsi="Arial"/>
          <w:sz w:val="22"/>
          <w:szCs w:val="22"/>
          <w:b w:val="1"/>
          <w:bCs w:val="1"/>
          <w:color w:val="auto"/>
        </w:rPr>
        <w:t>Indemnifying Party</w:t>
      </w:r>
      <w:r>
        <w:rPr>
          <w:rFonts w:ascii="Arial" w:cs="Arial" w:eastAsia="Arial" w:hAnsi="Arial"/>
          <w:sz w:val="22"/>
          <w:szCs w:val="22"/>
          <w:color w:val="auto"/>
        </w:rPr>
        <w:t>”) thereof; provided, however, that no delay on the part of the Indemnified Party in notifying the Indemnifying Party shall relieve the Indemnifying Party from any obligation hereunder unless (and then only to the extent that) the Indemnifying Party is prejudiced thereby.</w:t>
      </w:r>
    </w:p>
    <w:p>
      <w:pPr>
        <w:spacing w:after="0" w:line="179" w:lineRule="exact"/>
        <w:rPr>
          <w:sz w:val="20"/>
          <w:szCs w:val="20"/>
          <w:color w:val="auto"/>
        </w:rPr>
      </w:pPr>
    </w:p>
    <w:p>
      <w:pPr>
        <w:jc w:val="both"/>
        <w:ind w:left="1760"/>
        <w:spacing w:after="0" w:line="247" w:lineRule="auto"/>
        <w:rPr>
          <w:sz w:val="20"/>
          <w:szCs w:val="20"/>
          <w:color w:val="auto"/>
        </w:rPr>
      </w:pPr>
      <w:r>
        <w:rPr>
          <w:rFonts w:ascii="Arial" w:cs="Arial" w:eastAsia="Arial" w:hAnsi="Arial"/>
          <w:sz w:val="21"/>
          <w:szCs w:val="21"/>
          <w:color w:val="auto"/>
        </w:rPr>
        <w:t xml:space="preserve">9.4.2. </w:t>
      </w:r>
      <w:r>
        <w:rPr>
          <w:rFonts w:ascii="Arial" w:cs="Arial" w:eastAsia="Arial" w:hAnsi="Arial"/>
          <w:sz w:val="21"/>
          <w:szCs w:val="21"/>
          <w:b w:val="1"/>
          <w:bCs w:val="1"/>
          <w:color w:val="auto"/>
        </w:rPr>
        <w:t>Control</w:t>
      </w:r>
      <w:r>
        <w:rPr>
          <w:rFonts w:ascii="Arial" w:cs="Arial" w:eastAsia="Arial" w:hAnsi="Arial"/>
          <w:sz w:val="21"/>
          <w:szCs w:val="21"/>
          <w:color w:val="auto"/>
        </w:rPr>
        <w:t>. The Indemnifying Party shall have the right, at its sole cost and expense, exercisable by notice to the Indemnified Party within ten (10) Business Days 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The Indemnified Party shall cooperate, and shall cause its Affiliates and agents to cooperate upon request of the Indemnifying Party, in the defense or prosecution of the Third Party Claim, including by furnishing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13" w:lineRule="exact"/>
        <w:rPr>
          <w:sz w:val="20"/>
          <w:szCs w:val="20"/>
          <w:color w:val="auto"/>
        </w:rPr>
      </w:pPr>
    </w:p>
    <w:p>
      <w:pPr>
        <w:ind w:right="200" w:firstLine="8"/>
        <w:spacing w:after="0" w:line="259" w:lineRule="auto"/>
        <w:tabs>
          <w:tab w:leader="none" w:pos="4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49" w:lineRule="auto"/>
        <w:rPr>
          <w:sz w:val="20"/>
          <w:szCs w:val="20"/>
          <w:color w:val="auto"/>
        </w:rPr>
      </w:pPr>
      <w:r>
        <w:rPr>
          <w:rFonts w:ascii="Arial" w:cs="Arial" w:eastAsia="Arial" w:hAnsi="Arial"/>
          <w:sz w:val="21"/>
          <w:szCs w:val="21"/>
          <w:color w:val="auto"/>
        </w:rPr>
        <w:t>records, information and testimony and attending such conferences, discovery proceedings, hearings, trials or appeals as may reasonably be requested by the Indemnifying Party. The Indemnified Party shall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173" w:lineRule="exact"/>
        <w:rPr>
          <w:sz w:val="20"/>
          <w:szCs w:val="20"/>
          <w:color w:val="auto"/>
        </w:rPr>
      </w:pPr>
    </w:p>
    <w:p>
      <w:pPr>
        <w:jc w:val="both"/>
        <w:ind w:left="1760"/>
        <w:spacing w:after="0" w:line="233" w:lineRule="auto"/>
        <w:rPr>
          <w:sz w:val="20"/>
          <w:szCs w:val="20"/>
          <w:color w:val="auto"/>
        </w:rPr>
      </w:pPr>
      <w:r>
        <w:rPr>
          <w:rFonts w:ascii="Arial" w:cs="Arial" w:eastAsia="Arial" w:hAnsi="Arial"/>
          <w:sz w:val="22"/>
          <w:szCs w:val="22"/>
          <w:color w:val="auto"/>
        </w:rPr>
        <w:t xml:space="preserve">9.4.3. </w:t>
      </w:r>
      <w:r>
        <w:rPr>
          <w:rFonts w:ascii="Arial" w:cs="Arial" w:eastAsia="Arial" w:hAnsi="Arial"/>
          <w:sz w:val="22"/>
          <w:szCs w:val="22"/>
          <w:b w:val="1"/>
          <w:bCs w:val="1"/>
          <w:color w:val="auto"/>
        </w:rPr>
        <w:t>Settlement</w:t>
      </w:r>
      <w:r>
        <w:rPr>
          <w:rFonts w:ascii="Arial" w:cs="Arial" w:eastAsia="Arial" w:hAnsi="Arial"/>
          <w:sz w:val="22"/>
          <w:szCs w:val="22"/>
          <w:color w:val="auto"/>
        </w:rPr>
        <w:t>. Neither the Indemnifying Party nor the Indemnified Party shall enter into any compromise or settlement of a Third Party Claim for which the right to indemnification hereunder has been asserted without the Indemnified Party’s prior written consent, which consent shall not be unreasonably withheld, conditioned or delayed; provided that the Indemnifying Party may, without the Indemnified Party’s prior written consent, agree or consent to any settlement or other resolution of such Third Party Claim which requires solely money damages paid by the Indemnifying Party, and which includes as an unconditional term thereof the giving by such claimant or plaintiff to the Indemnified Party of a release from all liability in respect of such Third Party Claim. Each of the Indemnifying Party and the Indemnified Party shall not make any admission of liability in respect of any Third Party Claim without the prior written consent of the other Party, and the Indemnified Party shall use reasonable efforts to mitigate Liabilities arising from such Third Party Claim.</w:t>
      </w:r>
    </w:p>
    <w:p>
      <w:pPr>
        <w:spacing w:after="0" w:line="189" w:lineRule="exact"/>
        <w:rPr>
          <w:sz w:val="20"/>
          <w:szCs w:val="20"/>
          <w:color w:val="auto"/>
        </w:rPr>
      </w:pPr>
    </w:p>
    <w:p>
      <w:pPr>
        <w:jc w:val="both"/>
        <w:ind w:left="880"/>
        <w:spacing w:after="0" w:line="273" w:lineRule="auto"/>
        <w:rPr>
          <w:sz w:val="20"/>
          <w:szCs w:val="20"/>
          <w:color w:val="auto"/>
        </w:rPr>
      </w:pPr>
      <w:r>
        <w:rPr>
          <w:rFonts w:ascii="Arial" w:cs="Arial" w:eastAsia="Arial" w:hAnsi="Arial"/>
          <w:sz w:val="19"/>
          <w:szCs w:val="19"/>
          <w:color w:val="auto"/>
        </w:rPr>
        <w:t xml:space="preserve">9.5 </w:t>
      </w:r>
      <w:r>
        <w:rPr>
          <w:rFonts w:ascii="Arial" w:cs="Arial" w:eastAsia="Arial" w:hAnsi="Arial"/>
          <w:sz w:val="19"/>
          <w:szCs w:val="19"/>
          <w:b w:val="1"/>
          <w:bCs w:val="1"/>
          <w:color w:val="auto"/>
        </w:rPr>
        <w:t>Insurance</w:t>
      </w:r>
      <w:r>
        <w:rPr>
          <w:rFonts w:ascii="Arial" w:cs="Arial" w:eastAsia="Arial" w:hAnsi="Arial"/>
          <w:sz w:val="19"/>
          <w:szCs w:val="19"/>
          <w:color w:val="auto"/>
        </w:rPr>
        <w:t xml:space="preserve">. Each Party shall obtain and maintain, during the Term, commercial general liability insurance, including products liability insurance, with reputable and financially secure insurance carriers (or pursuant to a program of self-insurance reasonably satisfactory to the other Party) to cover its indemnification obligations under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9.3</w:t>
      </w:r>
      <w:r>
        <w:rPr>
          <w:rFonts w:ascii="Arial" w:cs="Arial" w:eastAsia="Arial" w:hAnsi="Arial"/>
          <w:sz w:val="19"/>
          <w:szCs w:val="19"/>
          <w:color w:val="auto"/>
        </w:rPr>
        <w:t xml:space="preserve"> hereof with respect to bodily injury (including death) and damage to property, as applicable, in each case with limits of not less than $3,000,000 per occurrence and in the aggregate. Insurance (other than permitted self-insurance) shall be procured with carriers having an A.M. Best Rating of A-VII or better. Any indemnification payment hereunder shall be made net of any insurance proceeds which the Indemnified Party is entitled to recover; provided, however, that if, following the payment to the Indemnified Party of any amount under this </w:t>
      </w:r>
      <w:r>
        <w:rPr>
          <w:rFonts w:ascii="Arial" w:cs="Arial" w:eastAsia="Arial" w:hAnsi="Arial"/>
          <w:sz w:val="19"/>
          <w:szCs w:val="19"/>
          <w:u w:val="single" w:color="auto"/>
          <w:color w:val="auto"/>
        </w:rPr>
        <w:t>Article 9</w:t>
      </w:r>
      <w:r>
        <w:rPr>
          <w:rFonts w:ascii="Arial" w:cs="Arial" w:eastAsia="Arial" w:hAnsi="Arial"/>
          <w:sz w:val="19"/>
          <w:szCs w:val="19"/>
          <w:color w:val="auto"/>
        </w:rPr>
        <w:t>, such Indemnified Party becomes entitled to recover any insurance proceeds in respect of the claim for which such indemnification payment was made, the Indemnified Party shall promptly pay an amount equal to the amount of such proceeds (but not exceeding the amount of such indemnification payment) to the Indemnifying Party.</w:t>
      </w:r>
    </w:p>
    <w:p>
      <w:pPr>
        <w:spacing w:after="0" w:line="156" w:lineRule="exact"/>
        <w:rPr>
          <w:sz w:val="20"/>
          <w:szCs w:val="20"/>
          <w:color w:val="auto"/>
        </w:rPr>
      </w:pPr>
    </w:p>
    <w:p>
      <w:pPr>
        <w:ind w:left="880" w:hanging="872"/>
        <w:spacing w:after="0"/>
        <w:tabs>
          <w:tab w:leader="none" w:pos="880" w:val="left"/>
        </w:tabs>
        <w:numPr>
          <w:ilvl w:val="0"/>
          <w:numId w:val="15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rFonts w:ascii="Arial" w:cs="Arial" w:eastAsia="Arial" w:hAnsi="Arial"/>
          <w:sz w:val="22"/>
          <w:szCs w:val="22"/>
          <w:b w:val="1"/>
          <w:bCs w:val="1"/>
          <w:color w:val="auto"/>
        </w:rPr>
      </w:pPr>
    </w:p>
    <w:p>
      <w:pPr>
        <w:jc w:val="both"/>
        <w:ind w:left="88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 xml:space="preserve">10.1 </w:t>
      </w:r>
      <w:r>
        <w:rPr>
          <w:rFonts w:ascii="Arial" w:cs="Arial" w:eastAsia="Arial" w:hAnsi="Arial"/>
          <w:sz w:val="22"/>
          <w:szCs w:val="22"/>
          <w:b w:val="1"/>
          <w:bCs w:val="1"/>
          <w:color w:val="auto"/>
        </w:rPr>
        <w:t>Assignment</w:t>
      </w:r>
      <w:r>
        <w:rPr>
          <w:rFonts w:ascii="Arial" w:cs="Arial" w:eastAsia="Arial" w:hAnsi="Arial"/>
          <w:sz w:val="22"/>
          <w:szCs w:val="22"/>
          <w:color w:val="auto"/>
        </w:rPr>
        <w:t>. Neither Party may assign this Agreement without the prior written consent of the other Party, which consent will not be unreasonably withheld, conditioned or delayed; provided, however, that such consent shall not be required in connection with any assignment of this Agreement to an Affiliate of the assigned Party, or to a Third Party in connection with the transfer or sale of the business to which this Agreement relates, or to any successor Person resulting from any merger or consolidation of such Party with or into such Person, provided that the assignee shall have agreed in writing to assume all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13" w:lineRule="exact"/>
        <w:rPr>
          <w:sz w:val="20"/>
          <w:szCs w:val="20"/>
          <w:color w:val="auto"/>
        </w:rPr>
      </w:pPr>
    </w:p>
    <w:p>
      <w:pPr>
        <w:ind w:right="200" w:firstLine="8"/>
        <w:spacing w:after="0" w:line="259" w:lineRule="auto"/>
        <w:tabs>
          <w:tab w:leader="none" w:pos="43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 xml:space="preserve">the assignor’s obligations hereunder, and provided, further, that the other Party shall be notified promptly after such assignment has been effected.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purported assignment not in accordance with this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shall be null and void.</w:t>
      </w:r>
    </w:p>
    <w:p>
      <w:pPr>
        <w:spacing w:after="0" w:line="182" w:lineRule="exact"/>
        <w:rPr>
          <w:sz w:val="20"/>
          <w:szCs w:val="20"/>
          <w:color w:val="auto"/>
        </w:rPr>
      </w:pPr>
    </w:p>
    <w:p>
      <w:pPr>
        <w:jc w:val="both"/>
        <w:ind w:left="880"/>
        <w:spacing w:after="0" w:line="335"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b w:val="1"/>
          <w:bCs w:val="1"/>
          <w:color w:val="auto"/>
        </w:rPr>
        <w:t>Further Actions</w:t>
      </w:r>
      <w:r>
        <w:rPr>
          <w:rFonts w:ascii="Arial" w:cs="Arial" w:eastAsia="Arial" w:hAnsi="Arial"/>
          <w:sz w:val="19"/>
          <w:szCs w:val="19"/>
          <w:color w:val="auto"/>
        </w:rPr>
        <w:t>. Each Party agrees to execute, acknowledge and deliver such further instruments, and to do all such other acts, as may be necessary or appropriate in order to carry out the purposes and intent of the Agreement.</w:t>
      </w:r>
    </w:p>
    <w:p>
      <w:pPr>
        <w:spacing w:after="0" w:line="92" w:lineRule="exact"/>
        <w:rPr>
          <w:sz w:val="20"/>
          <w:szCs w:val="20"/>
          <w:color w:val="auto"/>
        </w:rPr>
      </w:pPr>
    </w:p>
    <w:p>
      <w:pPr>
        <w:jc w:val="both"/>
        <w:ind w:left="880"/>
        <w:spacing w:after="0" w:line="275"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b w:val="1"/>
          <w:bCs w:val="1"/>
          <w:color w:val="auto"/>
        </w:rPr>
        <w:t>Force Majeure</w:t>
      </w:r>
      <w:r>
        <w:rPr>
          <w:rFonts w:ascii="Arial" w:cs="Arial" w:eastAsia="Arial" w:hAnsi="Arial"/>
          <w:sz w:val="19"/>
          <w:szCs w:val="19"/>
          <w:color w:val="auto"/>
        </w:rPr>
        <w:t xml:space="preserve">. Each Party shall be excused from the performance of its obligations under this Agreement to the extent that such performance is prevented by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(defined below) and the nonperforming Party promptly provides notice of the prevention to the other Party. Such excuse shall be continued so long as the condition constituting </w:t>
      </w:r>
      <w:r>
        <w:rPr>
          <w:rFonts w:ascii="Arial" w:cs="Arial" w:eastAsia="Arial" w:hAnsi="Arial"/>
          <w:sz w:val="19"/>
          <w:szCs w:val="19"/>
          <w:i w:val="1"/>
          <w:iCs w:val="1"/>
          <w:color w:val="auto"/>
        </w:rPr>
        <w:t xml:space="preserve">force majeure </w:t>
      </w:r>
      <w:r>
        <w:rPr>
          <w:rFonts w:ascii="Arial" w:cs="Arial" w:eastAsia="Arial" w:hAnsi="Arial"/>
          <w:sz w:val="19"/>
          <w:szCs w:val="19"/>
          <w:color w:val="auto"/>
        </w:rPr>
        <w:t>continues and the nonperforming Party takes Commercially Reasonable Efforts to resume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For purposes of this Agreement,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shall include conditions beyond the control of the Parties, including an act of God, voluntary or involuntary compliance with any Applicable Law or order of any government, war, act of terror, civil commotion, labor strike or lock-out, epidemic, failure or default of public utilities or common carriers, or destruction of production facilities or materials by fire, earthquake, storm or like catastrophe; provided that financial inability to pay in and of itself shall not be considered to be a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event.</w:t>
      </w:r>
    </w:p>
    <w:p>
      <w:pPr>
        <w:spacing w:after="0" w:line="151" w:lineRule="exact"/>
        <w:rPr>
          <w:sz w:val="20"/>
          <w:szCs w:val="20"/>
          <w:color w:val="auto"/>
        </w:rPr>
      </w:pPr>
    </w:p>
    <w:p>
      <w:pPr>
        <w:jc w:val="both"/>
        <w:ind w:left="880"/>
        <w:spacing w:after="0" w:line="247"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b w:val="1"/>
          <w:bCs w:val="1"/>
          <w:color w:val="auto"/>
        </w:rPr>
        <w:t>Notices</w:t>
      </w:r>
      <w:r>
        <w:rPr>
          <w:rFonts w:ascii="Arial" w:cs="Arial" w:eastAsia="Arial" w:hAnsi="Arial"/>
          <w:sz w:val="21"/>
          <w:szCs w:val="21"/>
          <w:color w:val="auto"/>
        </w:rPr>
        <w:t xml:space="preserve">. Any notice or notification required or permitted to be provided pursuant to the terms and conditions of this Agreement (including any notice of </w:t>
      </w:r>
      <w:r>
        <w:rPr>
          <w:rFonts w:ascii="Arial" w:cs="Arial" w:eastAsia="Arial" w:hAnsi="Arial"/>
          <w:sz w:val="21"/>
          <w:szCs w:val="21"/>
          <w:i w:val="1"/>
          <w:iCs w:val="1"/>
          <w:color w:val="auto"/>
        </w:rPr>
        <w:t>force majeure,</w:t>
      </w:r>
      <w:r>
        <w:rPr>
          <w:rFonts w:ascii="Arial" w:cs="Arial" w:eastAsia="Arial" w:hAnsi="Arial"/>
          <w:sz w:val="21"/>
          <w:szCs w:val="21"/>
          <w:color w:val="auto"/>
        </w:rPr>
        <w:t xml:space="preserve"> breach, termination, change of address, etc.) shall be in writing and shall be deemed given upon receipt if delivered personally or by facsimile transmission (receipt verified), five (5) Business Days after deposited in the mail if mailed by certified mail (return receipt requested) postage prepaid, or on the next Business Day if sent by overnight delivery using a nationally recognized express courier service and specifying next Business Day delivery (receipt verified), to the Parties at the following addresses or facsimile numbers (or at such other address or facsimile number for a Party as shall be specified by like notice, provided, however, that notices of a change of address shall be effective only upon receipt thereof):</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All correspondence to ImmunoGen shall be addressed as follows:</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ImmunoGen, Inc.</w:t>
      </w:r>
    </w:p>
    <w:p>
      <w:pPr>
        <w:ind w:left="4500"/>
        <w:spacing w:after="0" w:line="238" w:lineRule="auto"/>
        <w:rPr>
          <w:sz w:val="20"/>
          <w:szCs w:val="20"/>
          <w:color w:val="auto"/>
        </w:rPr>
      </w:pPr>
      <w:r>
        <w:rPr>
          <w:rFonts w:ascii="Arial" w:cs="Arial" w:eastAsia="Arial" w:hAnsi="Arial"/>
          <w:sz w:val="22"/>
          <w:szCs w:val="22"/>
          <w:color w:val="auto"/>
        </w:rPr>
        <w:t>830 Winter Street</w:t>
      </w:r>
    </w:p>
    <w:p>
      <w:pPr>
        <w:ind w:left="4500"/>
        <w:spacing w:after="0" w:line="230" w:lineRule="auto"/>
        <w:rPr>
          <w:sz w:val="20"/>
          <w:szCs w:val="20"/>
          <w:color w:val="auto"/>
        </w:rPr>
      </w:pPr>
      <w:r>
        <w:rPr>
          <w:rFonts w:ascii="Arial" w:cs="Arial" w:eastAsia="Arial" w:hAnsi="Arial"/>
          <w:sz w:val="22"/>
          <w:szCs w:val="22"/>
          <w:color w:val="auto"/>
        </w:rPr>
        <w:t>Waltham, MA 02451</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Attn: Vice President, Business Development</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Fax: [***]</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13" w:lineRule="exact"/>
        <w:rPr>
          <w:sz w:val="20"/>
          <w:szCs w:val="20"/>
          <w:color w:val="auto"/>
        </w:rPr>
      </w:pPr>
    </w:p>
    <w:p>
      <w:pPr>
        <w:ind w:right="200" w:firstLine="8"/>
        <w:spacing w:after="0" w:line="259" w:lineRule="auto"/>
        <w:tabs>
          <w:tab w:leader="none" w:pos="43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ind w:left="3360"/>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All correspondence to CytomX shall be addressed as follows:</w:t>
      </w:r>
    </w:p>
    <w:p>
      <w:pPr>
        <w:spacing w:after="0" w:line="20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CytomX Therapeutics, Inc.</w:t>
      </w:r>
    </w:p>
    <w:p>
      <w:pPr>
        <w:ind w:left="4500"/>
        <w:spacing w:after="0" w:line="238" w:lineRule="auto"/>
        <w:rPr>
          <w:sz w:val="20"/>
          <w:szCs w:val="20"/>
          <w:color w:val="auto"/>
        </w:rPr>
      </w:pPr>
      <w:r>
        <w:rPr>
          <w:rFonts w:ascii="Arial" w:cs="Arial" w:eastAsia="Arial" w:hAnsi="Arial"/>
          <w:sz w:val="22"/>
          <w:szCs w:val="22"/>
          <w:color w:val="auto"/>
        </w:rPr>
        <w:t>343 Oyster Point Blvd., Suite 100</w:t>
      </w:r>
    </w:p>
    <w:p>
      <w:pPr>
        <w:ind w:left="4500"/>
        <w:spacing w:after="0" w:line="230" w:lineRule="auto"/>
        <w:rPr>
          <w:sz w:val="20"/>
          <w:szCs w:val="20"/>
          <w:color w:val="auto"/>
        </w:rPr>
      </w:pPr>
      <w:r>
        <w:rPr>
          <w:rFonts w:ascii="Arial" w:cs="Arial" w:eastAsia="Arial" w:hAnsi="Arial"/>
          <w:sz w:val="22"/>
          <w:szCs w:val="22"/>
          <w:color w:val="auto"/>
        </w:rPr>
        <w:t>South San Francisco, CA 94080-7014</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Attn: CEO</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Fax: [***]</w:t>
      </w:r>
    </w:p>
    <w:p>
      <w:pPr>
        <w:spacing w:after="0" w:line="206" w:lineRule="exact"/>
        <w:rPr>
          <w:sz w:val="20"/>
          <w:szCs w:val="20"/>
          <w:color w:val="auto"/>
        </w:rPr>
      </w:pPr>
    </w:p>
    <w:p>
      <w:pPr>
        <w:jc w:val="both"/>
        <w:ind w:left="880"/>
        <w:spacing w:after="0" w:line="236" w:lineRule="auto"/>
        <w:rPr>
          <w:sz w:val="20"/>
          <w:szCs w:val="20"/>
          <w:color w:val="auto"/>
        </w:rPr>
      </w:pPr>
      <w:r>
        <w:rPr>
          <w:rFonts w:ascii="Arial" w:cs="Arial" w:eastAsia="Arial" w:hAnsi="Arial"/>
          <w:sz w:val="22"/>
          <w:szCs w:val="22"/>
          <w:color w:val="auto"/>
        </w:rPr>
        <w:t>To help expedite the other Party’s awareness and response, copies of notices may be provided to the other Party by email but must be supplemented by one of the following methods: (a) personal delivery, (b) first class certified mail with return receipt requested, or (c) next-day delivery by major international courier, with confirmation of delivery. Electronic copies may be sent via email to [***] at CytomX and to [***] at ImmunoGen so long as such individuals remain employed by CytomX or ImmunoGen, respectively.</w:t>
      </w:r>
    </w:p>
    <w:p>
      <w:pPr>
        <w:spacing w:after="0" w:line="182" w:lineRule="exact"/>
        <w:rPr>
          <w:sz w:val="20"/>
          <w:szCs w:val="20"/>
          <w:color w:val="auto"/>
        </w:rPr>
      </w:pPr>
    </w:p>
    <w:p>
      <w:pPr>
        <w:jc w:val="both"/>
        <w:ind w:left="880" w:right="20"/>
        <w:spacing w:after="0" w:line="256"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b w:val="1"/>
          <w:bCs w:val="1"/>
          <w:color w:val="auto"/>
        </w:rPr>
        <w:t>Amendment</w:t>
      </w:r>
      <w:r>
        <w:rPr>
          <w:rFonts w:ascii="Arial" w:cs="Arial" w:eastAsia="Arial" w:hAnsi="Arial"/>
          <w:sz w:val="22"/>
          <w:szCs w:val="22"/>
          <w:color w:val="auto"/>
        </w:rPr>
        <w:t>. No amendment, modification or supplement of any provision of this Agreement shall be valid or effective unless made in writing and signed by a duly authorized officer of the Party to be bound.</w:t>
      </w:r>
    </w:p>
    <w:p>
      <w:pPr>
        <w:spacing w:after="0" w:line="163" w:lineRule="exact"/>
        <w:rPr>
          <w:sz w:val="20"/>
          <w:szCs w:val="20"/>
          <w:color w:val="auto"/>
        </w:rPr>
      </w:pPr>
    </w:p>
    <w:p>
      <w:pPr>
        <w:jc w:val="both"/>
        <w:ind w:left="880"/>
        <w:spacing w:after="0" w:line="237"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22"/>
          <w:szCs w:val="22"/>
          <w:b w:val="1"/>
          <w:bCs w:val="1"/>
          <w:color w:val="auto"/>
        </w:rPr>
        <w:t>Waiver</w:t>
      </w:r>
      <w:r>
        <w:rPr>
          <w:rFonts w:ascii="Arial" w:cs="Arial" w:eastAsia="Arial" w:hAnsi="Arial"/>
          <w:sz w:val="22"/>
          <w:szCs w:val="22"/>
          <w:color w:val="auto"/>
        </w:rPr>
        <w:t>. No provision of this Agreement shall be waived by any act, omission or knowledge of a Party or its agents or employees except by an instrument in writing expressly waiving such provision and signed by a duly authorized officer of the waiving Party. The waiver by either of the Parties of any breach of any provision hereof by the other Party shall not be construed to be a waiver of any succeeding breach of such provision or a waiver of the provision itself.</w:t>
      </w:r>
    </w:p>
    <w:p>
      <w:pPr>
        <w:spacing w:after="0" w:line="183" w:lineRule="exact"/>
        <w:rPr>
          <w:sz w:val="20"/>
          <w:szCs w:val="20"/>
          <w:color w:val="auto"/>
        </w:rPr>
      </w:pPr>
    </w:p>
    <w:p>
      <w:pPr>
        <w:jc w:val="both"/>
        <w:ind w:left="880"/>
        <w:spacing w:after="0" w:line="280"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b w:val="1"/>
          <w:bCs w:val="1"/>
          <w:color w:val="auto"/>
        </w:rPr>
        <w:t>Severability</w:t>
      </w:r>
      <w:r>
        <w:rPr>
          <w:rFonts w:ascii="Arial" w:cs="Arial" w:eastAsia="Arial" w:hAnsi="Arial"/>
          <w:sz w:val="19"/>
          <w:szCs w:val="19"/>
          <w:color w:val="auto"/>
        </w:rPr>
        <w:t>. If any clause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or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145" w:lineRule="exact"/>
        <w:rPr>
          <w:sz w:val="20"/>
          <w:szCs w:val="20"/>
          <w:color w:val="auto"/>
        </w:rPr>
      </w:pPr>
    </w:p>
    <w:p>
      <w:pPr>
        <w:jc w:val="both"/>
        <w:ind w:left="880" w:right="20"/>
        <w:spacing w:after="0" w:line="256"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b w:val="1"/>
          <w:bCs w:val="1"/>
          <w:color w:val="auto"/>
        </w:rPr>
        <w:t>Descriptive Headings</w:t>
      </w:r>
      <w:r>
        <w:rPr>
          <w:rFonts w:ascii="Arial" w:cs="Arial" w:eastAsia="Arial" w:hAnsi="Arial"/>
          <w:sz w:val="22"/>
          <w:szCs w:val="22"/>
          <w:color w:val="auto"/>
        </w:rPr>
        <w:t>. The descriptive headings of this Agreement are for convenience only and shall be of no force or effect in construing or interpreting any of the provisions of this Agreement.</w:t>
      </w:r>
    </w:p>
    <w:p>
      <w:pPr>
        <w:spacing w:after="0" w:line="163" w:lineRule="exact"/>
        <w:rPr>
          <w:sz w:val="20"/>
          <w:szCs w:val="20"/>
          <w:color w:val="auto"/>
        </w:rPr>
      </w:pPr>
    </w:p>
    <w:p>
      <w:pPr>
        <w:jc w:val="both"/>
        <w:ind w:left="880"/>
        <w:spacing w:after="0" w:line="248"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b w:val="1"/>
          <w:bCs w:val="1"/>
          <w:color w:val="auto"/>
        </w:rPr>
        <w:t>Dispute Resolution</w:t>
      </w:r>
      <w:r>
        <w:rPr>
          <w:rFonts w:ascii="Arial" w:cs="Arial" w:eastAsia="Arial" w:hAnsi="Arial"/>
          <w:sz w:val="21"/>
          <w:szCs w:val="21"/>
          <w:color w:val="auto"/>
        </w:rPr>
        <w:t xml:space="preserve">. The Parties recognize that a </w:t>
      </w:r>
      <w:r>
        <w:rPr>
          <w:rFonts w:ascii="Arial" w:cs="Arial" w:eastAsia="Arial" w:hAnsi="Arial"/>
          <w:sz w:val="21"/>
          <w:szCs w:val="21"/>
          <w:i w:val="1"/>
          <w:iCs w:val="1"/>
          <w:color w:val="auto"/>
        </w:rPr>
        <w:t>bona fide</w:t>
      </w:r>
      <w:r>
        <w:rPr>
          <w:rFonts w:ascii="Arial" w:cs="Arial" w:eastAsia="Arial" w:hAnsi="Arial"/>
          <w:sz w:val="21"/>
          <w:szCs w:val="21"/>
          <w:color w:val="auto"/>
        </w:rPr>
        <w:t xml:space="preserve"> 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hereof or disputes relating to the determination of the validity, scope, infringement, enforceability, inventorship or ownership of the Parties’ respective Patent Rights (hereinafter, a “</w:t>
      </w:r>
      <w:r>
        <w:rPr>
          <w:rFonts w:ascii="Arial" w:cs="Arial" w:eastAsia="Arial" w:hAnsi="Arial"/>
          <w:sz w:val="21"/>
          <w:szCs w:val="21"/>
          <w:b w:val="1"/>
          <w:bCs w:val="1"/>
          <w:color w:val="auto"/>
        </w:rPr>
        <w:t>Dispute</w:t>
      </w:r>
      <w:r>
        <w:rPr>
          <w:rFonts w:ascii="Arial" w:cs="Arial" w:eastAsia="Arial" w:hAnsi="Arial"/>
          <w:sz w:val="21"/>
          <w:szCs w:val="21"/>
          <w:color w:val="auto"/>
        </w:rPr>
        <w:t>”). In the event of the occurrence of any Dispute, the Parties shall follow the following procedures in an attempt to resolve the dispute or disagreement: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13" w:lineRule="exact"/>
        <w:rPr>
          <w:sz w:val="20"/>
          <w:szCs w:val="20"/>
          <w:color w:val="auto"/>
        </w:rPr>
      </w:pPr>
    </w:p>
    <w:p>
      <w:pPr>
        <w:ind w:right="200" w:firstLine="8"/>
        <w:spacing w:after="0" w:line="259" w:lineRule="auto"/>
        <w:tabs>
          <w:tab w:leader="none" w:pos="43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1760" w:right="20"/>
        <w:spacing w:after="0" w:line="256" w:lineRule="auto"/>
        <w:rPr>
          <w:sz w:val="20"/>
          <w:szCs w:val="20"/>
          <w:color w:val="auto"/>
        </w:rPr>
      </w:pPr>
      <w:r>
        <w:rPr>
          <w:rFonts w:ascii="Arial" w:cs="Arial" w:eastAsia="Arial" w:hAnsi="Arial"/>
          <w:sz w:val="22"/>
          <w:szCs w:val="22"/>
          <w:color w:val="auto"/>
        </w:rPr>
        <w:t>10.9.1. The Party claiming that such a Dispute exists shall give notice in writing (a “</w:t>
      </w:r>
      <w:r>
        <w:rPr>
          <w:rFonts w:ascii="Arial" w:cs="Arial" w:eastAsia="Arial" w:hAnsi="Arial"/>
          <w:sz w:val="22"/>
          <w:szCs w:val="22"/>
          <w:b w:val="1"/>
          <w:bCs w:val="1"/>
          <w:color w:val="auto"/>
        </w:rPr>
        <w:t>Notice of Dispute</w:t>
      </w:r>
      <w:r>
        <w:rPr>
          <w:rFonts w:ascii="Arial" w:cs="Arial" w:eastAsia="Arial" w:hAnsi="Arial"/>
          <w:sz w:val="22"/>
          <w:szCs w:val="22"/>
          <w:color w:val="auto"/>
        </w:rPr>
        <w:t>”) to the other Party of the nature of the Dispute.</w:t>
      </w:r>
    </w:p>
    <w:p>
      <w:pPr>
        <w:spacing w:after="0" w:line="169"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10.9.2. Within fourteen (14) days of receipt of a Notice of Dispute, the ImmunoGen Alliance Manager and the CytomX Alliance Manager shall meet in person or by teleconference and exchange written summaries reflecting, in reasonable detail, the nature and extent of the Dispute, and at this meeting they shall use their reasonable endeavors to resolve the Dispute.</w:t>
      </w:r>
    </w:p>
    <w:p>
      <w:pPr>
        <w:spacing w:after="0" w:line="185" w:lineRule="exact"/>
        <w:rPr>
          <w:sz w:val="20"/>
          <w:szCs w:val="20"/>
          <w:color w:val="auto"/>
        </w:rPr>
      </w:pPr>
    </w:p>
    <w:p>
      <w:pPr>
        <w:jc w:val="both"/>
        <w:ind w:left="1760"/>
        <w:spacing w:after="0" w:line="273" w:lineRule="auto"/>
        <w:rPr>
          <w:sz w:val="20"/>
          <w:szCs w:val="20"/>
          <w:color w:val="auto"/>
        </w:rPr>
      </w:pPr>
      <w:r>
        <w:rPr>
          <w:rFonts w:ascii="Arial" w:cs="Arial" w:eastAsia="Arial" w:hAnsi="Arial"/>
          <w:sz w:val="19"/>
          <w:szCs w:val="19"/>
          <w:color w:val="auto"/>
        </w:rPr>
        <w:t xml:space="preserve">10.9.3. If the Alliance Managers are unable to resolve the Dispute during the meeting described in </w:t>
      </w:r>
      <w:r>
        <w:rPr>
          <w:rFonts w:ascii="Arial" w:cs="Arial" w:eastAsia="Arial" w:hAnsi="Arial"/>
          <w:sz w:val="19"/>
          <w:szCs w:val="19"/>
          <w:u w:val="single" w:color="auto"/>
          <w:color w:val="auto"/>
        </w:rPr>
        <w:t>Section 10.9.2</w:t>
      </w:r>
      <w:r>
        <w:rPr>
          <w:rFonts w:ascii="Arial" w:cs="Arial" w:eastAsia="Arial" w:hAnsi="Arial"/>
          <w:sz w:val="19"/>
          <w:szCs w:val="19"/>
          <w:color w:val="auto"/>
        </w:rPr>
        <w:t xml:space="preserve"> hereof or if for any reason such meeting does not take place within the period specified in </w:t>
      </w:r>
      <w:r>
        <w:rPr>
          <w:rFonts w:ascii="Arial" w:cs="Arial" w:eastAsia="Arial" w:hAnsi="Arial"/>
          <w:sz w:val="19"/>
          <w:szCs w:val="19"/>
          <w:u w:val="single" w:color="auto"/>
          <w:color w:val="auto"/>
        </w:rPr>
        <w:t>Section 10.9.2</w:t>
      </w:r>
      <w:r>
        <w:rPr>
          <w:rFonts w:ascii="Arial" w:cs="Arial" w:eastAsia="Arial" w:hAnsi="Arial"/>
          <w:sz w:val="19"/>
          <w:szCs w:val="19"/>
          <w:color w:val="auto"/>
        </w:rPr>
        <w:t xml:space="preserve"> hereof, then the Dispute will be referred to the JDC which shall meet no later than forty-five</w:t>
      </w:r>
    </w:p>
    <w:p>
      <w:pPr>
        <w:spacing w:after="0" w:line="2" w:lineRule="exact"/>
        <w:rPr>
          <w:sz w:val="20"/>
          <w:szCs w:val="20"/>
          <w:color w:val="auto"/>
        </w:rPr>
      </w:pPr>
    </w:p>
    <w:p>
      <w:pPr>
        <w:ind w:left="1760" w:right="20" w:firstLine="3"/>
        <w:spacing w:after="0" w:line="237" w:lineRule="auto"/>
        <w:tabs>
          <w:tab w:leader="none" w:pos="22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days following the initial receipt of the Notice of Dispute and use reasonable endeavors to resolve the Dispute.</w:t>
      </w:r>
    </w:p>
    <w:p>
      <w:pPr>
        <w:spacing w:after="0" w:line="185" w:lineRule="exact"/>
        <w:rPr>
          <w:sz w:val="20"/>
          <w:szCs w:val="20"/>
          <w:color w:val="auto"/>
        </w:rPr>
      </w:pPr>
    </w:p>
    <w:p>
      <w:pPr>
        <w:jc w:val="both"/>
        <w:ind w:left="1760"/>
        <w:spacing w:after="0" w:line="287" w:lineRule="auto"/>
        <w:rPr>
          <w:sz w:val="20"/>
          <w:szCs w:val="20"/>
          <w:color w:val="auto"/>
        </w:rPr>
      </w:pPr>
      <w:r>
        <w:rPr>
          <w:rFonts w:ascii="Arial" w:cs="Arial" w:eastAsia="Arial" w:hAnsi="Arial"/>
          <w:sz w:val="19"/>
          <w:szCs w:val="19"/>
          <w:color w:val="auto"/>
        </w:rPr>
        <w:t xml:space="preserve">10.9.4. If the JDC is unable to resolve the Dispute during the meeting described in </w:t>
      </w:r>
      <w:r>
        <w:rPr>
          <w:rFonts w:ascii="Arial" w:cs="Arial" w:eastAsia="Arial" w:hAnsi="Arial"/>
          <w:sz w:val="19"/>
          <w:szCs w:val="19"/>
          <w:u w:val="single" w:color="auto"/>
          <w:color w:val="auto"/>
        </w:rPr>
        <w:t>Section 10.9.3</w:t>
      </w:r>
      <w:r>
        <w:rPr>
          <w:rFonts w:ascii="Arial" w:cs="Arial" w:eastAsia="Arial" w:hAnsi="Arial"/>
          <w:sz w:val="19"/>
          <w:szCs w:val="19"/>
          <w:color w:val="auto"/>
        </w:rPr>
        <w:t xml:space="preserve"> hereof or if for any reason such meeting does not take place within the period specified in </w:t>
      </w:r>
      <w:r>
        <w:rPr>
          <w:rFonts w:ascii="Arial" w:cs="Arial" w:eastAsia="Arial" w:hAnsi="Arial"/>
          <w:sz w:val="19"/>
          <w:szCs w:val="19"/>
          <w:u w:val="single" w:color="auto"/>
          <w:color w:val="auto"/>
        </w:rPr>
        <w:t>Section 10.9.3</w:t>
      </w:r>
      <w:r>
        <w:rPr>
          <w:rFonts w:ascii="Arial" w:cs="Arial" w:eastAsia="Arial" w:hAnsi="Arial"/>
          <w:sz w:val="19"/>
          <w:szCs w:val="19"/>
          <w:color w:val="auto"/>
        </w:rPr>
        <w:t xml:space="preserve"> hereof, then the Chief Executive Officer of ImmunoGen and the Chief Executive Officer of CytomX shall meet at a mutually agreed-upon time and location for the purpose of resolving such Dispute.</w:t>
      </w:r>
    </w:p>
    <w:p>
      <w:pPr>
        <w:spacing w:after="0" w:line="143" w:lineRule="exact"/>
        <w:rPr>
          <w:sz w:val="20"/>
          <w:szCs w:val="20"/>
          <w:color w:val="auto"/>
        </w:rPr>
      </w:pPr>
    </w:p>
    <w:p>
      <w:pPr>
        <w:jc w:val="both"/>
        <w:ind w:left="1760"/>
        <w:spacing w:after="0" w:line="276" w:lineRule="auto"/>
        <w:rPr>
          <w:sz w:val="20"/>
          <w:szCs w:val="20"/>
          <w:color w:val="auto"/>
        </w:rPr>
      </w:pPr>
      <w:r>
        <w:rPr>
          <w:rFonts w:ascii="Arial" w:cs="Arial" w:eastAsia="Arial" w:hAnsi="Arial"/>
          <w:sz w:val="19"/>
          <w:szCs w:val="19"/>
          <w:color w:val="auto"/>
        </w:rPr>
        <w:t xml:space="preserve">10.9.5. If, within ninety (90) days of initial receipt of the Notice of Dispute, the Dispute has not been resolved, or if, for any reason, the meeting described in </w:t>
      </w:r>
      <w:r>
        <w:rPr>
          <w:rFonts w:ascii="Arial" w:cs="Arial" w:eastAsia="Arial" w:hAnsi="Arial"/>
          <w:sz w:val="19"/>
          <w:szCs w:val="19"/>
          <w:u w:val="single" w:color="auto"/>
          <w:color w:val="auto"/>
        </w:rPr>
        <w:t>Section 10.9.4</w:t>
      </w:r>
      <w:r>
        <w:rPr>
          <w:rFonts w:ascii="Arial" w:cs="Arial" w:eastAsia="Arial" w:hAnsi="Arial"/>
          <w:sz w:val="19"/>
          <w:szCs w:val="19"/>
          <w:color w:val="auto"/>
        </w:rPr>
        <w:t xml:space="preserve"> hereof has not been held within ninety</w:t>
      </w:r>
    </w:p>
    <w:p>
      <w:pPr>
        <w:spacing w:after="0" w:line="2" w:lineRule="exact"/>
        <w:rPr>
          <w:sz w:val="20"/>
          <w:szCs w:val="20"/>
          <w:color w:val="auto"/>
        </w:rPr>
      </w:pPr>
    </w:p>
    <w:p>
      <w:pPr>
        <w:jc w:val="both"/>
        <w:ind w:left="1760" w:firstLine="3"/>
        <w:spacing w:after="0" w:line="233" w:lineRule="auto"/>
        <w:tabs>
          <w:tab w:leader="none" w:pos="219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days of initial receipt of the Notice of Dispute, then the Parties agree that such Dispute shall be finally resolved through binding arbitration to be administered by JAMS pursuant to its Comprehensive Arbitration Rules and Procedures and in accordance with the Expedited Procedures in those Rules, as specifically modified by the provisions of this </w:t>
      </w:r>
      <w:r>
        <w:rPr>
          <w:rFonts w:ascii="Arial" w:cs="Arial" w:eastAsia="Arial" w:hAnsi="Arial"/>
          <w:sz w:val="22"/>
          <w:szCs w:val="22"/>
          <w:u w:val="single" w:color="auto"/>
          <w:color w:val="auto"/>
        </w:rPr>
        <w:t>Section 10.9.5</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left="2640" w:firstLine="2"/>
        <w:spacing w:after="0" w:line="273" w:lineRule="auto"/>
        <w:tabs>
          <w:tab w:leader="none" w:pos="3528" w:val="left"/>
        </w:tabs>
        <w:numPr>
          <w:ilvl w:val="1"/>
          <w:numId w:val="156"/>
        </w:numPr>
        <w:rPr>
          <w:rFonts w:ascii="Arial" w:cs="Arial" w:eastAsia="Arial" w:hAnsi="Arial"/>
          <w:sz w:val="19"/>
          <w:szCs w:val="19"/>
          <w:color w:val="auto"/>
        </w:rPr>
      </w:pPr>
      <w:r>
        <w:rPr>
          <w:rFonts w:ascii="Arial" w:cs="Arial" w:eastAsia="Arial" w:hAnsi="Arial"/>
          <w:sz w:val="19"/>
          <w:szCs w:val="19"/>
          <w:u w:val="single" w:color="auto"/>
          <w:color w:val="auto"/>
        </w:rPr>
        <w:t>Arbitration Panel</w:t>
      </w:r>
      <w:r>
        <w:rPr>
          <w:rFonts w:ascii="Arial" w:cs="Arial" w:eastAsia="Arial" w:hAnsi="Arial"/>
          <w:sz w:val="19"/>
          <w:szCs w:val="19"/>
          <w:color w:val="auto"/>
        </w:rPr>
        <w:t xml:space="preserve">. The arbitration shall be conducted by a panel of three (3) arbitrators. Within thirty (30) days after the initiation of the arbitration, each Party will nominate one person to act as arbitrator, and the two arbitrators so named will then jointly appoint the third arbitrator within thirty (30) days of their appointment, who will serve as chairman of the panel. All three (3) arbitrators must be independent Third Parties having at least ten (10) years of dispute resolution experience (which may include judicial experience) and/or legal or business experience in the biotech or pharmaceutical industry. If either Party fails to nominate its arbitrator, or if the arbitrators selected by the Parties cannot agree on a person to be named as chairman within such thirty (30) day period, JAMS will make the necessary appointments for such arbitrators) or the chairman. Once appointed by a Party, such Party shall have no </w:t>
      </w:r>
      <w:r>
        <w:rPr>
          <w:rFonts w:ascii="Arial" w:cs="Arial" w:eastAsia="Arial" w:hAnsi="Arial"/>
          <w:sz w:val="19"/>
          <w:szCs w:val="19"/>
          <w:i w:val="1"/>
          <w:iCs w:val="1"/>
          <w:color w:val="auto"/>
        </w:rPr>
        <w:t>ex parte</w:t>
      </w:r>
      <w:r>
        <w:rPr>
          <w:rFonts w:ascii="Arial" w:cs="Arial" w:eastAsia="Arial" w:hAnsi="Arial"/>
          <w:sz w:val="19"/>
          <w:szCs w:val="19"/>
          <w:color w:val="auto"/>
        </w:rPr>
        <w:t xml:space="preserve"> communication with its appointed arbitrator.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13" w:lineRule="exact"/>
        <w:rPr>
          <w:sz w:val="20"/>
          <w:szCs w:val="20"/>
          <w:color w:val="auto"/>
        </w:rPr>
      </w:pPr>
    </w:p>
    <w:p>
      <w:pPr>
        <w:ind w:right="200" w:firstLine="8"/>
        <w:spacing w:after="0" w:line="259" w:lineRule="auto"/>
        <w:tabs>
          <w:tab w:leader="none" w:pos="43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2640" w:firstLine="2"/>
        <w:spacing w:after="0" w:line="275" w:lineRule="auto"/>
        <w:tabs>
          <w:tab w:leader="none" w:pos="3540"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Location and Proceedings</w:t>
      </w:r>
      <w:r>
        <w:rPr>
          <w:rFonts w:ascii="Arial" w:cs="Arial" w:eastAsia="Arial" w:hAnsi="Arial"/>
          <w:sz w:val="19"/>
          <w:szCs w:val="19"/>
          <w:color w:val="auto"/>
        </w:rPr>
        <w:t xml:space="preserve">. The place of arbitration will be in the Borough of Manhattan, City of New York, NY or such other venue as the Parties may mutually agree. The arbitration proceedings and all communications with respect thereto shall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arbitration shall be governed by the Federal Arbitration Act, 9 U.S.C. §§1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judgment upon the award rendered by the arbitrators may be entered in any court having competent jurisdiction thereof.</w:t>
      </w:r>
    </w:p>
    <w:p>
      <w:pPr>
        <w:spacing w:after="0" w:line="158" w:lineRule="exact"/>
        <w:rPr>
          <w:rFonts w:ascii="Arial" w:cs="Arial" w:eastAsia="Arial" w:hAnsi="Arial"/>
          <w:sz w:val="19"/>
          <w:szCs w:val="19"/>
          <w:color w:val="auto"/>
        </w:rPr>
      </w:pPr>
    </w:p>
    <w:p>
      <w:pPr>
        <w:jc w:val="both"/>
        <w:ind w:left="2640" w:firstLine="2"/>
        <w:spacing w:after="0" w:line="235" w:lineRule="auto"/>
        <w:tabs>
          <w:tab w:leader="none" w:pos="3528"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Limitation on Awards</w:t>
      </w:r>
      <w:r>
        <w:rPr>
          <w:rFonts w:ascii="Arial" w:cs="Arial" w:eastAsia="Arial" w:hAnsi="Arial"/>
          <w:sz w:val="22"/>
          <w:szCs w:val="22"/>
          <w:color w:val="auto"/>
        </w:rPr>
        <w:t xml:space="preserve">. Except for breaches of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hereof, the arbitrators shall have no authority to award any special, indirect, incidental, consequential, punitive, exemplary or other similar damages. Each Party shall bear its own costs and expenses (including attorneys’ fees and expert or consulting fees) incurred in connection with the arbitration. The Parties shall equally (50/50) share the arbitrators’ fees and other administrative costs and expenses associated with the arbitration.</w:t>
      </w:r>
    </w:p>
    <w:p>
      <w:pPr>
        <w:spacing w:after="0" w:line="188" w:lineRule="exact"/>
        <w:rPr>
          <w:rFonts w:ascii="Arial" w:cs="Arial" w:eastAsia="Arial" w:hAnsi="Arial"/>
          <w:sz w:val="22"/>
          <w:szCs w:val="22"/>
          <w:color w:val="auto"/>
        </w:rPr>
      </w:pPr>
    </w:p>
    <w:p>
      <w:pPr>
        <w:ind w:left="2640" w:firstLine="2"/>
        <w:spacing w:after="0" w:line="274" w:lineRule="auto"/>
        <w:tabs>
          <w:tab w:leader="none" w:pos="3540"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The existence, content and results of any arbitration proceedings pursuant to this </w:t>
      </w:r>
      <w:r>
        <w:rPr>
          <w:rFonts w:ascii="Arial" w:cs="Arial" w:eastAsia="Arial" w:hAnsi="Arial"/>
          <w:sz w:val="21"/>
          <w:szCs w:val="21"/>
          <w:u w:val="single" w:color="auto"/>
          <w:color w:val="auto"/>
        </w:rPr>
        <w:t>Section 10.9.5</w:t>
      </w:r>
      <w:r>
        <w:rPr>
          <w:rFonts w:ascii="Arial" w:cs="Arial" w:eastAsia="Arial" w:hAnsi="Arial"/>
          <w:sz w:val="21"/>
          <w:szCs w:val="21"/>
          <w:color w:val="auto"/>
        </w:rPr>
        <w:t xml:space="preserve"> shall be deemed the Confidential Information of both Parties.</w:t>
      </w:r>
    </w:p>
    <w:p>
      <w:pPr>
        <w:spacing w:after="0" w:line="151" w:lineRule="exact"/>
        <w:rPr>
          <w:sz w:val="20"/>
          <w:szCs w:val="20"/>
          <w:color w:val="auto"/>
        </w:rPr>
      </w:pPr>
    </w:p>
    <w:p>
      <w:pPr>
        <w:jc w:val="both"/>
        <w:ind w:left="1760"/>
        <w:spacing w:after="0" w:line="238" w:lineRule="auto"/>
        <w:rPr>
          <w:sz w:val="20"/>
          <w:szCs w:val="20"/>
          <w:color w:val="auto"/>
        </w:rPr>
      </w:pPr>
      <w:r>
        <w:rPr>
          <w:rFonts w:ascii="Arial" w:cs="Arial" w:eastAsia="Arial" w:hAnsi="Arial"/>
          <w:sz w:val="22"/>
          <w:szCs w:val="22"/>
          <w:color w:val="auto"/>
        </w:rPr>
        <w:t>10.9.6. 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w:t>
      </w:r>
    </w:p>
    <w:p>
      <w:pPr>
        <w:spacing w:after="0" w:line="179" w:lineRule="exact"/>
        <w:rPr>
          <w:sz w:val="20"/>
          <w:szCs w:val="20"/>
          <w:color w:val="auto"/>
        </w:rPr>
      </w:pPr>
    </w:p>
    <w:p>
      <w:pPr>
        <w:ind w:left="880"/>
        <w:spacing w:after="0"/>
        <w:tabs>
          <w:tab w:leader="none" w:pos="200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b w:val="1"/>
          <w:bCs w:val="1"/>
          <w:color w:val="auto"/>
        </w:rPr>
        <w:t>Patent Disputes and Disputes Relating to Article 6</w:t>
      </w:r>
      <w:r>
        <w:rPr>
          <w:rFonts w:ascii="Arial" w:cs="Arial" w:eastAsia="Arial" w:hAnsi="Arial"/>
          <w:sz w:val="19"/>
          <w:szCs w:val="19"/>
          <w:color w:val="auto"/>
        </w:rPr>
        <w:t>.</w:t>
      </w:r>
    </w:p>
    <w:p>
      <w:pPr>
        <w:spacing w:after="0" w:line="212" w:lineRule="exact"/>
        <w:rPr>
          <w:sz w:val="20"/>
          <w:szCs w:val="20"/>
          <w:color w:val="auto"/>
        </w:rPr>
      </w:pPr>
    </w:p>
    <w:p>
      <w:pPr>
        <w:jc w:val="both"/>
        <w:ind w:left="1760"/>
        <w:spacing w:after="0" w:line="274" w:lineRule="auto"/>
        <w:rPr>
          <w:sz w:val="20"/>
          <w:szCs w:val="20"/>
          <w:color w:val="auto"/>
        </w:rPr>
      </w:pPr>
      <w:r>
        <w:rPr>
          <w:rFonts w:ascii="Arial" w:cs="Arial" w:eastAsia="Arial" w:hAnsi="Arial"/>
          <w:sz w:val="19"/>
          <w:szCs w:val="19"/>
          <w:color w:val="auto"/>
        </w:rPr>
        <w:t xml:space="preserve">10.10.1. </w:t>
      </w:r>
      <w:r>
        <w:rPr>
          <w:rFonts w:ascii="Arial" w:cs="Arial" w:eastAsia="Arial" w:hAnsi="Arial"/>
          <w:sz w:val="19"/>
          <w:szCs w:val="19"/>
          <w:u w:val="single" w:color="auto"/>
          <w:color w:val="auto"/>
        </w:rPr>
        <w:t>Inventorship</w:t>
      </w:r>
      <w:r>
        <w:rPr>
          <w:rFonts w:ascii="Arial" w:cs="Arial" w:eastAsia="Arial" w:hAnsi="Arial"/>
          <w:sz w:val="19"/>
          <w:szCs w:val="19"/>
          <w:color w:val="auto"/>
        </w:rPr>
        <w:t>. Any dispute, controversy or claim between the Parties involving the inventorship of any Program Technology that is not resolved by mutual agreement of the Party’s respective chief patent counsels (or persons with similar responsibilities) within thirty (30) days after the date the dispute is raised by one or both of the Parties shall be submitted to an Independent Patent Counsel for resolution. Such Independent Patent Counsel’s determination of inventorship, absent manifest error, shall be final and binding on the Parties; provided, however, that any such determination with respect to a patent application shall not preclude either Party from disputing inventorship with respect to any patents issuing from such patent application, which disputes shall be resolved in accordance with this Section. The Parties shall equally (50/50) share the Independent Patent Counsel fees and expenses related to his determination of inventorship.</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13" w:lineRule="exact"/>
        <w:rPr>
          <w:sz w:val="20"/>
          <w:szCs w:val="20"/>
          <w:color w:val="auto"/>
        </w:rPr>
      </w:pPr>
    </w:p>
    <w:p>
      <w:pPr>
        <w:ind w:right="200" w:firstLine="8"/>
        <w:spacing w:after="0" w:line="259" w:lineRule="auto"/>
        <w:tabs>
          <w:tab w:leader="none" w:pos="43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760"/>
        <w:spacing w:after="0" w:line="245" w:lineRule="auto"/>
        <w:rPr>
          <w:sz w:val="20"/>
          <w:szCs w:val="20"/>
          <w:color w:val="auto"/>
        </w:rPr>
      </w:pPr>
      <w:r>
        <w:rPr>
          <w:rFonts w:ascii="Arial" w:cs="Arial" w:eastAsia="Arial" w:hAnsi="Arial"/>
          <w:sz w:val="21"/>
          <w:szCs w:val="21"/>
          <w:color w:val="auto"/>
        </w:rPr>
        <w:t xml:space="preserve">10.10.2. </w:t>
      </w:r>
      <w:r>
        <w:rPr>
          <w:rFonts w:ascii="Arial" w:cs="Arial" w:eastAsia="Arial" w:hAnsi="Arial"/>
          <w:sz w:val="21"/>
          <w:szCs w:val="21"/>
          <w:u w:val="single" w:color="auto"/>
          <w:color w:val="auto"/>
        </w:rPr>
        <w:t>Other Patent Disputes</w:t>
      </w:r>
      <w:r>
        <w:rPr>
          <w:rFonts w:ascii="Arial" w:cs="Arial" w:eastAsia="Arial" w:hAnsi="Arial"/>
          <w:sz w:val="21"/>
          <w:szCs w:val="21"/>
          <w:color w:val="auto"/>
        </w:rPr>
        <w:t>. Any dispute, controversy or claim between the Parties that involves the validity, scope, infringement, enforceability or ownership of the Parties’ respective Patent Rights (a) that are pending or issued in the United States shall be subject to actions before the United States Patent and Trademark Office and/or submitted exclusively to the federal court located in the jurisdiction where the Party whose Patent Rights are the subject to such dispute, controversy or claim resides (provided that if such Party does not reside in the United States, venue shall be the jurisdiction where such Party’s principal U.S. Affiliate resides) and (b) that are pending or issued in any other country (or region) shall be brought before an appropriate regulatory or administrative body or court in that country (or region), and the Parties hereby consent to jurisdiction and venue in such courts and bodies.</w:t>
      </w:r>
    </w:p>
    <w:p>
      <w:pPr>
        <w:spacing w:after="0" w:line="185" w:lineRule="exact"/>
        <w:rPr>
          <w:sz w:val="20"/>
          <w:szCs w:val="20"/>
          <w:color w:val="auto"/>
        </w:rPr>
      </w:pPr>
    </w:p>
    <w:p>
      <w:pPr>
        <w:jc w:val="both"/>
        <w:ind w:left="1760"/>
        <w:spacing w:after="0" w:line="328" w:lineRule="auto"/>
        <w:rPr>
          <w:sz w:val="20"/>
          <w:szCs w:val="20"/>
          <w:color w:val="auto"/>
        </w:rPr>
      </w:pPr>
      <w:r>
        <w:rPr>
          <w:rFonts w:ascii="Arial" w:cs="Arial" w:eastAsia="Arial" w:hAnsi="Arial"/>
          <w:sz w:val="19"/>
          <w:szCs w:val="19"/>
          <w:color w:val="auto"/>
        </w:rPr>
        <w:t xml:space="preserve">10.10.3. </w:t>
      </w:r>
      <w:r>
        <w:rPr>
          <w:rFonts w:ascii="Arial" w:cs="Arial" w:eastAsia="Arial" w:hAnsi="Arial"/>
          <w:sz w:val="19"/>
          <w:szCs w:val="19"/>
          <w:u w:val="single" w:color="auto"/>
          <w:color w:val="auto"/>
        </w:rPr>
        <w:t>Disputes Relating to Article 6.</w:t>
      </w:r>
      <w:r>
        <w:rPr>
          <w:rFonts w:ascii="Arial" w:cs="Arial" w:eastAsia="Arial" w:hAnsi="Arial"/>
          <w:sz w:val="19"/>
          <w:szCs w:val="19"/>
          <w:color w:val="auto"/>
        </w:rPr>
        <w:t xml:space="preserve"> Any dispute, controversy or claim between the Parties that relates to the enforcement of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hereof shall be subject to action in any court of competent jurisdiction.</w:t>
      </w:r>
    </w:p>
    <w:p>
      <w:pPr>
        <w:spacing w:after="0" w:line="99" w:lineRule="exact"/>
        <w:rPr>
          <w:sz w:val="20"/>
          <w:szCs w:val="20"/>
          <w:color w:val="auto"/>
        </w:rPr>
      </w:pPr>
    </w:p>
    <w:p>
      <w:pPr>
        <w:jc w:val="both"/>
        <w:ind w:left="880"/>
        <w:spacing w:after="0" w:line="243"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b w:val="1"/>
          <w:bCs w:val="1"/>
          <w:color w:val="auto"/>
        </w:rPr>
        <w:t>Governing Law</w:t>
      </w:r>
      <w:r>
        <w:rPr>
          <w:rFonts w:ascii="Arial" w:cs="Arial" w:eastAsia="Arial" w:hAnsi="Arial"/>
          <w:sz w:val="22"/>
          <w:szCs w:val="22"/>
          <w:color w:val="auto"/>
        </w:rPr>
        <w:t>. This Agreement, and all claims arising under or in connection therewith, shall be governed by and interpreted in accordance with the substantive laws of the State of New York, without regard to conflict of law principles thereof.</w:t>
      </w:r>
    </w:p>
    <w:p>
      <w:pPr>
        <w:spacing w:after="0" w:line="177" w:lineRule="exact"/>
        <w:rPr>
          <w:sz w:val="20"/>
          <w:szCs w:val="20"/>
          <w:color w:val="auto"/>
        </w:rPr>
      </w:pPr>
    </w:p>
    <w:p>
      <w:pPr>
        <w:jc w:val="both"/>
        <w:ind w:left="880" w:right="20"/>
        <w:spacing w:after="0" w:line="254" w:lineRule="auto"/>
        <w:rPr>
          <w:sz w:val="20"/>
          <w:szCs w:val="20"/>
          <w:color w:val="auto"/>
        </w:rPr>
      </w:pPr>
      <w:r>
        <w:rPr>
          <w:rFonts w:ascii="Arial" w:cs="Arial" w:eastAsia="Arial" w:hAnsi="Arial"/>
          <w:sz w:val="21"/>
          <w:szCs w:val="21"/>
          <w:color w:val="auto"/>
        </w:rPr>
        <w:t xml:space="preserve">10.12 </w:t>
      </w: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including its Exhibits and Schedules, constitutes and contains the complete, final and exclusive understanding and agreement of the Parties and cancels and supersedes any and all prior negotiations, correspondence, understandings and agreements, whether oral or written, between the Parties respecting the subject matter hereof and thereof, including the Confidentiality Agreement.</w:t>
      </w:r>
    </w:p>
    <w:p>
      <w:pPr>
        <w:spacing w:after="0" w:line="166" w:lineRule="exact"/>
        <w:rPr>
          <w:sz w:val="20"/>
          <w:szCs w:val="20"/>
          <w:color w:val="auto"/>
        </w:rPr>
      </w:pPr>
    </w:p>
    <w:p>
      <w:pPr>
        <w:jc w:val="both"/>
        <w:ind w:left="880"/>
        <w:spacing w:after="0" w:line="280" w:lineRule="auto"/>
        <w:rPr>
          <w:sz w:val="20"/>
          <w:szCs w:val="20"/>
          <w:color w:val="auto"/>
        </w:rPr>
      </w:pPr>
      <w:r>
        <w:rPr>
          <w:rFonts w:ascii="Arial" w:cs="Arial" w:eastAsia="Arial" w:hAnsi="Arial"/>
          <w:sz w:val="19"/>
          <w:szCs w:val="19"/>
          <w:color w:val="auto"/>
        </w:rPr>
        <w:t xml:space="preserve">10.13 </w:t>
      </w:r>
      <w:r>
        <w:rPr>
          <w:rFonts w:ascii="Arial" w:cs="Arial" w:eastAsia="Arial" w:hAnsi="Arial"/>
          <w:sz w:val="19"/>
          <w:szCs w:val="19"/>
          <w:b w:val="1"/>
          <w:bCs w:val="1"/>
          <w:color w:val="auto"/>
        </w:rPr>
        <w:t>Purpose and Scope</w:t>
      </w:r>
      <w:r>
        <w:rPr>
          <w:rFonts w:ascii="Arial" w:cs="Arial" w:eastAsia="Arial" w:hAnsi="Arial"/>
          <w:sz w:val="19"/>
          <w:szCs w:val="19"/>
          <w:color w:val="auto"/>
        </w:rPr>
        <w:t>. The Parties understand and agree that this Agreement is limited to the activities, rights and obligations as expressly set forth herein. Nothing herein contained shall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shall have any express or implied power to enter into any contracts or commitments or to incur any liabilities in the name of, or on behalf of, the other Party, or to bind the other Party in any respect whatsoever.</w:t>
      </w:r>
    </w:p>
    <w:p>
      <w:pPr>
        <w:spacing w:after="0" w:line="145" w:lineRule="exact"/>
        <w:rPr>
          <w:sz w:val="20"/>
          <w:szCs w:val="20"/>
          <w:color w:val="auto"/>
        </w:rPr>
      </w:pPr>
    </w:p>
    <w:p>
      <w:pPr>
        <w:jc w:val="both"/>
        <w:ind w:left="880"/>
        <w:spacing w:after="0" w:line="24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in two or more counterparts, each of which shall be an original and both of which shall constitute together the same document. Counterparts may be signed and delivered by facsimile or PDF file, each of which shall be binding when received by the applicable Party.</w:t>
      </w:r>
    </w:p>
    <w:p>
      <w:pPr>
        <w:spacing w:after="0" w:line="177" w:lineRule="exact"/>
        <w:rPr>
          <w:sz w:val="20"/>
          <w:szCs w:val="20"/>
          <w:color w:val="auto"/>
        </w:rPr>
      </w:pPr>
    </w:p>
    <w:p>
      <w:pPr>
        <w:jc w:val="both"/>
        <w:ind w:left="880"/>
        <w:spacing w:after="0" w:line="237"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b w:val="1"/>
          <w:bCs w:val="1"/>
          <w:color w:val="auto"/>
        </w:rPr>
        <w:t>No Third Party Rights or Obligations</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Article 9</w:t>
      </w:r>
      <w:r>
        <w:rPr>
          <w:rFonts w:ascii="Arial" w:cs="Arial" w:eastAsia="Arial" w:hAnsi="Arial"/>
          <w:sz w:val="22"/>
          <w:szCs w:val="22"/>
          <w:color w:val="auto"/>
        </w:rPr>
        <w:t xml:space="preserve"> hereof, no provision of this Agreement shall be deemed or construed in any way to result in the creation of any rights or obligation in any Person not a Party to this Agreement. However, either Party may decide, in its sole discretion, to use one or more of its Affiliates to perform its obligations and duties hereunder, provided that such Party shall remain liable hereunder for the performance by any such Affiliates of any such obligations.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13" w:lineRule="exact"/>
        <w:rPr>
          <w:sz w:val="20"/>
          <w:szCs w:val="20"/>
          <w:color w:val="auto"/>
        </w:rPr>
      </w:pPr>
    </w:p>
    <w:p>
      <w:pPr>
        <w:ind w:right="200" w:firstLine="8"/>
        <w:spacing w:after="0" w:line="259" w:lineRule="auto"/>
        <w:tabs>
          <w:tab w:leader="none" w:pos="43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both"/>
        <w:ind w:left="880"/>
        <w:spacing w:after="0" w:line="273" w:lineRule="auto"/>
        <w:rPr>
          <w:sz w:val="20"/>
          <w:szCs w:val="20"/>
          <w:color w:val="auto"/>
        </w:rPr>
      </w:pPr>
      <w:r>
        <w:rPr>
          <w:rFonts w:ascii="Arial" w:cs="Arial" w:eastAsia="Arial" w:hAnsi="Arial"/>
          <w:sz w:val="19"/>
          <w:szCs w:val="19"/>
          <w:color w:val="auto"/>
        </w:rPr>
        <w:t xml:space="preserve">10.16 </w:t>
      </w:r>
      <w:r>
        <w:rPr>
          <w:rFonts w:ascii="Arial" w:cs="Arial" w:eastAsia="Arial" w:hAnsi="Arial"/>
          <w:sz w:val="19"/>
          <w:szCs w:val="19"/>
          <w:b w:val="1"/>
          <w:bCs w:val="1"/>
          <w:color w:val="auto"/>
        </w:rPr>
        <w:t>Interpretation</w:t>
      </w:r>
      <w:r>
        <w:rPr>
          <w:rFonts w:ascii="Arial" w:cs="Arial" w:eastAsia="Arial" w:hAnsi="Arial"/>
          <w:sz w:val="19"/>
          <w:szCs w:val="19"/>
          <w:color w:val="auto"/>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each Party hereto and not in a favor of or against any Party, regardless of which Party was generally responsible for the preparation of this Agreement. In addition, unless the context otherwise requires, wherever used in this Agreement: (i) the singular shall include the plural, the plural the singular; (ii) the use of any gender shall be applicable to all genders; (iii) the word “or” is used in the inclusive sense (and/or); (iv) the words “include” or “including” shall be construed as incorporating, also, “but not limited to” or “without limitation” (irrespective of whether the words are used in the applicable instance); (v) the words “hereof,” “herein,” “hereby” and derivative or similar words refer to this Agreement as a whole and not to any particular provision of this Agreement; and (vi) all references to “will” are interchangeable with the word “shall” and shall be understood to be imperative or mandatory in nature.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has been intentionally left blank. The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13" w:lineRule="exact"/>
        <w:rPr>
          <w:sz w:val="20"/>
          <w:szCs w:val="20"/>
          <w:color w:val="auto"/>
        </w:rPr>
      </w:pPr>
    </w:p>
    <w:p>
      <w:pPr>
        <w:ind w:right="200" w:firstLine="8"/>
        <w:spacing w:after="0" w:line="259" w:lineRule="auto"/>
        <w:tabs>
          <w:tab w:leader="none" w:pos="43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12" w:lineRule="exact"/>
        <w:rPr>
          <w:sz w:val="20"/>
          <w:szCs w:val="20"/>
          <w:color w:val="auto"/>
        </w:rPr>
      </w:pPr>
    </w:p>
    <w:p>
      <w:pPr>
        <w:ind w:left="10300"/>
        <w:spacing w:after="0"/>
        <w:rPr>
          <w:sz w:val="20"/>
          <w:szCs w:val="20"/>
          <w:color w:val="auto"/>
        </w:rPr>
      </w:pPr>
      <w:r>
        <w:rPr>
          <w:rFonts w:ascii="Arial" w:cs="Arial" w:eastAsia="Arial" w:hAnsi="Arial"/>
          <w:sz w:val="19"/>
          <w:szCs w:val="19"/>
          <w:b w:val="1"/>
          <w:bCs w:val="1"/>
          <w:color w:val="auto"/>
        </w:rPr>
        <w:t>Exhibit 10.4</w:t>
      </w:r>
    </w:p>
    <w:p>
      <w:pPr>
        <w:spacing w:after="0" w:line="260" w:lineRule="exact"/>
        <w:rPr>
          <w:sz w:val="20"/>
          <w:szCs w:val="20"/>
          <w:color w:val="auto"/>
        </w:rPr>
      </w:pPr>
    </w:p>
    <w:p>
      <w:pPr>
        <w:jc w:val="both"/>
        <w:ind w:left="880" w:firstLine="810"/>
        <w:spacing w:after="0" w:line="251" w:lineRule="auto"/>
        <w:rPr>
          <w:sz w:val="20"/>
          <w:szCs w:val="20"/>
          <w:color w:val="auto"/>
        </w:rPr>
      </w:pPr>
      <w:r>
        <w:rPr>
          <w:rFonts w:ascii="Arial" w:cs="Arial" w:eastAsia="Arial" w:hAnsi="Arial"/>
          <w:sz w:val="22"/>
          <w:szCs w:val="22"/>
          <w:color w:val="auto"/>
        </w:rPr>
        <w:t>IN WITNESS WHEREOF, duly authorized representatives of the Parties have duly executed this Agreement to be effective as of the Effective Date.</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IMMUNOGEN, INC.</w:t>
            </w: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CYTOMX THERAPEUTICS, INC.</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Williams</w:t>
            </w:r>
          </w:p>
        </w:tc>
        <w:tc>
          <w:tcPr>
            <w:tcW w:w="960" w:type="dxa"/>
            <w:vAlign w:val="bottom"/>
          </w:tcPr>
          <w:p>
            <w:pPr>
              <w:ind w:left="140"/>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Debanjan Ray</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Williams</w:t>
            </w:r>
          </w:p>
        </w:tc>
        <w:tc>
          <w:tcPr>
            <w:tcW w:w="960" w:type="dxa"/>
            <w:vAlign w:val="bottom"/>
          </w:tcPr>
          <w:p>
            <w:pPr>
              <w:ind w:left="140"/>
              <w:spacing w:after="0"/>
              <w:rPr>
                <w:sz w:val="20"/>
                <w:szCs w:val="20"/>
                <w:color w:val="auto"/>
              </w:rPr>
            </w:pPr>
            <w:r>
              <w:rPr>
                <w:rFonts w:ascii="Arial" w:cs="Arial" w:eastAsia="Arial" w:hAnsi="Arial"/>
                <w:sz w:val="18"/>
                <w:szCs w:val="18"/>
                <w:color w:val="auto"/>
              </w:rPr>
              <w:t>Name: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Debanjan Ray</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960" w:type="dxa"/>
            <w:vAlign w:val="bottom"/>
          </w:tcPr>
          <w:p>
            <w:pPr>
              <w:ind w:left="140"/>
              <w:spacing w:after="0"/>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Corporate Development</w:t>
            </w:r>
          </w:p>
        </w:tc>
      </w:tr>
      <w:tr>
        <w:trPr>
          <w:trHeight w:val="331"/>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16, 2016</w:t>
            </w:r>
          </w:p>
        </w:tc>
        <w:tc>
          <w:tcPr>
            <w:tcW w:w="960" w:type="dxa"/>
            <w:vAlign w:val="bottom"/>
          </w:tcPr>
          <w:p>
            <w:pPr>
              <w:ind w:left="140"/>
              <w:spacing w:after="0"/>
              <w:rPr>
                <w:sz w:val="20"/>
                <w:szCs w:val="20"/>
                <w:color w:val="auto"/>
              </w:rPr>
            </w:pPr>
            <w:r>
              <w:rPr>
                <w:rFonts w:ascii="Arial" w:cs="Arial" w:eastAsia="Arial" w:hAnsi="Arial"/>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18, 2016</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firstLine="8"/>
        <w:spacing w:after="0" w:line="277" w:lineRule="auto"/>
        <w:tabs>
          <w:tab w:leader="none" w:pos="43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7" w:name="page158"/>
    <w:bookmarkEnd w:id="157"/>
    <w:p>
      <w:pPr>
        <w:jc w:val="center"/>
        <w:ind w:right="-199"/>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4"/>
          </w:tcPr>
          <w:p>
            <w:pPr>
              <w:jc w:val="center"/>
              <w:ind w:right="2680"/>
              <w:spacing w:after="0"/>
              <w:rPr>
                <w:sz w:val="20"/>
                <w:szCs w:val="20"/>
                <w:color w:val="auto"/>
              </w:rPr>
            </w:pPr>
            <w:r>
              <w:rPr>
                <w:rFonts w:ascii="Arial" w:cs="Arial" w:eastAsia="Arial" w:hAnsi="Arial"/>
                <w:sz w:val="22"/>
                <w:szCs w:val="22"/>
                <w:b w:val="1"/>
                <w:bCs w:val="1"/>
                <w:color w:val="auto"/>
              </w:rPr>
              <w:t>EXHIBIT A</w:t>
            </w:r>
          </w:p>
        </w:tc>
      </w:tr>
      <w:tr>
        <w:trPr>
          <w:trHeight w:val="20"/>
        </w:trPr>
        <w:tc>
          <w:tcPr>
            <w:tcW w:w="1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39"/>
        </w:trPr>
        <w:tc>
          <w:tcPr>
            <w:tcW w:w="15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940" w:type="dxa"/>
            <w:vAlign w:val="bottom"/>
            <w:gridSpan w:val="5"/>
          </w:tcPr>
          <w:p>
            <w:pPr>
              <w:jc w:val="center"/>
              <w:ind w:right="2560"/>
              <w:spacing w:after="0"/>
              <w:rPr>
                <w:sz w:val="20"/>
                <w:szCs w:val="20"/>
                <w:color w:val="auto"/>
              </w:rPr>
            </w:pPr>
            <w:r>
              <w:rPr>
                <w:rFonts w:ascii="Arial" w:cs="Arial" w:eastAsia="Arial" w:hAnsi="Arial"/>
                <w:sz w:val="22"/>
                <w:szCs w:val="22"/>
                <w:color w:val="auto"/>
                <w:w w:val="87"/>
              </w:rPr>
              <w:t>Licensed Target</w:t>
            </w:r>
          </w:p>
        </w:tc>
      </w:tr>
      <w:tr>
        <w:trPr>
          <w:trHeight w:val="20"/>
        </w:trPr>
        <w:tc>
          <w:tcPr>
            <w:tcW w:w="15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858"/>
        </w:trPr>
        <w:tc>
          <w:tcPr>
            <w:tcW w:w="5020" w:type="dxa"/>
            <w:vAlign w:val="bottom"/>
            <w:gridSpan w:val="2"/>
          </w:tcPr>
          <w:p>
            <w:pPr>
              <w:spacing w:after="0"/>
              <w:rPr>
                <w:sz w:val="20"/>
                <w:szCs w:val="20"/>
                <w:color w:val="auto"/>
              </w:rPr>
            </w:pPr>
            <w:r>
              <w:rPr>
                <w:rFonts w:ascii="Arial" w:cs="Arial" w:eastAsia="Arial" w:hAnsi="Arial"/>
                <w:sz w:val="18"/>
                <w:szCs w:val="18"/>
                <w:color w:val="auto"/>
              </w:rPr>
              <w:t>Target Protein Name</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w w:val="91"/>
              </w:rPr>
              <w:t>UniProtKB/Swiss-Prot Accession Number</w:t>
            </w:r>
          </w:p>
        </w:tc>
      </w:tr>
      <w:tr>
        <w:trPr>
          <w:trHeight w:val="453"/>
        </w:trPr>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CD166</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Q13740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firstLine="8"/>
        <w:spacing w:after="0" w:line="277" w:lineRule="auto"/>
        <w:tabs>
          <w:tab w:leader="none" w:pos="43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EXHIBIT B</w:t>
      </w:r>
    </w:p>
    <w:p>
      <w:pPr>
        <w:spacing w:after="0" w:line="212" w:lineRule="exact"/>
        <w:rPr>
          <w:sz w:val="20"/>
          <w:szCs w:val="20"/>
          <w:color w:val="auto"/>
        </w:rPr>
      </w:pPr>
    </w:p>
    <w:p>
      <w:pPr>
        <w:ind w:left="4060"/>
        <w:spacing w:after="0"/>
        <w:rPr>
          <w:sz w:val="20"/>
          <w:szCs w:val="20"/>
          <w:color w:val="auto"/>
        </w:rPr>
      </w:pPr>
      <w:r>
        <w:rPr>
          <w:rFonts w:ascii="Arial" w:cs="Arial" w:eastAsia="Arial" w:hAnsi="Arial"/>
          <w:sz w:val="22"/>
          <w:szCs w:val="22"/>
          <w:u w:val="single" w:color="auto"/>
          <w:color w:val="auto"/>
        </w:rPr>
        <w:t>Royalty Rate Reduction Methodology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Step 1 – Calculate the Weighted Average Royalty Rate (WARR) for the Calendar Quarter</w:t>
      </w:r>
    </w:p>
    <w:p>
      <w:pPr>
        <w:spacing w:after="0" w:line="206" w:lineRule="exact"/>
        <w:rPr>
          <w:sz w:val="20"/>
          <w:szCs w:val="20"/>
          <w:color w:val="auto"/>
        </w:rPr>
      </w:pPr>
    </w:p>
    <w:p>
      <w:pPr>
        <w:jc w:val="both"/>
        <w:ind w:left="80" w:hanging="80"/>
        <w:spacing w:after="0" w:line="258" w:lineRule="auto"/>
        <w:rPr>
          <w:sz w:val="20"/>
          <w:szCs w:val="20"/>
          <w:color w:val="auto"/>
        </w:rPr>
      </w:pPr>
      <w:r>
        <w:rPr>
          <w:rFonts w:ascii="Arial" w:cs="Arial" w:eastAsia="Arial" w:hAnsi="Arial"/>
          <w:sz w:val="21"/>
          <w:szCs w:val="21"/>
          <w:color w:val="auto"/>
        </w:rPr>
        <w:t xml:space="preserve">•This is the weighted average rate calculated based on the worldwide Net Sales of the Licensed Product for a Calendar Quarter, based upon the rates detailed in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of this Agreement and assuming that there are not any countries where the royalty rate is to be reduced per </w:t>
      </w:r>
      <w:r>
        <w:rPr>
          <w:rFonts w:ascii="Arial" w:cs="Arial" w:eastAsia="Arial" w:hAnsi="Arial"/>
          <w:sz w:val="21"/>
          <w:szCs w:val="21"/>
          <w:u w:val="single" w:color="auto"/>
          <w:color w:val="auto"/>
        </w:rPr>
        <w:t>Section 4.2.3(b)(i)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4.2.3(c)</w:t>
      </w:r>
      <w:r>
        <w:rPr>
          <w:rFonts w:ascii="Arial" w:cs="Arial" w:eastAsia="Arial" w:hAnsi="Arial"/>
          <w:sz w:val="21"/>
          <w:szCs w:val="21"/>
          <w:color w:val="auto"/>
        </w:rPr>
        <w:t xml:space="preserve"> of this Agreement. (M = Million)</w:t>
      </w:r>
    </w:p>
    <w:p>
      <w:pPr>
        <w:spacing w:after="0" w:line="167" w:lineRule="exact"/>
        <w:rPr>
          <w:sz w:val="20"/>
          <w:szCs w:val="20"/>
          <w:color w:val="auto"/>
        </w:rPr>
      </w:pPr>
    </w:p>
    <w:p>
      <w:pPr>
        <w:jc w:val="both"/>
        <w:ind w:left="140" w:hanging="134"/>
        <w:spacing w:after="0" w:line="228" w:lineRule="auto"/>
        <w:rPr>
          <w:sz w:val="20"/>
          <w:szCs w:val="20"/>
          <w:color w:val="auto"/>
        </w:rPr>
      </w:pPr>
      <w:r>
        <w:rPr>
          <w:rFonts w:ascii="Courier New" w:cs="Courier New" w:eastAsia="Courier New" w:hAnsi="Courier New"/>
          <w:sz w:val="22"/>
          <w:szCs w:val="22"/>
          <w:color w:val="auto"/>
        </w:rPr>
        <w:t>o</w:t>
      </w:r>
      <w:r>
        <w:rPr>
          <w:rFonts w:ascii="Arial" w:cs="Arial" w:eastAsia="Arial" w:hAnsi="Arial"/>
          <w:sz w:val="22"/>
          <w:szCs w:val="22"/>
          <w:color w:val="auto"/>
        </w:rPr>
        <w:t>For instance, if the worldwide Net Sales for Calendar Quarter 1 of 2020 is $1,000M, then the WARR for that period is ($500M*</w:t>
      </w:r>
      <w:r>
        <w:rPr>
          <w:rFonts w:ascii="Courier New" w:cs="Courier New" w:eastAsia="Courier New" w:hAnsi="Courier New"/>
          <w:sz w:val="22"/>
          <w:szCs w:val="22"/>
          <w:color w:val="auto"/>
        </w:rPr>
        <w:t xml:space="preserve"> </w:t>
      </w:r>
      <w:r>
        <w:rPr>
          <w:rFonts w:ascii="Arial" w:cs="Arial" w:eastAsia="Arial" w:hAnsi="Arial"/>
          <w:sz w:val="22"/>
          <w:szCs w:val="22"/>
          <w:color w:val="auto"/>
        </w:rPr>
        <w:t>[***]% + $500M*[***]%) / $l,000M = [***]%</w:t>
      </w:r>
    </w:p>
    <w:p>
      <w:pPr>
        <w:spacing w:after="0" w:line="185" w:lineRule="exact"/>
        <w:rPr>
          <w:sz w:val="20"/>
          <w:szCs w:val="20"/>
          <w:color w:val="auto"/>
        </w:rPr>
      </w:pPr>
    </w:p>
    <w:p>
      <w:pPr>
        <w:jc w:val="both"/>
        <w:ind w:left="80" w:hanging="80"/>
        <w:spacing w:after="0" w:line="251" w:lineRule="auto"/>
        <w:rPr>
          <w:sz w:val="20"/>
          <w:szCs w:val="20"/>
          <w:color w:val="auto"/>
        </w:rPr>
      </w:pPr>
      <w:r>
        <w:rPr>
          <w:rFonts w:ascii="Arial" w:cs="Arial" w:eastAsia="Arial" w:hAnsi="Arial"/>
          <w:sz w:val="22"/>
          <w:szCs w:val="22"/>
          <w:color w:val="auto"/>
        </w:rPr>
        <w:t>•WARR is the basis for the royalty reduction; it is not the effective royalty rate for a certain country or for the Licensed Product on a worldwide basis.</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 xml:space="preserve">Step 2 – Determine the reduced royalty due to ImmunoGen for those countries in the world for which a reduced royalty rate is to be applied per </w:t>
      </w:r>
      <w:r>
        <w:rPr>
          <w:rFonts w:ascii="Arial" w:cs="Arial" w:eastAsia="Arial" w:hAnsi="Arial"/>
          <w:sz w:val="22"/>
          <w:szCs w:val="22"/>
          <w:u w:val="single" w:color="auto"/>
          <w:color w:val="auto"/>
        </w:rPr>
        <w:t>Section 4.2.3(b)(i)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4.2.3(c)</w:t>
      </w:r>
      <w:r>
        <w:rPr>
          <w:rFonts w:ascii="Arial" w:cs="Arial" w:eastAsia="Arial" w:hAnsi="Arial"/>
          <w:sz w:val="22"/>
          <w:szCs w:val="22"/>
          <w:color w:val="auto"/>
        </w:rPr>
        <w:t xml:space="preserve"> of this Agreement.</w:t>
      </w:r>
    </w:p>
    <w:p>
      <w:pPr>
        <w:spacing w:after="0" w:line="173" w:lineRule="exact"/>
        <w:rPr>
          <w:sz w:val="20"/>
          <w:szCs w:val="20"/>
          <w:color w:val="auto"/>
        </w:rPr>
      </w:pPr>
    </w:p>
    <w:p>
      <w:pPr>
        <w:ind w:left="240" w:hanging="232"/>
        <w:spacing w:after="0"/>
        <w:tabs>
          <w:tab w:leader="none" w:pos="24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reduced royalty rate is the WARR * 50%</w:t>
      </w:r>
    </w:p>
    <w:p>
      <w:pPr>
        <w:spacing w:after="0" w:line="206" w:lineRule="exact"/>
        <w:rPr>
          <w:rFonts w:ascii="Arial" w:cs="Arial" w:eastAsia="Arial" w:hAnsi="Arial"/>
          <w:sz w:val="22"/>
          <w:szCs w:val="22"/>
          <w:color w:val="auto"/>
        </w:rPr>
      </w:pPr>
    </w:p>
    <w:p>
      <w:pPr>
        <w:ind w:left="260" w:hanging="252"/>
        <w:spacing w:after="0"/>
        <w:tabs>
          <w:tab w:leader="none" w:pos="26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Continuing with the example in Step 1,</w:t>
      </w:r>
    </w:p>
    <w:p>
      <w:pPr>
        <w:spacing w:after="0" w:line="206" w:lineRule="exact"/>
        <w:rPr>
          <w:sz w:val="20"/>
          <w:szCs w:val="20"/>
          <w:color w:val="auto"/>
        </w:rPr>
      </w:pPr>
    </w:p>
    <w:p>
      <w:pPr>
        <w:ind w:left="140" w:hanging="134"/>
        <w:spacing w:after="0" w:line="228" w:lineRule="auto"/>
        <w:rPr>
          <w:sz w:val="20"/>
          <w:szCs w:val="20"/>
          <w:color w:val="auto"/>
        </w:rPr>
      </w:pPr>
      <w:r>
        <w:rPr>
          <w:rFonts w:ascii="Courier New" w:cs="Courier New" w:eastAsia="Courier New" w:hAnsi="Courier New"/>
          <w:sz w:val="22"/>
          <w:szCs w:val="22"/>
          <w:color w:val="auto"/>
        </w:rPr>
        <w:t>o</w:t>
      </w:r>
      <w:r>
        <w:rPr>
          <w:rFonts w:ascii="Arial" w:cs="Arial" w:eastAsia="Arial" w:hAnsi="Arial"/>
          <w:sz w:val="22"/>
          <w:szCs w:val="22"/>
          <w:color w:val="auto"/>
        </w:rPr>
        <w:t>If Country X is the one (and only) country in the world for which a reduced royalty rate is to be applied per</w:t>
      </w:r>
      <w:r>
        <w:rPr>
          <w:rFonts w:ascii="Courier New" w:cs="Courier New" w:eastAsia="Courier New" w:hAnsi="Courier New"/>
          <w:sz w:val="22"/>
          <w:szCs w:val="22"/>
          <w:color w:val="auto"/>
        </w:rPr>
        <w:t xml:space="preserve"> </w:t>
      </w:r>
      <w:r>
        <w:rPr>
          <w:rFonts w:ascii="Arial" w:cs="Arial" w:eastAsia="Arial" w:hAnsi="Arial"/>
          <w:sz w:val="22"/>
          <w:szCs w:val="22"/>
          <w:u w:val="single" w:color="auto"/>
          <w:color w:val="auto"/>
        </w:rPr>
        <w:t>Section 4.2.3(b)(i)</w:t>
      </w:r>
      <w:r>
        <w:rPr>
          <w:rFonts w:ascii="Courier New" w:cs="Courier New" w:eastAsia="Courier New" w:hAnsi="Courier New"/>
          <w:sz w:val="22"/>
          <w:szCs w:val="22"/>
          <w:color w:val="auto"/>
        </w:rPr>
        <w:t xml:space="preserve"> </w:t>
      </w:r>
      <w:r>
        <w:rPr>
          <w:rFonts w:ascii="Arial" w:cs="Arial" w:eastAsia="Arial" w:hAnsi="Arial"/>
          <w:sz w:val="22"/>
          <w:szCs w:val="22"/>
          <w:color w:val="auto"/>
        </w:rPr>
        <w:t>or</w:t>
      </w:r>
      <w:r>
        <w:rPr>
          <w:rFonts w:ascii="Courier New" w:cs="Courier New" w:eastAsia="Courier New" w:hAnsi="Courier New"/>
          <w:sz w:val="22"/>
          <w:szCs w:val="22"/>
          <w:color w:val="auto"/>
        </w:rPr>
        <w:t xml:space="preserve"> </w:t>
      </w:r>
      <w:r>
        <w:rPr>
          <w:rFonts w:ascii="Arial" w:cs="Arial" w:eastAsia="Arial" w:hAnsi="Arial"/>
          <w:sz w:val="22"/>
          <w:szCs w:val="22"/>
          <w:u w:val="single" w:color="auto"/>
          <w:color w:val="auto"/>
        </w:rPr>
        <w:t>4.2.3(c)</w:t>
      </w:r>
      <w:r>
        <w:rPr>
          <w:rFonts w:ascii="Arial" w:cs="Arial" w:eastAsia="Arial" w:hAnsi="Arial"/>
          <w:sz w:val="22"/>
          <w:szCs w:val="22"/>
          <w:color w:val="auto"/>
        </w:rPr>
        <w:t xml:space="preserve"> of this Agreement, and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sales in Country X for the Calendar Quarter are $50M (out of the $1,000M of worldwide sales),</w:t>
      </w:r>
    </w:p>
    <w:p>
      <w:pPr>
        <w:spacing w:after="0" w:line="187" w:lineRule="exact"/>
        <w:rPr>
          <w:sz w:val="20"/>
          <w:szCs w:val="20"/>
          <w:color w:val="auto"/>
        </w:rPr>
      </w:pPr>
    </w:p>
    <w:p>
      <w:pPr>
        <w:ind w:right="5780" w:firstLine="8"/>
        <w:spacing w:after="0" w:line="419" w:lineRule="auto"/>
        <w:tabs>
          <w:tab w:leader="none" w:pos="270" w:val="left"/>
        </w:tabs>
        <w:numPr>
          <w:ilvl w:val="0"/>
          <w:numId w:val="165"/>
        </w:numPr>
        <w:rPr>
          <w:rFonts w:ascii="Courier New" w:cs="Courier New" w:eastAsia="Courier New" w:hAnsi="Courier New"/>
          <w:sz w:val="22"/>
          <w:szCs w:val="22"/>
          <w:color w:val="auto"/>
        </w:rPr>
      </w:pPr>
      <w:r>
        <w:rPr>
          <w:rFonts w:ascii="Arial" w:cs="Arial" w:eastAsia="Arial" w:hAnsi="Arial"/>
          <w:sz w:val="22"/>
          <w:szCs w:val="22"/>
          <w:color w:val="auto"/>
        </w:rPr>
        <w:t>then the reduced royalty due to ImmunoGen for Country X is: [***]% * 50% * $50M = $[***]</w:t>
      </w:r>
    </w:p>
    <w:p>
      <w:pPr>
        <w:spacing w:after="0" w:line="1" w:lineRule="exact"/>
        <w:rPr>
          <w:sz w:val="20"/>
          <w:szCs w:val="20"/>
          <w:color w:val="auto"/>
        </w:rPr>
      </w:pPr>
    </w:p>
    <w:p>
      <w:pPr>
        <w:ind w:left="80" w:right="20" w:hanging="80"/>
        <w:spacing w:after="0" w:line="251" w:lineRule="auto"/>
        <w:rPr>
          <w:sz w:val="20"/>
          <w:szCs w:val="20"/>
          <w:color w:val="auto"/>
        </w:rPr>
      </w:pPr>
      <w:r>
        <w:rPr>
          <w:rFonts w:ascii="Arial" w:cs="Arial" w:eastAsia="Arial" w:hAnsi="Arial"/>
          <w:sz w:val="22"/>
          <w:szCs w:val="22"/>
          <w:color w:val="auto"/>
        </w:rPr>
        <w:t xml:space="preserve">•This calculation should be repeated for each country for which a reduced royalty rate is to be applied per </w:t>
      </w:r>
      <w:r>
        <w:rPr>
          <w:rFonts w:ascii="Arial" w:cs="Arial" w:eastAsia="Arial" w:hAnsi="Arial"/>
          <w:sz w:val="22"/>
          <w:szCs w:val="22"/>
          <w:u w:val="single" w:color="auto"/>
          <w:color w:val="auto"/>
        </w:rPr>
        <w:t>Section 4.2.3(b)(i)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4.2.3(c)</w:t>
      </w:r>
      <w:r>
        <w:rPr>
          <w:rFonts w:ascii="Arial" w:cs="Arial" w:eastAsia="Arial" w:hAnsi="Arial"/>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0" w:firstLine="8"/>
        <w:spacing w:after="0" w:line="277" w:lineRule="auto"/>
        <w:tabs>
          <w:tab w:leader="none" w:pos="43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 xml:space="preserve">Step 3 Apply the WARR from Step 1 to Net Sales for the Calendar Quarter in all countries of the world in which the royalty rate is not to be reduced per </w:t>
      </w:r>
      <w:r>
        <w:rPr>
          <w:rFonts w:ascii="Arial" w:cs="Arial" w:eastAsia="Arial" w:hAnsi="Arial"/>
          <w:sz w:val="22"/>
          <w:szCs w:val="22"/>
          <w:u w:val="single" w:color="auto"/>
          <w:color w:val="auto"/>
        </w:rPr>
        <w:t>Section 4.2.3(b)(i)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4.2.3(c)</w:t>
      </w:r>
      <w:r>
        <w:rPr>
          <w:rFonts w:ascii="Arial" w:cs="Arial" w:eastAsia="Arial" w:hAnsi="Arial"/>
          <w:sz w:val="22"/>
          <w:szCs w:val="22"/>
          <w:color w:val="auto"/>
        </w:rPr>
        <w:t xml:space="preserve"> of this Agreement.</w:t>
      </w:r>
    </w:p>
    <w:p>
      <w:pPr>
        <w:spacing w:after="0" w:line="173" w:lineRule="exact"/>
        <w:rPr>
          <w:sz w:val="20"/>
          <w:szCs w:val="20"/>
          <w:color w:val="auto"/>
        </w:rPr>
      </w:pPr>
    </w:p>
    <w:p>
      <w:pPr>
        <w:spacing w:after="0"/>
        <w:tabs>
          <w:tab w:leader="none" w:pos="2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Continuing with the example in Step 1,</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o</w:t>
      </w:r>
      <w:r>
        <w:rPr>
          <w:rFonts w:ascii="Arial" w:cs="Arial" w:eastAsia="Arial" w:hAnsi="Arial"/>
          <w:sz w:val="22"/>
          <w:szCs w:val="22"/>
          <w:color w:val="auto"/>
        </w:rPr>
        <w:t>Net Sales for the Calendar Quarter excluding Country X are $950M (out of the $1,000M of worldwide sales)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 xml:space="preserve">o </w:t>
      </w:r>
      <w:r>
        <w:rPr>
          <w:rFonts w:ascii="Arial" w:cs="Arial" w:eastAsia="Arial" w:hAnsi="Arial"/>
          <w:sz w:val="22"/>
          <w:szCs w:val="22"/>
          <w:color w:val="auto"/>
        </w:rPr>
        <w:t>Then the royalties due to ImmunoGen for all countries of the world excluding Country X are:</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$500M*[***]% + $450M*[***]% = $[***]</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Step 4 – Sum the amounts calculated in Steps 2 and 3 above to arrive at the total royalties due to ImmunoGen for the Calendar Quarter.</w:t>
      </w:r>
    </w:p>
    <w:p>
      <w:pPr>
        <w:spacing w:after="0" w:line="173" w:lineRule="exact"/>
        <w:rPr>
          <w:sz w:val="20"/>
          <w:szCs w:val="20"/>
          <w:color w:val="auto"/>
        </w:rPr>
      </w:pPr>
    </w:p>
    <w:p>
      <w:pPr>
        <w:ind w:right="7760" w:firstLine="8"/>
        <w:spacing w:after="0" w:line="456" w:lineRule="auto"/>
        <w:tabs>
          <w:tab w:leader="none" w:pos="257" w:val="left"/>
        </w:tabs>
        <w:numPr>
          <w:ilvl w:val="0"/>
          <w:numId w:val="167"/>
        </w:numPr>
        <w:rPr>
          <w:rFonts w:ascii="Arial" w:cs="Arial" w:eastAsia="Arial" w:hAnsi="Arial"/>
          <w:sz w:val="22"/>
          <w:szCs w:val="22"/>
          <w:color w:val="auto"/>
        </w:rPr>
      </w:pPr>
      <w:r>
        <w:rPr>
          <w:rFonts w:ascii="Arial" w:cs="Arial" w:eastAsia="Arial" w:hAnsi="Arial"/>
          <w:sz w:val="22"/>
          <w:szCs w:val="22"/>
          <w:color w:val="auto"/>
        </w:rPr>
        <w:t>Continuing with the example in Step 1, $[***] +$[***] =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firstLine="8"/>
        <w:spacing w:after="0" w:line="277" w:lineRule="auto"/>
        <w:tabs>
          <w:tab w:leader="none" w:pos="43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ind w:left="10200"/>
        <w:spacing w:after="0"/>
        <w:rPr>
          <w:sz w:val="20"/>
          <w:szCs w:val="20"/>
          <w:color w:val="auto"/>
        </w:rPr>
      </w:pPr>
      <w:r>
        <w:rPr>
          <w:rFonts w:ascii="Arial" w:cs="Arial" w:eastAsia="Arial" w:hAnsi="Arial"/>
          <w:sz w:val="21"/>
          <w:szCs w:val="21"/>
          <w:b w:val="1"/>
          <w:bCs w:val="1"/>
          <w:color w:val="auto"/>
        </w:rPr>
        <w:t>Exhibit 10.5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RESEARCH COLLABORATION AGREEMENT</w:t>
      </w:r>
    </w:p>
    <w:p>
      <w:pPr>
        <w:spacing w:after="0" w:line="206" w:lineRule="exact"/>
        <w:rPr>
          <w:sz w:val="20"/>
          <w:szCs w:val="20"/>
          <w:color w:val="auto"/>
        </w:rPr>
      </w:pPr>
    </w:p>
    <w:p>
      <w:pPr>
        <w:ind w:right="140" w:firstLine="877"/>
        <w:spacing w:after="0" w:line="236" w:lineRule="auto"/>
        <w:rPr>
          <w:sz w:val="20"/>
          <w:szCs w:val="20"/>
          <w:color w:val="auto"/>
        </w:rPr>
      </w:pPr>
      <w:r>
        <w:rPr>
          <w:rFonts w:ascii="Arial" w:cs="Arial" w:eastAsia="Arial" w:hAnsi="Arial"/>
          <w:sz w:val="22"/>
          <w:szCs w:val="22"/>
          <w:color w:val="auto"/>
        </w:rPr>
        <w:t>This Second Amendment to Research Collaboration Agreement (the “</w:t>
      </w:r>
      <w:r>
        <w:rPr>
          <w:rFonts w:ascii="Arial" w:cs="Arial" w:eastAsia="Arial" w:hAnsi="Arial"/>
          <w:sz w:val="22"/>
          <w:szCs w:val="22"/>
          <w:b w:val="1"/>
          <w:bCs w:val="1"/>
          <w:u w:val="single" w:color="auto"/>
          <w:color w:val="auto"/>
        </w:rPr>
        <w:t>Second Amendment</w:t>
      </w:r>
      <w:r>
        <w:rPr>
          <w:rFonts w:ascii="Arial" w:cs="Arial" w:eastAsia="Arial" w:hAnsi="Arial"/>
          <w:sz w:val="22"/>
          <w:szCs w:val="22"/>
          <w:color w:val="auto"/>
        </w:rPr>
        <w:t xml:space="preserve">”) is made effective as of the date of the last signature below by and between </w:t>
      </w:r>
      <w:r>
        <w:rPr>
          <w:rFonts w:ascii="Arial" w:cs="Arial" w:eastAsia="Arial" w:hAnsi="Arial"/>
          <w:sz w:val="22"/>
          <w:szCs w:val="22"/>
          <w:b w:val="1"/>
          <w:bCs w:val="1"/>
          <w:color w:val="auto"/>
        </w:rPr>
        <w:t>ImmunoGen, Inc.,</w:t>
      </w:r>
      <w:r>
        <w:rPr>
          <w:rFonts w:ascii="Arial" w:cs="Arial" w:eastAsia="Arial" w:hAnsi="Arial"/>
          <w:sz w:val="22"/>
          <w:szCs w:val="22"/>
          <w:color w:val="auto"/>
        </w:rPr>
        <w:t xml:space="preserve"> a Massachusetts corporation (“</w:t>
      </w:r>
      <w:r>
        <w:rPr>
          <w:rFonts w:ascii="Arial" w:cs="Arial" w:eastAsia="Arial" w:hAnsi="Arial"/>
          <w:sz w:val="22"/>
          <w:szCs w:val="22"/>
          <w:b w:val="1"/>
          <w:bCs w:val="1"/>
          <w:u w:val="single" w:color="auto"/>
          <w:color w:val="auto"/>
        </w:rPr>
        <w:t>ImmunoGen</w:t>
      </w:r>
      <w:r>
        <w:rPr>
          <w:rFonts w:ascii="Arial" w:cs="Arial" w:eastAsia="Arial" w:hAnsi="Arial"/>
          <w:sz w:val="22"/>
          <w:szCs w:val="22"/>
          <w:color w:val="auto"/>
        </w:rPr>
        <w:t xml:space="preserve">”), with its principal place of business being 830 Winter Street, Waltham, Massachusetts 02451, USA, and </w:t>
      </w:r>
      <w:r>
        <w:rPr>
          <w:rFonts w:ascii="Arial" w:cs="Arial" w:eastAsia="Arial" w:hAnsi="Arial"/>
          <w:sz w:val="22"/>
          <w:szCs w:val="22"/>
          <w:b w:val="1"/>
          <w:bCs w:val="1"/>
          <w:color w:val="auto"/>
        </w:rPr>
        <w:t>CytomX Therapeutics, Inc.</w:t>
      </w:r>
      <w:r>
        <w:rPr>
          <w:rFonts w:ascii="Arial" w:cs="Arial" w:eastAsia="Arial" w:hAnsi="Arial"/>
          <w:sz w:val="22"/>
          <w:szCs w:val="22"/>
          <w:color w:val="auto"/>
        </w:rPr>
        <w:t xml:space="preserve">, </w:t>
      </w:r>
      <w:r>
        <w:rPr>
          <w:rFonts w:ascii="Arial" w:cs="Arial" w:eastAsia="Arial" w:hAnsi="Arial"/>
          <w:sz w:val="22"/>
          <w:szCs w:val="22"/>
          <w:b w:val="1"/>
          <w:bCs w:val="1"/>
          <w:color w:val="auto"/>
        </w:rPr>
        <w:t>a</w:t>
      </w:r>
      <w:r>
        <w:rPr>
          <w:rFonts w:ascii="Arial" w:cs="Arial" w:eastAsia="Arial" w:hAnsi="Arial"/>
          <w:sz w:val="22"/>
          <w:szCs w:val="22"/>
          <w:color w:val="auto"/>
        </w:rPr>
        <w:t xml:space="preserve"> Delaware corporation (“</w:t>
      </w:r>
      <w:r>
        <w:rPr>
          <w:rFonts w:ascii="Arial" w:cs="Arial" w:eastAsia="Arial" w:hAnsi="Arial"/>
          <w:sz w:val="22"/>
          <w:szCs w:val="22"/>
          <w:b w:val="1"/>
          <w:bCs w:val="1"/>
          <w:u w:val="single" w:color="auto"/>
          <w:color w:val="auto"/>
        </w:rPr>
        <w:t>CytomX</w:t>
      </w:r>
      <w:r>
        <w:rPr>
          <w:rFonts w:ascii="Arial" w:cs="Arial" w:eastAsia="Arial" w:hAnsi="Arial"/>
          <w:sz w:val="22"/>
          <w:szCs w:val="22"/>
          <w:color w:val="auto"/>
        </w:rPr>
        <w:t>”), with its principal place of business being 343 Oyster Point Blvd., Suite 100, South San Francisco, California 94080. ImmunoGen and CytomX are herein sometimes referred to as a “</w:t>
      </w:r>
      <w:r>
        <w:rPr>
          <w:rFonts w:ascii="Arial" w:cs="Arial" w:eastAsia="Arial" w:hAnsi="Arial"/>
          <w:sz w:val="22"/>
          <w:szCs w:val="22"/>
          <w:b w:val="1"/>
          <w:bCs w:val="1"/>
          <w:u w:val="single" w:color="auto"/>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u w:val="single" w:color="auto"/>
          <w:color w:val="auto"/>
        </w:rPr>
        <w:t>Parties</w:t>
      </w:r>
      <w:r>
        <w:rPr>
          <w:rFonts w:ascii="Arial" w:cs="Arial" w:eastAsia="Arial" w:hAnsi="Arial"/>
          <w:sz w:val="22"/>
          <w:szCs w:val="22"/>
          <w:color w:val="auto"/>
        </w:rPr>
        <w:t>.”</w:t>
      </w:r>
    </w:p>
    <w:p>
      <w:pPr>
        <w:spacing w:after="0" w:line="188" w:lineRule="exact"/>
        <w:rPr>
          <w:sz w:val="20"/>
          <w:szCs w:val="20"/>
          <w:color w:val="auto"/>
        </w:rPr>
      </w:pPr>
    </w:p>
    <w:p>
      <w:pPr>
        <w:ind w:right="120" w:firstLine="877"/>
        <w:spacing w:after="0" w:line="251" w:lineRule="auto"/>
        <w:rPr>
          <w:sz w:val="20"/>
          <w:szCs w:val="20"/>
          <w:color w:val="auto"/>
        </w:rPr>
      </w:pPr>
      <w:r>
        <w:rPr>
          <w:rFonts w:ascii="Arial" w:cs="Arial" w:eastAsia="Arial" w:hAnsi="Arial"/>
          <w:sz w:val="22"/>
          <w:szCs w:val="22"/>
          <w:color w:val="auto"/>
        </w:rPr>
        <w:t>WHEREAS, ImmunoGen and CytomX are parties to that certain Research Collaboration Agreement dated as of January 8, 2014, as amended effective April 3, 2015 (the “</w:t>
      </w:r>
      <w:r>
        <w:rPr>
          <w:rFonts w:ascii="Arial" w:cs="Arial" w:eastAsia="Arial" w:hAnsi="Arial"/>
          <w:sz w:val="22"/>
          <w:szCs w:val="22"/>
          <w:b w:val="1"/>
          <w:bCs w:val="1"/>
          <w:u w:val="single" w:color="auto"/>
          <w:color w:val="auto"/>
        </w:rPr>
        <w:t>RCA</w:t>
      </w:r>
      <w:r>
        <w:rPr>
          <w:rFonts w:ascii="Arial" w:cs="Arial" w:eastAsia="Arial" w:hAnsi="Arial"/>
          <w:sz w:val="22"/>
          <w:szCs w:val="22"/>
          <w:color w:val="auto"/>
        </w:rPr>
        <w:t>”); and</w:t>
      </w:r>
    </w:p>
    <w:p>
      <w:pPr>
        <w:spacing w:after="0" w:line="173"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color w:val="auto"/>
        </w:rPr>
        <w:t>WHEREAS, the Parties desire to amend the RCA to provide CytomX with the ability to evaluate a second Replacement Target following its first exercise of the CytomX Option, as set forth in this Second Amendment; and</w:t>
      </w:r>
    </w:p>
    <w:p>
      <w:pPr>
        <w:spacing w:after="0" w:line="173" w:lineRule="exact"/>
        <w:rPr>
          <w:sz w:val="20"/>
          <w:szCs w:val="20"/>
          <w:color w:val="auto"/>
        </w:rPr>
      </w:pPr>
    </w:p>
    <w:p>
      <w:pPr>
        <w:ind w:right="340" w:firstLine="877"/>
        <w:spacing w:after="0" w:line="251"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agree and covenant as follows.</w:t>
      </w:r>
    </w:p>
    <w:p>
      <w:pPr>
        <w:spacing w:after="0" w:line="167" w:lineRule="exact"/>
        <w:rPr>
          <w:sz w:val="20"/>
          <w:szCs w:val="20"/>
          <w:color w:val="auto"/>
        </w:rPr>
      </w:pPr>
    </w:p>
    <w:p>
      <w:pPr>
        <w:ind w:left="1700" w:hanging="815"/>
        <w:spacing w:after="0"/>
        <w:tabs>
          <w:tab w:leader="none" w:pos="1700" w:val="left"/>
        </w:tabs>
        <w:numPr>
          <w:ilvl w:val="0"/>
          <w:numId w:val="169"/>
        </w:numPr>
        <w:rPr>
          <w:rFonts w:ascii="Arial" w:cs="Arial" w:eastAsia="Arial" w:hAnsi="Arial"/>
          <w:sz w:val="19"/>
          <w:szCs w:val="19"/>
          <w:color w:val="auto"/>
        </w:rPr>
      </w:pPr>
      <w:r>
        <w:rPr>
          <w:rFonts w:ascii="Arial" w:cs="Arial" w:eastAsia="Arial" w:hAnsi="Arial"/>
          <w:sz w:val="19"/>
          <w:szCs w:val="19"/>
          <w:b w:val="1"/>
          <w:bCs w:val="1"/>
          <w:u w:val="single" w:color="auto"/>
          <w:color w:val="auto"/>
        </w:rPr>
        <w:t>Target Replacement Right</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2.1.2 of the RCA is deleted in its entirety and replaced with the following:</w:t>
      </w:r>
    </w:p>
    <w:p>
      <w:pPr>
        <w:spacing w:after="0" w:line="241" w:lineRule="exact"/>
        <w:rPr>
          <w:sz w:val="20"/>
          <w:szCs w:val="20"/>
          <w:color w:val="auto"/>
        </w:rPr>
      </w:pPr>
    </w:p>
    <w:p>
      <w:pPr>
        <w:jc w:val="both"/>
        <w:ind w:left="1380"/>
        <w:spacing w:after="0" w:line="271"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b w:val="1"/>
          <w:bCs w:val="1"/>
          <w:color w:val="auto"/>
        </w:rPr>
        <w:t>Target Replacement Right</w:t>
      </w:r>
      <w:r>
        <w:rPr>
          <w:rFonts w:ascii="Arial" w:cs="Arial" w:eastAsia="Arial" w:hAnsi="Arial"/>
          <w:sz w:val="19"/>
          <w:szCs w:val="19"/>
          <w:color w:val="auto"/>
        </w:rPr>
        <w:t>. Each Party shall have the right to replace each of its initial Research Program Targets with another single Target (a “</w:t>
      </w:r>
      <w:r>
        <w:rPr>
          <w:rFonts w:ascii="Arial" w:cs="Arial" w:eastAsia="Arial" w:hAnsi="Arial"/>
          <w:sz w:val="19"/>
          <w:szCs w:val="19"/>
          <w:b w:val="1"/>
          <w:bCs w:val="1"/>
          <w:color w:val="auto"/>
        </w:rPr>
        <w:t>Replacement Target</w:t>
      </w:r>
      <w:r>
        <w:rPr>
          <w:rFonts w:ascii="Arial" w:cs="Arial" w:eastAsia="Arial" w:hAnsi="Arial"/>
          <w:sz w:val="19"/>
          <w:szCs w:val="19"/>
          <w:color w:val="auto"/>
        </w:rPr>
        <w:t>”), exercisable upon written notice to the other Party, at any time on or prior to the three (3)-year anniversary of the Effective Date (the “</w:t>
      </w:r>
      <w:r>
        <w:rPr>
          <w:rFonts w:ascii="Arial" w:cs="Arial" w:eastAsia="Arial" w:hAnsi="Arial"/>
          <w:sz w:val="19"/>
          <w:szCs w:val="19"/>
          <w:b w:val="1"/>
          <w:bCs w:val="1"/>
          <w:color w:val="auto"/>
        </w:rPr>
        <w:t>Replacement Target Cut-Off</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provided that neither Party may replace an initial Research Program Target with a Replacement Target once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Party has exercised its Option with respect to such initial Research Program Target. For clarity, even though CytomX’s Research Program Target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consists of two (2) potential Targets due to cross-reactivity, the Probody used to make the Agreement PDC that Targets CytomX’s Replacement Target shall not be a bi-specific Probody or otherwise cross-react with any Target other than the single Replacement Target. A Replacement Target may not be a Target that is or was previously a Research Program Target of the other Party. Anything contained in this Agreement to the contrary notwithstanding, CytomX shall have the right to replace its first Replacement Target with another single Replacement Target, exercisable upon written notice to ImmunoGen and payment to ImmunoGen of a fee in the amount of [***] U.S. Dollars ($[***]) (the “</w:t>
      </w:r>
      <w:r>
        <w:rPr>
          <w:rFonts w:ascii="Arial" w:cs="Arial" w:eastAsia="Arial" w:hAnsi="Arial"/>
          <w:sz w:val="19"/>
          <w:szCs w:val="19"/>
          <w:b w:val="1"/>
          <w:bCs w:val="1"/>
          <w:color w:val="auto"/>
        </w:rPr>
        <w:t>Expanded Access Fee</w:t>
      </w:r>
      <w:r>
        <w:rPr>
          <w:rFonts w:ascii="Arial" w:cs="Arial" w:eastAsia="Arial" w:hAnsi="Arial"/>
          <w:sz w:val="19"/>
          <w:szCs w:val="19"/>
          <w:color w:val="auto"/>
        </w:rPr>
        <w:t>”) at any time after CytomX has replaced its initial Research Program Targets with a Replacement Target but on or prior to the Replacement Target Cut-Off Date. Any such second Replacement Target for CytomX may not be a Target that is or was previously a Research Program Target of ImmunoGen, and availability of any such second Replacement Target shall be subject to Section 2.1.3 hereof. Payment of the Expanded</w:t>
      </w:r>
    </w:p>
    <w:p>
      <w:pPr>
        <w:spacing w:after="0" w:line="171" w:lineRule="exact"/>
        <w:rPr>
          <w:sz w:val="20"/>
          <w:szCs w:val="20"/>
          <w:color w:val="auto"/>
        </w:rPr>
      </w:pPr>
    </w:p>
    <w:p>
      <w:pPr>
        <w:ind w:right="200" w:firstLine="8"/>
        <w:spacing w:after="0" w:line="277" w:lineRule="auto"/>
        <w:tabs>
          <w:tab w:leader="none" w:pos="43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1" w:name="page162"/>
    <w:bookmarkEnd w:id="161"/>
    <w:p>
      <w:pPr>
        <w:jc w:val="center"/>
        <w:ind w:right="-11"/>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jc w:val="both"/>
        <w:ind w:left="1372"/>
        <w:spacing w:after="0"/>
        <w:rPr>
          <w:sz w:val="20"/>
          <w:szCs w:val="20"/>
          <w:color w:val="auto"/>
        </w:rPr>
      </w:pPr>
      <w:r>
        <w:rPr>
          <w:rFonts w:ascii="Arial" w:cs="Arial" w:eastAsia="Arial" w:hAnsi="Arial"/>
          <w:sz w:val="22"/>
          <w:szCs w:val="22"/>
          <w:color w:val="auto"/>
        </w:rPr>
        <w:t>Access Fee by CytomX to ImmunoGen shall be made in U.S. Dollars without set-off or counterclaim and free and clear of any taxes, duties, levies, fees or charges. The Expansion Fee shall be non-refundable and non-creditable. [***]</w:t>
      </w:r>
    </w:p>
    <w:p>
      <w:pPr>
        <w:spacing w:after="0" w:line="180" w:lineRule="exact"/>
        <w:rPr>
          <w:sz w:val="20"/>
          <w:szCs w:val="20"/>
          <w:color w:val="auto"/>
        </w:rPr>
      </w:pPr>
    </w:p>
    <w:p>
      <w:pPr>
        <w:ind w:left="-8" w:right="100" w:firstLine="885"/>
        <w:spacing w:after="0" w:line="243" w:lineRule="auto"/>
        <w:tabs>
          <w:tab w:leader="none" w:pos="1680" w:val="left"/>
        </w:tabs>
        <w:numPr>
          <w:ilvl w:val="0"/>
          <w:numId w:val="171"/>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and not otherwise defined herein shall have the respective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ascribed to them in the RCA. The RCA remains in full force and effect, as amended by this Second Amendment. References in the RCA to “Agreement’’ mean the RCA as amended by this Second Amendment.</w:t>
      </w:r>
    </w:p>
    <w:p>
      <w:pPr>
        <w:spacing w:after="0" w:line="183" w:lineRule="exact"/>
        <w:rPr>
          <w:sz w:val="20"/>
          <w:szCs w:val="20"/>
          <w:color w:val="auto"/>
        </w:rPr>
      </w:pPr>
    </w:p>
    <w:p>
      <w:pPr>
        <w:ind w:left="392"/>
        <w:spacing w:after="0"/>
        <w:rPr>
          <w:sz w:val="20"/>
          <w:szCs w:val="20"/>
          <w:color w:val="auto"/>
        </w:rPr>
      </w:pPr>
      <w:r>
        <w:rPr>
          <w:rFonts w:ascii="Arial" w:cs="Arial" w:eastAsia="Arial" w:hAnsi="Arial"/>
          <w:sz w:val="22"/>
          <w:szCs w:val="22"/>
          <w:i w:val="1"/>
          <w:iCs w:val="1"/>
          <w:color w:val="auto"/>
        </w:rPr>
        <w:t>[The remainder of this page has been intentionally left blank The 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ind w:left="-8" w:right="200" w:firstLine="8"/>
        <w:spacing w:after="0" w:line="259" w:lineRule="auto"/>
        <w:tabs>
          <w:tab w:leader="none" w:pos="42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IN WITNESS WHEREOF, the Parties have caused this Second Amendment to Research Collaboration Agreement to be executed by their duly authorized representatives.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IMMUNOGEN, INC.</w:t>
            </w:r>
          </w:p>
        </w:tc>
        <w:tc>
          <w:tcPr>
            <w:tcW w:w="6340" w:type="dxa"/>
            <w:vAlign w:val="bottom"/>
            <w:gridSpan w:val="2"/>
          </w:tcPr>
          <w:p>
            <w:pPr>
              <w:ind w:left="700"/>
              <w:spacing w:after="0"/>
              <w:rPr>
                <w:sz w:val="20"/>
                <w:szCs w:val="20"/>
                <w:color w:val="auto"/>
              </w:rPr>
            </w:pPr>
            <w:r>
              <w:rPr>
                <w:rFonts w:ascii="Arial" w:cs="Arial" w:eastAsia="Arial" w:hAnsi="Arial"/>
                <w:sz w:val="18"/>
                <w:szCs w:val="18"/>
                <w:b w:val="1"/>
                <w:bCs w:val="1"/>
                <w:color w:val="auto"/>
              </w:rPr>
              <w:t>CYTOMX THERAPEUTICS, INC.</w:t>
            </w:r>
          </w:p>
        </w:tc>
      </w:tr>
      <w:tr>
        <w:trPr>
          <w:trHeight w:val="33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/s/ Peter Williams</w:t>
            </w:r>
          </w:p>
        </w:tc>
        <w:tc>
          <w:tcPr>
            <w:tcW w:w="1540" w:type="dxa"/>
            <w:vAlign w:val="bottom"/>
          </w:tcPr>
          <w:p>
            <w:pPr>
              <w:ind w:left="700"/>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/s/ Debanjan Ray</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Peter Williams</w:t>
            </w:r>
          </w:p>
        </w:tc>
        <w:tc>
          <w:tcPr>
            <w:tcW w:w="1540" w:type="dxa"/>
            <w:vAlign w:val="bottom"/>
          </w:tcPr>
          <w:p>
            <w:pPr>
              <w:ind w:left="700"/>
              <w:spacing w:after="0"/>
              <w:rPr>
                <w:sz w:val="20"/>
                <w:szCs w:val="20"/>
                <w:color w:val="auto"/>
              </w:rPr>
            </w:pPr>
            <w:r>
              <w:rPr>
                <w:rFonts w:ascii="Arial" w:cs="Arial" w:eastAsia="Arial" w:hAnsi="Arial"/>
                <w:sz w:val="18"/>
                <w:szCs w:val="18"/>
                <w:color w:val="auto"/>
              </w:rPr>
              <w:t>Name:</w:t>
            </w:r>
          </w:p>
        </w:tc>
        <w:tc>
          <w:tcPr>
            <w:tcW w:w="4800" w:type="dxa"/>
            <w:vAlign w:val="bottom"/>
          </w:tcPr>
          <w:p>
            <w:pPr>
              <w:spacing w:after="0"/>
              <w:rPr>
                <w:sz w:val="20"/>
                <w:szCs w:val="20"/>
                <w:color w:val="auto"/>
              </w:rPr>
            </w:pPr>
            <w:r>
              <w:rPr>
                <w:rFonts w:ascii="Arial" w:cs="Arial" w:eastAsia="Arial" w:hAnsi="Arial"/>
                <w:sz w:val="18"/>
                <w:szCs w:val="18"/>
                <w:color w:val="auto"/>
              </w:rPr>
              <w:t>Debanjan Ray</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Vice President</w:t>
            </w:r>
          </w:p>
        </w:tc>
        <w:tc>
          <w:tcPr>
            <w:tcW w:w="1540" w:type="dxa"/>
            <w:vAlign w:val="bottom"/>
          </w:tcPr>
          <w:p>
            <w:pPr>
              <w:ind w:left="700"/>
              <w:spacing w:after="0"/>
              <w:rPr>
                <w:sz w:val="20"/>
                <w:szCs w:val="20"/>
                <w:color w:val="auto"/>
              </w:rPr>
            </w:pPr>
            <w:r>
              <w:rPr>
                <w:rFonts w:ascii="Arial" w:cs="Arial" w:eastAsia="Arial" w:hAnsi="Arial"/>
                <w:sz w:val="18"/>
                <w:szCs w:val="18"/>
                <w:color w:val="auto"/>
              </w:rPr>
              <w:t>Title:</w:t>
            </w:r>
          </w:p>
        </w:tc>
        <w:tc>
          <w:tcPr>
            <w:tcW w:w="4800" w:type="dxa"/>
            <w:vAlign w:val="bottom"/>
          </w:tcPr>
          <w:p>
            <w:pPr>
              <w:spacing w:after="0"/>
              <w:rPr>
                <w:sz w:val="20"/>
                <w:szCs w:val="20"/>
                <w:color w:val="auto"/>
              </w:rPr>
            </w:pPr>
            <w:r>
              <w:rPr>
                <w:rFonts w:ascii="Arial" w:cs="Arial" w:eastAsia="Arial" w:hAnsi="Arial"/>
                <w:sz w:val="18"/>
                <w:szCs w:val="18"/>
                <w:color w:val="auto"/>
              </w:rPr>
              <w:t>SVP Corporate Development</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400" w:type="dxa"/>
            <w:vAlign w:val="bottom"/>
            <w:gridSpan w:val="2"/>
          </w:tcPr>
          <w:p>
            <w:pPr>
              <w:ind w:left="180"/>
              <w:spacing w:after="0"/>
              <w:rPr>
                <w:sz w:val="20"/>
                <w:szCs w:val="20"/>
                <w:color w:val="auto"/>
              </w:rPr>
            </w:pPr>
            <w:r>
              <w:rPr>
                <w:rFonts w:ascii="Arial" w:cs="Arial" w:eastAsia="Arial" w:hAnsi="Arial"/>
                <w:sz w:val="18"/>
                <w:szCs w:val="18"/>
                <w:color w:val="auto"/>
              </w:rPr>
              <w:t>February 12, 2016</w:t>
            </w:r>
          </w:p>
        </w:tc>
        <w:tc>
          <w:tcPr>
            <w:tcW w:w="1540" w:type="dxa"/>
            <w:vAlign w:val="bottom"/>
          </w:tcPr>
          <w:p>
            <w:pPr>
              <w:ind w:left="700"/>
              <w:spacing w:after="0"/>
              <w:rPr>
                <w:sz w:val="20"/>
                <w:szCs w:val="20"/>
                <w:color w:val="auto"/>
              </w:rPr>
            </w:pPr>
            <w:r>
              <w:rPr>
                <w:rFonts w:ascii="Arial" w:cs="Arial" w:eastAsia="Arial" w:hAnsi="Arial"/>
                <w:sz w:val="18"/>
                <w:szCs w:val="18"/>
                <w:color w:val="auto"/>
              </w:rPr>
              <w:t>Date:</w:t>
            </w:r>
          </w:p>
        </w:tc>
        <w:tc>
          <w:tcPr>
            <w:tcW w:w="4800" w:type="dxa"/>
            <w:vAlign w:val="bottom"/>
          </w:tcPr>
          <w:p>
            <w:pPr>
              <w:spacing w:after="0"/>
              <w:rPr>
                <w:sz w:val="20"/>
                <w:szCs w:val="20"/>
                <w:color w:val="auto"/>
              </w:rPr>
            </w:pPr>
            <w:r>
              <w:rPr>
                <w:rFonts w:ascii="Arial" w:cs="Arial" w:eastAsia="Arial" w:hAnsi="Arial"/>
                <w:sz w:val="18"/>
                <w:szCs w:val="18"/>
                <w:color w:val="auto"/>
              </w:rPr>
              <w:t>February 12, 2016</w:t>
            </w:r>
          </w:p>
        </w:tc>
      </w:tr>
      <w:tr>
        <w:trPr>
          <w:trHeight w:val="20"/>
        </w:trPr>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3" w:lineRule="exact"/>
        <w:rPr>
          <w:sz w:val="20"/>
          <w:szCs w:val="20"/>
          <w:color w:val="auto"/>
        </w:rPr>
      </w:pPr>
    </w:p>
    <w:p>
      <w:pPr>
        <w:ind w:right="200" w:firstLine="8"/>
        <w:spacing w:after="0" w:line="259" w:lineRule="auto"/>
        <w:tabs>
          <w:tab w:leader="none" w:pos="43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10.6</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RESEARCH COLLABORATION AGREEMENT</w:t>
      </w:r>
    </w:p>
    <w:p>
      <w:pPr>
        <w:spacing w:after="0" w:line="206" w:lineRule="exact"/>
        <w:rPr>
          <w:sz w:val="20"/>
          <w:szCs w:val="20"/>
          <w:color w:val="auto"/>
        </w:rPr>
      </w:pPr>
    </w:p>
    <w:p>
      <w:pPr>
        <w:ind w:firstLine="877"/>
        <w:spacing w:after="0" w:line="284" w:lineRule="auto"/>
        <w:rPr>
          <w:sz w:val="20"/>
          <w:szCs w:val="20"/>
          <w:color w:val="auto"/>
        </w:rPr>
      </w:pPr>
      <w:r>
        <w:rPr>
          <w:rFonts w:ascii="Arial" w:cs="Arial" w:eastAsia="Arial" w:hAnsi="Arial"/>
          <w:sz w:val="19"/>
          <w:szCs w:val="19"/>
          <w:color w:val="auto"/>
        </w:rPr>
        <w:t>This Third Amendment to Research Collaboration Agreement (the “</w:t>
      </w:r>
      <w:r>
        <w:rPr>
          <w:rFonts w:ascii="Arial" w:cs="Arial" w:eastAsia="Arial" w:hAnsi="Arial"/>
          <w:sz w:val="19"/>
          <w:szCs w:val="19"/>
          <w:b w:val="1"/>
          <w:bCs w:val="1"/>
          <w:u w:val="single" w:color="auto"/>
          <w:color w:val="auto"/>
        </w:rPr>
        <w:t>Third Amendment</w:t>
      </w:r>
      <w:r>
        <w:rPr>
          <w:rFonts w:ascii="Arial" w:cs="Arial" w:eastAsia="Arial" w:hAnsi="Arial"/>
          <w:sz w:val="19"/>
          <w:szCs w:val="19"/>
          <w:color w:val="auto"/>
        </w:rPr>
        <w:t xml:space="preserve">”) is made effective as of the date of the last signature below by and between </w:t>
      </w:r>
      <w:r>
        <w:rPr>
          <w:rFonts w:ascii="Arial" w:cs="Arial" w:eastAsia="Arial" w:hAnsi="Arial"/>
          <w:sz w:val="19"/>
          <w:szCs w:val="19"/>
          <w:b w:val="1"/>
          <w:bCs w:val="1"/>
          <w:color w:val="auto"/>
        </w:rPr>
        <w:t>ImmunoGen, Inc.,</w:t>
      </w:r>
      <w:r>
        <w:rPr>
          <w:rFonts w:ascii="Arial" w:cs="Arial" w:eastAsia="Arial" w:hAnsi="Arial"/>
          <w:sz w:val="19"/>
          <w:szCs w:val="19"/>
          <w:color w:val="auto"/>
        </w:rPr>
        <w:t xml:space="preserve"> a Massachusetts corporation (“</w:t>
      </w:r>
      <w:r>
        <w:rPr>
          <w:rFonts w:ascii="Arial" w:cs="Arial" w:eastAsia="Arial" w:hAnsi="Arial"/>
          <w:sz w:val="19"/>
          <w:szCs w:val="19"/>
          <w:b w:val="1"/>
          <w:bCs w:val="1"/>
          <w:u w:val="single" w:color="auto"/>
          <w:color w:val="auto"/>
        </w:rPr>
        <w:t>lmmunoGen</w:t>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with its principal place of business being 830 Winter Street, Waltham, Massachusetts 02451-1477, and </w:t>
      </w:r>
      <w:r>
        <w:rPr>
          <w:rFonts w:ascii="Arial" w:cs="Arial" w:eastAsia="Arial" w:hAnsi="Arial"/>
          <w:sz w:val="19"/>
          <w:szCs w:val="19"/>
          <w:b w:val="1"/>
          <w:bCs w:val="1"/>
          <w:color w:val="auto"/>
        </w:rPr>
        <w:t>CytomX Therapeutics, Inc.</w:t>
      </w:r>
      <w:r>
        <w:rPr>
          <w:rFonts w:ascii="Arial" w:cs="Arial" w:eastAsia="Arial" w:hAnsi="Arial"/>
          <w:sz w:val="19"/>
          <w:szCs w:val="19"/>
          <w:color w:val="auto"/>
        </w:rPr>
        <w:t>, a Delaware corporation (“</w:t>
      </w:r>
      <w:r>
        <w:rPr>
          <w:rFonts w:ascii="Arial" w:cs="Arial" w:eastAsia="Arial" w:hAnsi="Arial"/>
          <w:sz w:val="19"/>
          <w:szCs w:val="19"/>
          <w:b w:val="1"/>
          <w:bCs w:val="1"/>
          <w:u w:val="single" w:color="auto"/>
          <w:color w:val="auto"/>
        </w:rPr>
        <w:t>CytomX</w:t>
      </w:r>
      <w:r>
        <w:rPr>
          <w:rFonts w:ascii="Arial" w:cs="Arial" w:eastAsia="Arial" w:hAnsi="Arial"/>
          <w:sz w:val="19"/>
          <w:szCs w:val="19"/>
          <w:color w:val="auto"/>
        </w:rPr>
        <w:t>”), with its principal place of business being 151 Oyster Point Blvd., Suite 400, South San Francisco, California 94080. ImmunoGen and CytomX are herein sometimes referred to as a “</w:t>
      </w:r>
      <w:r>
        <w:rPr>
          <w:rFonts w:ascii="Arial" w:cs="Arial" w:eastAsia="Arial" w:hAnsi="Arial"/>
          <w:sz w:val="19"/>
          <w:szCs w:val="19"/>
          <w:b w:val="1"/>
          <w:bCs w:val="1"/>
          <w:u w:val="single" w:color="auto"/>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u w:val="single" w:color="auto"/>
          <w:color w:val="auto"/>
        </w:rPr>
        <w:t>Parties</w:t>
      </w:r>
      <w:r>
        <w:rPr>
          <w:rFonts w:ascii="Arial" w:cs="Arial" w:eastAsia="Arial" w:hAnsi="Arial"/>
          <w:sz w:val="19"/>
          <w:szCs w:val="19"/>
          <w:color w:val="auto"/>
        </w:rPr>
        <w:t>.”</w:t>
      </w:r>
    </w:p>
    <w:p>
      <w:pPr>
        <w:spacing w:after="0" w:line="145" w:lineRule="exact"/>
        <w:rPr>
          <w:sz w:val="20"/>
          <w:szCs w:val="20"/>
          <w:color w:val="auto"/>
        </w:rPr>
      </w:pPr>
    </w:p>
    <w:p>
      <w:pPr>
        <w:ind w:right="120" w:firstLine="877"/>
        <w:spacing w:after="0" w:line="251" w:lineRule="auto"/>
        <w:rPr>
          <w:sz w:val="20"/>
          <w:szCs w:val="20"/>
          <w:color w:val="auto"/>
        </w:rPr>
      </w:pPr>
      <w:r>
        <w:rPr>
          <w:rFonts w:ascii="Arial" w:cs="Arial" w:eastAsia="Arial" w:hAnsi="Arial"/>
          <w:sz w:val="22"/>
          <w:szCs w:val="22"/>
          <w:color w:val="auto"/>
        </w:rPr>
        <w:t>WHEREAS, ImmunoGen and CytomX are parties to that certain Research Collaboration Agreement dated as of January 8, 2014, as amended effective April 3, 2015 and February 12, 2016 and (the “</w:t>
      </w:r>
      <w:r>
        <w:rPr>
          <w:rFonts w:ascii="Arial" w:cs="Arial" w:eastAsia="Arial" w:hAnsi="Arial"/>
          <w:sz w:val="22"/>
          <w:szCs w:val="22"/>
          <w:b w:val="1"/>
          <w:bCs w:val="1"/>
          <w:u w:val="single" w:color="auto"/>
          <w:color w:val="auto"/>
        </w:rPr>
        <w:t>RCA</w:t>
      </w:r>
      <w:r>
        <w:rPr>
          <w:rFonts w:ascii="Arial" w:cs="Arial" w:eastAsia="Arial" w:hAnsi="Arial"/>
          <w:sz w:val="22"/>
          <w:szCs w:val="22"/>
          <w:color w:val="auto"/>
        </w:rPr>
        <w:t>”); and</w:t>
      </w:r>
    </w:p>
    <w:p>
      <w:pPr>
        <w:spacing w:after="0" w:line="173" w:lineRule="exact"/>
        <w:rPr>
          <w:sz w:val="20"/>
          <w:szCs w:val="20"/>
          <w:color w:val="auto"/>
        </w:rPr>
      </w:pPr>
    </w:p>
    <w:p>
      <w:pPr>
        <w:ind w:right="200" w:firstLine="877"/>
        <w:spacing w:after="0" w:line="251" w:lineRule="auto"/>
        <w:rPr>
          <w:sz w:val="20"/>
          <w:szCs w:val="20"/>
          <w:color w:val="auto"/>
        </w:rPr>
      </w:pPr>
      <w:r>
        <w:rPr>
          <w:rFonts w:ascii="Arial" w:cs="Arial" w:eastAsia="Arial" w:hAnsi="Arial"/>
          <w:sz w:val="22"/>
          <w:szCs w:val="22"/>
          <w:color w:val="auto"/>
        </w:rPr>
        <w:t>WHEREAS, the Parties desire to amend the RCA to extend the term of the Research Program with respect to the [***], as set forth in this Third Amendment; and</w:t>
      </w:r>
    </w:p>
    <w:p>
      <w:pPr>
        <w:spacing w:after="0" w:line="173" w:lineRule="exact"/>
        <w:rPr>
          <w:sz w:val="20"/>
          <w:szCs w:val="20"/>
          <w:color w:val="auto"/>
        </w:rPr>
      </w:pPr>
    </w:p>
    <w:p>
      <w:pPr>
        <w:ind w:right="340" w:firstLine="877"/>
        <w:spacing w:after="0" w:line="251"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agree and covenant as follows.</w:t>
      </w:r>
    </w:p>
    <w:p>
      <w:pPr>
        <w:spacing w:after="0" w:line="167" w:lineRule="exact"/>
        <w:rPr>
          <w:sz w:val="20"/>
          <w:szCs w:val="20"/>
          <w:color w:val="auto"/>
        </w:rPr>
      </w:pPr>
    </w:p>
    <w:p>
      <w:pPr>
        <w:ind w:left="1700" w:hanging="815"/>
        <w:spacing w:after="0"/>
        <w:tabs>
          <w:tab w:leader="none" w:pos="1700" w:val="left"/>
        </w:tabs>
        <w:numPr>
          <w:ilvl w:val="0"/>
          <w:numId w:val="174"/>
        </w:numPr>
        <w:rPr>
          <w:rFonts w:ascii="Arial" w:cs="Arial" w:eastAsia="Arial" w:hAnsi="Arial"/>
          <w:sz w:val="19"/>
          <w:szCs w:val="19"/>
          <w:color w:val="auto"/>
        </w:rPr>
      </w:pPr>
      <w:r>
        <w:rPr>
          <w:rFonts w:ascii="Arial" w:cs="Arial" w:eastAsia="Arial" w:hAnsi="Arial"/>
          <w:sz w:val="19"/>
          <w:szCs w:val="19"/>
          <w:b w:val="1"/>
          <w:bCs w:val="1"/>
          <w:u w:val="single" w:color="auto"/>
          <w:color w:val="auto"/>
        </w:rPr>
        <w:t>Exercise of ImmunoGen Option</w:t>
      </w:r>
      <w:r>
        <w:rPr>
          <w:rFonts w:ascii="Arial" w:cs="Arial" w:eastAsia="Arial" w:hAnsi="Arial"/>
          <w:sz w:val="19"/>
          <w:szCs w:val="19"/>
          <w:color w:val="auto"/>
        </w:rPr>
        <w:t>. Section 3.1.2 of the RCA is amended by adding the following at the end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thereof:</w:t>
      </w:r>
    </w:p>
    <w:p>
      <w:pPr>
        <w:spacing w:after="0" w:line="188" w:lineRule="exact"/>
        <w:rPr>
          <w:sz w:val="20"/>
          <w:szCs w:val="20"/>
          <w:color w:val="auto"/>
        </w:rPr>
      </w:pPr>
    </w:p>
    <w:p>
      <w:pPr>
        <w:ind w:left="1380"/>
        <w:spacing w:after="0" w:line="274" w:lineRule="auto"/>
        <w:rPr>
          <w:sz w:val="20"/>
          <w:szCs w:val="20"/>
          <w:color w:val="auto"/>
        </w:rPr>
      </w:pPr>
      <w:r>
        <w:rPr>
          <w:rFonts w:ascii="Arial" w:cs="Arial" w:eastAsia="Arial" w:hAnsi="Arial"/>
          <w:sz w:val="21"/>
          <w:szCs w:val="21"/>
          <w:color w:val="auto"/>
        </w:rPr>
        <w:t>“Anything contained in this Agreement to the contrary notwithstanding, the lmmunoGen Option may be exercised by lmmunoGen with respect to the [***] at any time during the Term, but in no case later than [***]</w:t>
      </w:r>
    </w:p>
    <w:p>
      <w:pPr>
        <w:spacing w:after="0" w:line="145" w:lineRule="exact"/>
        <w:rPr>
          <w:sz w:val="20"/>
          <w:szCs w:val="20"/>
          <w:color w:val="auto"/>
        </w:rPr>
      </w:pPr>
    </w:p>
    <w:p>
      <w:pPr>
        <w:ind w:right="260" w:firstLine="885"/>
        <w:spacing w:after="0" w:line="243" w:lineRule="auto"/>
        <w:tabs>
          <w:tab w:leader="none" w:pos="1688" w:val="left"/>
        </w:tabs>
        <w:numPr>
          <w:ilvl w:val="0"/>
          <w:numId w:val="175"/>
        </w:numPr>
        <w:rPr>
          <w:rFonts w:ascii="Arial" w:cs="Arial" w:eastAsia="Arial" w:hAnsi="Arial"/>
          <w:sz w:val="22"/>
          <w:szCs w:val="22"/>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Capitalized terms used and not otherwise defined herein shall have the respective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ascribed to them in the RCA. The RCA remains in full force and effect, as amended by this Third Amendment. References in the RCA to “Agreement” mean the RCA as amended by this Third Amendment.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22"/>
          <w:szCs w:val="22"/>
          <w:i w:val="1"/>
          <w:iCs w:val="1"/>
          <w:color w:val="auto"/>
        </w:rPr>
        <w:t>[The remainder of this page has been intentionally left blank. The signature page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00" w:firstLine="8"/>
        <w:spacing w:after="0" w:line="277" w:lineRule="auto"/>
        <w:tabs>
          <w:tab w:leader="none" w:pos="43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color w:val="auto"/>
        </w:rPr>
        <w:t>Confidential Treatment Requested by CytomX Therapeutics, Inc.</w:t>
      </w:r>
    </w:p>
    <w:p>
      <w:pPr>
        <w:spacing w:after="0" w:line="232" w:lineRule="exact"/>
        <w:rPr>
          <w:sz w:val="20"/>
          <w:szCs w:val="20"/>
          <w:color w:val="auto"/>
        </w:rPr>
      </w:pPr>
    </w:p>
    <w:p>
      <w:pPr>
        <w:ind w:right="340" w:firstLine="829"/>
        <w:spacing w:after="0" w:line="251" w:lineRule="auto"/>
        <w:rPr>
          <w:sz w:val="20"/>
          <w:szCs w:val="20"/>
          <w:color w:val="auto"/>
        </w:rPr>
      </w:pPr>
      <w:r>
        <w:rPr>
          <w:rFonts w:ascii="Arial" w:cs="Arial" w:eastAsia="Arial" w:hAnsi="Arial"/>
          <w:sz w:val="22"/>
          <w:szCs w:val="22"/>
          <w:color w:val="auto"/>
        </w:rPr>
        <w:t>IN WITNESS WHEREOF, the Parties have caused this Third Amendment to Research Collaboration Agreement to be executed by their duly authorized representatives.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IMMUNOGEN, INC.</w:t>
            </w:r>
          </w:p>
        </w:tc>
        <w:tc>
          <w:tcPr>
            <w:tcW w:w="5860" w:type="dxa"/>
            <w:vAlign w:val="bottom"/>
            <w:gridSpan w:val="2"/>
          </w:tcPr>
          <w:p>
            <w:pPr>
              <w:ind w:left="720"/>
              <w:spacing w:after="0"/>
              <w:rPr>
                <w:sz w:val="20"/>
                <w:szCs w:val="20"/>
                <w:color w:val="auto"/>
              </w:rPr>
            </w:pPr>
            <w:r>
              <w:rPr>
                <w:rFonts w:ascii="Arial" w:cs="Arial" w:eastAsia="Arial" w:hAnsi="Arial"/>
                <w:sz w:val="18"/>
                <w:szCs w:val="18"/>
                <w:b w:val="1"/>
                <w:bCs w:val="1"/>
                <w:color w:val="auto"/>
              </w:rPr>
              <w:t>CYTOMX THERAPEUTICS, INC.</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Williams</w:t>
            </w:r>
          </w:p>
        </w:tc>
        <w:tc>
          <w:tcPr>
            <w:tcW w:w="1640" w:type="dxa"/>
            <w:vAlign w:val="bottom"/>
          </w:tcPr>
          <w:p>
            <w:pPr>
              <w:ind w:left="7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Ladd</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Peter Williams</w:t>
            </w:r>
          </w:p>
        </w:tc>
        <w:tc>
          <w:tcPr>
            <w:tcW w:w="1640" w:type="dxa"/>
            <w:vAlign w:val="bottom"/>
          </w:tcPr>
          <w:p>
            <w:pPr>
              <w:ind w:left="720"/>
              <w:spacing w:after="0"/>
              <w:rPr>
                <w:sz w:val="20"/>
                <w:szCs w:val="20"/>
                <w:color w:val="auto"/>
              </w:rPr>
            </w:pPr>
            <w:r>
              <w:rPr>
                <w:rFonts w:ascii="Arial" w:cs="Arial" w:eastAsia="Arial" w:hAnsi="Arial"/>
                <w:sz w:val="18"/>
                <w:szCs w:val="18"/>
                <w:color w:val="auto"/>
              </w:rPr>
              <w:t>Name: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Cynthia Ladd</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640" w:type="dxa"/>
            <w:vAlign w:val="bottom"/>
          </w:tcPr>
          <w:p>
            <w:pPr>
              <w:ind w:left="720"/>
              <w:spacing w:after="0"/>
              <w:rPr>
                <w:sz w:val="20"/>
                <w:szCs w:val="20"/>
                <w:color w:val="auto"/>
              </w:rPr>
            </w:pPr>
            <w:r>
              <w:rPr>
                <w:rFonts w:ascii="Arial" w:cs="Arial" w:eastAsia="Arial" w:hAnsi="Arial"/>
                <w:sz w:val="18"/>
                <w:szCs w:val="18"/>
                <w:color w:val="auto"/>
              </w:rPr>
              <w:t>Title: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SVP, General Counsel</w:t>
            </w:r>
          </w:p>
        </w:tc>
      </w:tr>
      <w:tr>
        <w:trPr>
          <w:trHeight w:val="331"/>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 2017</w:t>
            </w:r>
          </w:p>
        </w:tc>
        <w:tc>
          <w:tcPr>
            <w:tcW w:w="1640" w:type="dxa"/>
            <w:vAlign w:val="bottom"/>
          </w:tcPr>
          <w:p>
            <w:pPr>
              <w:ind w:left="720"/>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 2017</w:t>
            </w: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3" w:lineRule="exact"/>
        <w:rPr>
          <w:sz w:val="20"/>
          <w:szCs w:val="20"/>
          <w:color w:val="auto"/>
        </w:rPr>
      </w:pPr>
    </w:p>
    <w:p>
      <w:pPr>
        <w:ind w:right="200" w:firstLine="8"/>
        <w:spacing w:after="0" w:line="259" w:lineRule="auto"/>
        <w:tabs>
          <w:tab w:leader="none" w:pos="43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Certain information contained herein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1440" w:gutter="0" w:footer="0" w:header="0"/>
        </w:sectPr>
      </w:pPr>
    </w:p>
    <w:bookmarkStart w:id="165" w:name="page166"/>
    <w:bookmarkEnd w:id="165"/>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80" w:right="200" w:hanging="259"/>
        <w:spacing w:after="0" w:line="264" w:lineRule="auto"/>
        <w:tabs>
          <w:tab w:leader="none" w:pos="7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60" w:hanging="259"/>
        <w:spacing w:after="0" w:line="308" w:lineRule="auto"/>
        <w:tabs>
          <w:tab w:leader="none" w:pos="7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80" w:hanging="259"/>
        <w:spacing w:after="0" w:line="221" w:lineRule="exact"/>
        <w:tabs>
          <w:tab w:leader="none" w:pos="7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80" w:hanging="506"/>
        <w:spacing w:after="0" w:line="264" w:lineRule="auto"/>
        <w:tabs>
          <w:tab w:leader="none" w:pos="15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60" w:hanging="506"/>
        <w:spacing w:after="0" w:line="342" w:lineRule="auto"/>
        <w:tabs>
          <w:tab w:leader="none" w:pos="154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60" w:hanging="506"/>
        <w:spacing w:after="0" w:line="264" w:lineRule="auto"/>
        <w:tabs>
          <w:tab w:leader="none" w:pos="15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80" w:hanging="259"/>
        <w:spacing w:after="0" w:line="308" w:lineRule="auto"/>
        <w:tabs>
          <w:tab w:leader="none" w:pos="7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right="400" w:hanging="506"/>
        <w:spacing w:after="0" w:line="342" w:lineRule="auto"/>
        <w:tabs>
          <w:tab w:leader="none" w:pos="154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100" w:hanging="506"/>
        <w:spacing w:after="0" w:line="277" w:lineRule="auto"/>
        <w:tabs>
          <w:tab w:leader="none" w:pos="154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November 6, 2018</w:t>
            </w:r>
          </w:p>
        </w:tc>
        <w:tc>
          <w:tcPr>
            <w:tcW w:w="2860" w:type="dxa"/>
            <w:vAlign w:val="bottom"/>
          </w:tcPr>
          <w:p>
            <w:pPr>
              <w:ind w:left="2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195"/>
        </w:trPr>
        <w:tc>
          <w:tcPr>
            <w:tcW w:w="3900" w:type="dxa"/>
            <w:vAlign w:val="bottom"/>
          </w:tcPr>
          <w:p>
            <w:pPr>
              <w:spacing w:after="0"/>
              <w:rPr>
                <w:sz w:val="16"/>
                <w:szCs w:val="16"/>
                <w:color w:val="auto"/>
              </w:rPr>
            </w:pPr>
          </w:p>
        </w:tc>
        <w:tc>
          <w:tcPr>
            <w:tcW w:w="28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Sean A. McCarthy</w:t>
            </w:r>
          </w:p>
        </w:tc>
      </w:tr>
      <w:tr>
        <w:trPr>
          <w:trHeight w:val="230"/>
        </w:trPr>
        <w:tc>
          <w:tcPr>
            <w:tcW w:w="3900" w:type="dxa"/>
            <w:vAlign w:val="bottom"/>
          </w:tcPr>
          <w:p>
            <w:pPr>
              <w:spacing w:after="0"/>
              <w:rPr>
                <w:sz w:val="20"/>
                <w:szCs w:val="20"/>
                <w:color w:val="auto"/>
              </w:rPr>
            </w:pPr>
          </w:p>
        </w:tc>
        <w:tc>
          <w:tcPr>
            <w:tcW w:w="2860" w:type="dxa"/>
            <w:vAlign w:val="bottom"/>
          </w:tcPr>
          <w:p>
            <w:pPr>
              <w:ind w:left="21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40"/>
          </w:cols>
          <w:pgMar w:left="240" w:top="135" w:right="219" w:bottom="1440" w:gutter="0" w:footer="0" w:header="0"/>
        </w:sectPr>
      </w:pPr>
    </w:p>
    <w:bookmarkStart w:id="166" w:name="page167"/>
    <w:bookmarkEnd w:id="166"/>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Debanjan Ray, Chief Financial Officer of CytomX Therapeutics, Inc., certify that:</w:t>
      </w:r>
    </w:p>
    <w:p>
      <w:pPr>
        <w:spacing w:after="0" w:line="117" w:lineRule="exact"/>
        <w:rPr>
          <w:sz w:val="20"/>
          <w:szCs w:val="20"/>
          <w:color w:val="auto"/>
        </w:rPr>
      </w:pPr>
    </w:p>
    <w:p>
      <w:pPr>
        <w:ind w:left="780" w:hanging="259"/>
        <w:spacing w:after="0"/>
        <w:tabs>
          <w:tab w:leader="none" w:pos="7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80" w:right="200" w:hanging="259"/>
        <w:spacing w:after="0" w:line="264" w:lineRule="auto"/>
        <w:tabs>
          <w:tab w:leader="none" w:pos="7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60" w:hanging="259"/>
        <w:spacing w:after="0" w:line="308" w:lineRule="auto"/>
        <w:tabs>
          <w:tab w:leader="none" w:pos="7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180" w:hanging="259"/>
        <w:spacing w:after="0" w:line="221" w:lineRule="exact"/>
        <w:tabs>
          <w:tab w:leader="none" w:pos="7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80" w:hanging="506"/>
        <w:spacing w:after="0" w:line="264"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60" w:hanging="506"/>
        <w:spacing w:after="0" w:line="342" w:lineRule="auto"/>
        <w:tabs>
          <w:tab w:leader="none" w:pos="15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60" w:hanging="506"/>
        <w:spacing w:after="0" w:line="264"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80" w:right="80" w:hanging="259"/>
        <w:spacing w:after="0" w:line="308" w:lineRule="auto"/>
        <w:tabs>
          <w:tab w:leader="none" w:pos="7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right="400" w:hanging="506"/>
        <w:spacing w:after="0" w:line="342" w:lineRule="auto"/>
        <w:tabs>
          <w:tab w:leader="none" w:pos="15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100" w:hanging="506"/>
        <w:spacing w:after="0" w:line="277" w:lineRule="auto"/>
        <w:tabs>
          <w:tab w:leader="none" w:pos="15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Date: November 6, 2018</w:t>
            </w:r>
          </w:p>
        </w:tc>
        <w:tc>
          <w:tcPr>
            <w:tcW w:w="2860" w:type="dxa"/>
            <w:vAlign w:val="bottom"/>
          </w:tcPr>
          <w:p>
            <w:pPr>
              <w:ind w:left="21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Debanjan Ray</w:t>
            </w:r>
          </w:p>
        </w:tc>
      </w:tr>
      <w:tr>
        <w:trPr>
          <w:trHeight w:val="195"/>
        </w:trPr>
        <w:tc>
          <w:tcPr>
            <w:tcW w:w="3900" w:type="dxa"/>
            <w:vAlign w:val="bottom"/>
          </w:tcPr>
          <w:p>
            <w:pPr>
              <w:spacing w:after="0"/>
              <w:rPr>
                <w:sz w:val="16"/>
                <w:szCs w:val="16"/>
                <w:color w:val="auto"/>
              </w:rPr>
            </w:pPr>
          </w:p>
        </w:tc>
        <w:tc>
          <w:tcPr>
            <w:tcW w:w="286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Debanjan Ray</w:t>
            </w:r>
          </w:p>
        </w:tc>
      </w:tr>
      <w:tr>
        <w:trPr>
          <w:trHeight w:val="230"/>
        </w:trPr>
        <w:tc>
          <w:tcPr>
            <w:tcW w:w="3900" w:type="dxa"/>
            <w:vAlign w:val="bottom"/>
          </w:tcPr>
          <w:p>
            <w:pPr>
              <w:spacing w:after="0"/>
              <w:rPr>
                <w:sz w:val="20"/>
                <w:szCs w:val="20"/>
                <w:color w:val="auto"/>
              </w:rPr>
            </w:pPr>
          </w:p>
        </w:tc>
        <w:tc>
          <w:tcPr>
            <w:tcW w:w="2860" w:type="dxa"/>
            <w:vAlign w:val="bottom"/>
          </w:tcPr>
          <w:p>
            <w:pPr>
              <w:ind w:left="210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40"/>
          </w:cols>
          <w:pgMar w:left="240" w:top="135" w:right="21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20" w:hanging="512"/>
        <w:spacing w:after="0"/>
        <w:tabs>
          <w:tab w:leader="none" w:pos="5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Date: November 6, 2018</w:t>
            </w:r>
          </w:p>
        </w:tc>
        <w:tc>
          <w:tcPr>
            <w:tcW w:w="2900" w:type="dxa"/>
            <w:vAlign w:val="bottom"/>
          </w:tcPr>
          <w:p>
            <w:pPr>
              <w:ind w:left="21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195"/>
        </w:trPr>
        <w:tc>
          <w:tcPr>
            <w:tcW w:w="3960" w:type="dxa"/>
            <w:vAlign w:val="bottom"/>
          </w:tcPr>
          <w:p>
            <w:pPr>
              <w:spacing w:after="0"/>
              <w:rPr>
                <w:sz w:val="16"/>
                <w:szCs w:val="16"/>
                <w:color w:val="auto"/>
              </w:rPr>
            </w:pPr>
          </w:p>
        </w:tc>
        <w:tc>
          <w:tcPr>
            <w:tcW w:w="290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Sean A. McCarthy</w:t>
            </w:r>
          </w:p>
        </w:tc>
      </w:tr>
      <w:tr>
        <w:trPr>
          <w:trHeight w:val="230"/>
        </w:trPr>
        <w:tc>
          <w:tcPr>
            <w:tcW w:w="3960" w:type="dxa"/>
            <w:vAlign w:val="bottom"/>
          </w:tcPr>
          <w:p>
            <w:pPr>
              <w:spacing w:after="0"/>
              <w:rPr>
                <w:sz w:val="20"/>
                <w:szCs w:val="20"/>
                <w:color w:val="auto"/>
              </w:rPr>
            </w:pPr>
          </w:p>
        </w:tc>
        <w:tc>
          <w:tcPr>
            <w:tcW w:w="2900" w:type="dxa"/>
            <w:vAlign w:val="bottom"/>
          </w:tcPr>
          <w:p>
            <w:pPr>
              <w:ind w:left="21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420"/>
          </w:cols>
          <w:pgMar w:left="240" w:top="122"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2018,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Debanjan Ray,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20" w:hanging="512"/>
        <w:spacing w:after="0"/>
        <w:tabs>
          <w:tab w:leader="none" w:pos="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Date: November 6, 2018</w:t>
            </w:r>
          </w:p>
        </w:tc>
        <w:tc>
          <w:tcPr>
            <w:tcW w:w="2900" w:type="dxa"/>
            <w:vAlign w:val="bottom"/>
          </w:tcPr>
          <w:p>
            <w:pPr>
              <w:ind w:left="216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Debanjan Ray</w:t>
            </w:r>
          </w:p>
        </w:tc>
      </w:tr>
      <w:tr>
        <w:trPr>
          <w:trHeight w:val="195"/>
        </w:trPr>
        <w:tc>
          <w:tcPr>
            <w:tcW w:w="3960" w:type="dxa"/>
            <w:vAlign w:val="bottom"/>
          </w:tcPr>
          <w:p>
            <w:pPr>
              <w:spacing w:after="0"/>
              <w:rPr>
                <w:sz w:val="16"/>
                <w:szCs w:val="16"/>
                <w:color w:val="auto"/>
              </w:rPr>
            </w:pPr>
          </w:p>
        </w:tc>
        <w:tc>
          <w:tcPr>
            <w:tcW w:w="2900" w:type="dxa"/>
            <w:vAlign w:val="bottom"/>
          </w:tcPr>
          <w:p>
            <w:pPr>
              <w:ind w:left="2160"/>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Debanjan Ray</w:t>
            </w:r>
          </w:p>
        </w:tc>
      </w:tr>
      <w:tr>
        <w:trPr>
          <w:trHeight w:val="230"/>
        </w:trPr>
        <w:tc>
          <w:tcPr>
            <w:tcW w:w="3960" w:type="dxa"/>
            <w:vAlign w:val="bottom"/>
          </w:tcPr>
          <w:p>
            <w:pPr>
              <w:spacing w:after="0"/>
              <w:rPr>
                <w:sz w:val="20"/>
                <w:szCs w:val="20"/>
                <w:color w:val="auto"/>
              </w:rPr>
            </w:pPr>
          </w:p>
        </w:tc>
        <w:tc>
          <w:tcPr>
            <w:tcW w:w="2900" w:type="dxa"/>
            <w:vAlign w:val="bottom"/>
          </w:tcPr>
          <w:p>
            <w:pPr>
              <w:ind w:left="216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
      <w:numFmt w:val="bullet"/>
      <w:start w:val="1"/>
    </w:lvl>
  </w:abstractNum>
  <w:abstractNum w:abstractNumId="3">
    <w:nsid w:val="57FC4FBB"/>
    <w:multiLevelType w:val="hybridMultilevel"/>
    <w:lvl w:ilvl="0">
      <w:lvlJc w:val="left"/>
      <w:lvlText w:val="•"/>
      <w:numFmt w:val="bullet"/>
      <w:start w:val="1"/>
    </w:lvl>
  </w:abstractNum>
  <w:abstractNum w:abstractNumId="4">
    <w:nsid w:val="CC1016F"/>
    <w:multiLevelType w:val="hybridMultilevel"/>
    <w:lvl w:ilvl="0">
      <w:lvlJc w:val="left"/>
      <w:lvlText w:val="(%1)"/>
      <w:numFmt w:val="decimal"/>
      <w:start w:val="1"/>
    </w:lvl>
  </w:abstractNum>
  <w:abstractNum w:abstractNumId="5">
    <w:nsid w:val="43F18422"/>
    <w:multiLevelType w:val="hybridMultilevel"/>
    <w:lvl w:ilvl="0">
      <w:lvlJc w:val="left"/>
      <w:lvlText w:val="•"/>
      <w:numFmt w:val="bullet"/>
      <w:start w:val="1"/>
    </w:lvl>
  </w:abstractNum>
  <w:abstractNum w:abstractNumId="6">
    <w:nsid w:val="60EF0119"/>
    <w:multiLevelType w:val="hybridMultilevel"/>
    <w:lvl w:ilvl="0">
      <w:lvlJc w:val="left"/>
      <w:lvlText w:val="(%1)"/>
      <w:numFmt w:val="lowerRoman"/>
      <w:start w:val="3"/>
    </w:lvl>
  </w:abstractNum>
  <w:abstractNum w:abstractNumId="7">
    <w:nsid w:val="26F324BA"/>
    <w:multiLevelType w:val="hybridMultilevel"/>
    <w:lvl w:ilvl="0">
      <w:lvlJc w:val="left"/>
      <w:lvlText w:val="(%1)"/>
      <w:numFmt w:val="lowerRoman"/>
      <w:start w:val="4"/>
    </w:lvl>
  </w:abstractNum>
  <w:abstractNum w:abstractNumId="8">
    <w:nsid w:val="7F01579B"/>
    <w:multiLevelType w:val="hybridMultilevel"/>
    <w:lvl w:ilvl="0">
      <w:lvlJc w:val="left"/>
      <w:lvlText w:val="(%1)"/>
      <w:numFmt w:val="lowerRoman"/>
      <w:start w:val="3"/>
    </w:lvl>
  </w:abstractNum>
  <w:abstractNum w:abstractNumId="9">
    <w:nsid w:val="49DA307D"/>
    <w:multiLevelType w:val="hybridMultilevel"/>
    <w:lvl w:ilvl="0">
      <w:lvlJc w:val="left"/>
      <w:lvlText w:val="%1."/>
      <w:numFmt w:val="decimal"/>
      <w:start w:val="5"/>
    </w:lvl>
    <w:lvl w:ilvl="1">
      <w:lvlJc w:val="left"/>
      <w:lvlText w:val="•"/>
      <w:numFmt w:val="bullet"/>
      <w:start w:val="1"/>
    </w:lvl>
  </w:abstractNum>
  <w:abstractNum w:abstractNumId="10">
    <w:nsid w:val="7055A5F5"/>
    <w:multiLevelType w:val="hybridMultilevel"/>
    <w:lvl w:ilvl="0">
      <w:lvlJc w:val="left"/>
      <w:lvlText w:val="•"/>
      <w:numFmt w:val="bullet"/>
      <w:start w:val="1"/>
    </w:lvl>
  </w:abstractNum>
  <w:abstractNum w:abstractNumId="11">
    <w:nsid w:val="5FB8370B"/>
    <w:multiLevelType w:val="hybridMultilevel"/>
    <w:lvl w:ilvl="0">
      <w:lvlJc w:val="left"/>
      <w:lvlText w:val="•"/>
      <w:numFmt w:val="bullet"/>
      <w:start w:val="1"/>
    </w:lvl>
  </w:abstractNum>
  <w:abstractNum w:abstractNumId="12">
    <w:nsid w:val="50801EE1"/>
    <w:multiLevelType w:val="hybridMultilevel"/>
    <w:lvl w:ilvl="0">
      <w:lvlJc w:val="left"/>
      <w:lvlText w:val="•"/>
      <w:numFmt w:val="bullet"/>
      <w:start w:val="1"/>
    </w:lvl>
  </w:abstractNum>
  <w:abstractNum w:abstractNumId="13">
    <w:nsid w:val="488AC1A"/>
    <w:multiLevelType w:val="hybridMultilevel"/>
    <w:lvl w:ilvl="0">
      <w:lvlJc w:val="left"/>
      <w:lvlText w:val="•"/>
      <w:numFmt w:val="bullet"/>
      <w:start w:val="1"/>
    </w:lvl>
  </w:abstractNum>
  <w:abstractNum w:abstractNumId="14">
    <w:nsid w:val="5FB8011C"/>
    <w:multiLevelType w:val="hybridMultilevel"/>
    <w:lvl w:ilvl="0">
      <w:lvlJc w:val="left"/>
      <w:lvlText w:val="•"/>
      <w:numFmt w:val="bullet"/>
      <w:start w:val="1"/>
    </w:lvl>
  </w:abstractNum>
  <w:abstractNum w:abstractNumId="15">
    <w:nsid w:val="6AA78F7F"/>
    <w:multiLevelType w:val="hybridMultilevel"/>
    <w:lvl w:ilvl="0">
      <w:lvlJc w:val="left"/>
      <w:lvlText w:val="•"/>
      <w:numFmt w:val="bullet"/>
      <w:start w:val="1"/>
    </w:lvl>
  </w:abstractNum>
  <w:abstractNum w:abstractNumId="16">
    <w:nsid w:val="7672BD23"/>
    <w:multiLevelType w:val="hybridMultilevel"/>
    <w:lvl w:ilvl="0">
      <w:lvlJc w:val="left"/>
      <w:lvlText w:val="•"/>
      <w:numFmt w:val="bullet"/>
      <w:start w:val="1"/>
    </w:lvl>
  </w:abstractNum>
  <w:abstractNum w:abstractNumId="17">
    <w:nsid w:val="6FC75AF8"/>
    <w:multiLevelType w:val="hybridMultilevel"/>
    <w:lvl w:ilvl="0">
      <w:lvlJc w:val="left"/>
      <w:lvlText w:val="•"/>
      <w:numFmt w:val="bullet"/>
      <w:start w:val="1"/>
    </w:lvl>
  </w:abstractNum>
  <w:abstractNum w:abstractNumId="18">
    <w:nsid w:val="6A5F7029"/>
    <w:multiLevelType w:val="hybridMultilevel"/>
    <w:lvl w:ilvl="0">
      <w:lvlJc w:val="left"/>
      <w:lvlText w:val="•"/>
      <w:numFmt w:val="bullet"/>
      <w:start w:val="1"/>
    </w:lvl>
  </w:abstractNum>
  <w:abstractNum w:abstractNumId="19">
    <w:nsid w:val="7D5E18F8"/>
    <w:multiLevelType w:val="hybridMultilevel"/>
    <w:lvl w:ilvl="0">
      <w:lvlJc w:val="left"/>
      <w:lvlText w:val="•"/>
      <w:numFmt w:val="bullet"/>
      <w:start w:val="1"/>
    </w:lvl>
  </w:abstractNum>
  <w:abstractNum w:abstractNumId="20">
    <w:nsid w:val="5F3534A4"/>
    <w:multiLevelType w:val="hybridMultilevel"/>
    <w:lvl w:ilvl="0">
      <w:lvlJc w:val="left"/>
      <w:lvlText w:val="•"/>
      <w:numFmt w:val="bullet"/>
      <w:start w:val="1"/>
    </w:lvl>
  </w:abstractNum>
  <w:abstractNum w:abstractNumId="21">
    <w:nsid w:val="73A1821B"/>
    <w:multiLevelType w:val="hybridMultilevel"/>
    <w:lvl w:ilvl="0">
      <w:lvlJc w:val="left"/>
      <w:lvlText w:val="•"/>
      <w:numFmt w:val="bullet"/>
      <w:start w:val="1"/>
    </w:lvl>
  </w:abstractNum>
  <w:abstractNum w:abstractNumId="22">
    <w:nsid w:val="7DE67713"/>
    <w:multiLevelType w:val="hybridMultilevel"/>
    <w:lvl w:ilvl="0">
      <w:lvlJc w:val="left"/>
      <w:lvlText w:val="•"/>
      <w:numFmt w:val="bullet"/>
      <w:start w:val="1"/>
    </w:lvl>
  </w:abstractNum>
  <w:abstractNum w:abstractNumId="23">
    <w:nsid w:val="555C55B5"/>
    <w:multiLevelType w:val="hybridMultilevel"/>
    <w:lvl w:ilvl="0">
      <w:lvlJc w:val="left"/>
      <w:lvlText w:val="•"/>
      <w:numFmt w:val="bullet"/>
      <w:start w:val="1"/>
    </w:lvl>
  </w:abstractNum>
  <w:abstractNum w:abstractNumId="24">
    <w:nsid w:val="3FA62ACA"/>
    <w:multiLevelType w:val="hybridMultilevel"/>
    <w:lvl w:ilvl="0">
      <w:lvlJc w:val="left"/>
      <w:lvlText w:val="•"/>
      <w:numFmt w:val="bullet"/>
      <w:start w:val="1"/>
    </w:lvl>
  </w:abstractNum>
  <w:abstractNum w:abstractNumId="25">
    <w:nsid w:val="14FCE74E"/>
    <w:multiLevelType w:val="hybridMultilevel"/>
    <w:lvl w:ilvl="0">
      <w:lvlJc w:val="left"/>
      <w:lvlText w:val="•"/>
      <w:numFmt w:val="bullet"/>
      <w:start w:val="1"/>
    </w:lvl>
  </w:abstractNum>
  <w:abstractNum w:abstractNumId="26">
    <w:nsid w:val="6A3DD3E8"/>
    <w:multiLevelType w:val="hybridMultilevel"/>
    <w:lvl w:ilvl="0">
      <w:lvlJc w:val="left"/>
      <w:lvlText w:val="•"/>
      <w:numFmt w:val="bullet"/>
      <w:start w:val="1"/>
    </w:lvl>
  </w:abstractNum>
  <w:abstractNum w:abstractNumId="27">
    <w:nsid w:val="71C91298"/>
    <w:multiLevelType w:val="hybridMultilevel"/>
    <w:lvl w:ilvl="0">
      <w:lvlJc w:val="left"/>
      <w:lvlText w:val="•"/>
      <w:numFmt w:val="bullet"/>
      <w:start w:val="1"/>
    </w:lvl>
  </w:abstractNum>
  <w:abstractNum w:abstractNumId="28">
    <w:nsid w:val="9DAF632"/>
    <w:multiLevelType w:val="hybridMultilevel"/>
    <w:lvl w:ilvl="0">
      <w:lvlJc w:val="left"/>
      <w:lvlText w:val="•"/>
      <w:numFmt w:val="bullet"/>
      <w:start w:val="1"/>
    </w:lvl>
  </w:abstractNum>
  <w:abstractNum w:abstractNumId="29">
    <w:nsid w:val="53299938"/>
    <w:multiLevelType w:val="hybridMultilevel"/>
    <w:lvl w:ilvl="0">
      <w:lvlJc w:val="left"/>
      <w:lvlText w:val="•"/>
      <w:numFmt w:val="bullet"/>
      <w:start w:val="1"/>
    </w:lvl>
  </w:abstractNum>
  <w:abstractNum w:abstractNumId="30">
    <w:nsid w:val="1FBFE8E0"/>
    <w:multiLevelType w:val="hybridMultilevel"/>
    <w:lvl w:ilvl="0">
      <w:lvlJc w:val="left"/>
      <w:lvlText w:val="•"/>
      <w:numFmt w:val="bullet"/>
      <w:start w:val="1"/>
    </w:lvl>
  </w:abstractNum>
  <w:abstractNum w:abstractNumId="31">
    <w:nsid w:val="5092CA79"/>
    <w:multiLevelType w:val="hybridMultilevel"/>
    <w:lvl w:ilvl="0">
      <w:lvlJc w:val="left"/>
      <w:lvlText w:val="•"/>
      <w:numFmt w:val="bullet"/>
      <w:start w:val="1"/>
    </w:lvl>
  </w:abstractNum>
  <w:abstractNum w:abstractNumId="32">
    <w:nsid w:val="1D545C4D"/>
    <w:multiLevelType w:val="hybridMultilevel"/>
    <w:lvl w:ilvl="0">
      <w:lvlJc w:val="left"/>
      <w:lvlText w:val="†"/>
      <w:numFmt w:val="bullet"/>
      <w:start w:val="1"/>
    </w:lvl>
  </w:abstractNum>
  <w:abstractNum w:abstractNumId="33">
    <w:nsid w:val="59ADEA3D"/>
    <w:multiLevelType w:val="hybridMultilevel"/>
    <w:lvl w:ilvl="0">
      <w:lvlJc w:val="left"/>
      <w:lvlText w:val="*"/>
      <w:numFmt w:val="bullet"/>
      <w:start w:val="1"/>
    </w:lvl>
  </w:abstractNum>
  <w:abstractNum w:abstractNumId="34">
    <w:nsid w:val="288F1A34"/>
    <w:multiLevelType w:val="hybridMultilevel"/>
    <w:lvl w:ilvl="0">
      <w:lvlJc w:val="left"/>
      <w:lvlText w:val="%1."/>
      <w:numFmt w:val="decimal"/>
      <w:start w:val="1"/>
    </w:lvl>
  </w:abstractNum>
  <w:abstractNum w:abstractNumId="35">
    <w:nsid w:val="2A155DBC"/>
    <w:multiLevelType w:val="hybridMultilevel"/>
    <w:lvl w:ilvl="0">
      <w:lvlJc w:val="left"/>
      <w:lvlText w:val="[***]"/>
      <w:numFmt w:val="bullet"/>
      <w:start w:val="1"/>
    </w:lvl>
  </w:abstractNum>
  <w:abstractNum w:abstractNumId="36">
    <w:nsid w:val="1D9F6E5F"/>
    <w:multiLevelType w:val="hybridMultilevel"/>
    <w:lvl w:ilvl="0">
      <w:lvlJc w:val="left"/>
      <w:lvlText w:val="%1."/>
      <w:numFmt w:val="decimal"/>
      <w:start w:val="3"/>
    </w:lvl>
  </w:abstractNum>
  <w:abstractNum w:abstractNumId="37">
    <w:nsid w:val="97E1B4E"/>
    <w:multiLevelType w:val="hybridMultilevel"/>
    <w:lvl w:ilvl="0">
      <w:lvlJc w:val="left"/>
      <w:lvlText w:val="[***]"/>
      <w:numFmt w:val="bullet"/>
      <w:start w:val="1"/>
    </w:lvl>
  </w:abstractNum>
  <w:abstractNum w:abstractNumId="38">
    <w:nsid w:val="51088277"/>
    <w:multiLevelType w:val="hybridMultilevel"/>
    <w:lvl w:ilvl="0">
      <w:lvlJc w:val="left"/>
      <w:lvlText w:val="[***]"/>
      <w:numFmt w:val="bullet"/>
      <w:start w:val="1"/>
    </w:lvl>
  </w:abstractNum>
  <w:abstractNum w:abstractNumId="39">
    <w:nsid w:val="1CA0C5FA"/>
    <w:multiLevelType w:val="hybridMultilevel"/>
    <w:lvl w:ilvl="0">
      <w:lvlJc w:val="left"/>
      <w:lvlText w:val="%1."/>
      <w:numFmt w:val="decimal"/>
      <w:start w:val="1"/>
    </w:lvl>
  </w:abstractNum>
  <w:abstractNum w:abstractNumId="40">
    <w:nsid w:val="53584BCB"/>
    <w:multiLevelType w:val="hybridMultilevel"/>
    <w:lvl w:ilvl="0">
      <w:lvlJc w:val="left"/>
      <w:lvlText w:val="[***]"/>
      <w:numFmt w:val="bullet"/>
      <w:start w:val="1"/>
    </w:lvl>
  </w:abstractNum>
  <w:abstractNum w:abstractNumId="41">
    <w:nsid w:val="415E286C"/>
    <w:multiLevelType w:val="hybridMultilevel"/>
    <w:lvl w:ilvl="0">
      <w:lvlJc w:val="left"/>
      <w:lvlText w:val="[***]"/>
      <w:numFmt w:val="bullet"/>
      <w:start w:val="1"/>
    </w:lvl>
  </w:abstractNum>
  <w:abstractNum w:abstractNumId="42">
    <w:nsid w:val="7C58FD05"/>
    <w:multiLevelType w:val="hybridMultilevel"/>
    <w:lvl w:ilvl="0">
      <w:lvlJc w:val="left"/>
      <w:lvlText w:val="[***]"/>
      <w:numFmt w:val="bullet"/>
      <w:start w:val="1"/>
    </w:lvl>
  </w:abstractNum>
  <w:abstractNum w:abstractNumId="43">
    <w:nsid w:val="23D86AAC"/>
    <w:multiLevelType w:val="hybridMultilevel"/>
    <w:lvl w:ilvl="0">
      <w:lvlJc w:val="left"/>
      <w:lvlText w:val="[***]"/>
      <w:numFmt w:val="bullet"/>
      <w:start w:val="1"/>
    </w:lvl>
  </w:abstractNum>
  <w:abstractNum w:abstractNumId="44">
    <w:nsid w:val="45E6D486"/>
    <w:multiLevelType w:val="hybridMultilevel"/>
    <w:lvl w:ilvl="0">
      <w:lvlJc w:val="left"/>
      <w:lvlText w:val="[***]"/>
      <w:numFmt w:val="bullet"/>
      <w:start w:val="1"/>
    </w:lvl>
    <w:lvl w:ilvl="1">
      <w:lvlJc w:val="left"/>
      <w:lvlText w:val="%2."/>
      <w:numFmt w:val="decimal"/>
      <w:start w:val="1"/>
    </w:lvl>
  </w:abstractNum>
  <w:abstractNum w:abstractNumId="45">
    <w:nsid w:val="5C10FE21"/>
    <w:multiLevelType w:val="hybridMultilevel"/>
    <w:lvl w:ilvl="0">
      <w:lvlJc w:val="left"/>
      <w:lvlText w:val="[***]"/>
      <w:numFmt w:val="bullet"/>
      <w:start w:val="1"/>
    </w:lvl>
  </w:abstractNum>
  <w:abstractNum w:abstractNumId="46">
    <w:nsid w:val="E7FFA2B"/>
    <w:multiLevelType w:val="hybridMultilevel"/>
    <w:lvl w:ilvl="0">
      <w:lvlJc w:val="left"/>
      <w:lvlText w:val="[***]"/>
      <w:numFmt w:val="bullet"/>
      <w:start w:val="1"/>
    </w:lvl>
  </w:abstractNum>
  <w:abstractNum w:abstractNumId="47">
    <w:nsid w:val="3C5991AA"/>
    <w:multiLevelType w:val="hybridMultilevel"/>
    <w:lvl w:ilvl="0">
      <w:lvlJc w:val="left"/>
      <w:lvlText w:val="[***]"/>
      <w:numFmt w:val="bullet"/>
      <w:start w:val="1"/>
    </w:lvl>
  </w:abstractNum>
  <w:abstractNum w:abstractNumId="48">
    <w:nsid w:val="4BD8591A"/>
    <w:multiLevelType w:val="hybridMultilevel"/>
    <w:lvl w:ilvl="0">
      <w:lvlJc w:val="left"/>
      <w:lvlText w:val="[***]"/>
      <w:numFmt w:val="bullet"/>
      <w:start w:val="1"/>
    </w:lvl>
  </w:abstractNum>
  <w:abstractNum w:abstractNumId="49">
    <w:nsid w:val="78DF6A55"/>
    <w:multiLevelType w:val="hybridMultilevel"/>
    <w:lvl w:ilvl="0">
      <w:lvlJc w:val="left"/>
      <w:lvlText w:val="[***]"/>
      <w:numFmt w:val="bullet"/>
      <w:start w:val="1"/>
    </w:lvl>
  </w:abstractNum>
  <w:abstractNum w:abstractNumId="50">
    <w:nsid w:val="39B7AAA2"/>
    <w:multiLevelType w:val="hybridMultilevel"/>
    <w:lvl w:ilvl="0">
      <w:lvlJc w:val="left"/>
      <w:lvlText w:val="[***]"/>
      <w:numFmt w:val="bullet"/>
      <w:start w:val="1"/>
    </w:lvl>
  </w:abstractNum>
  <w:abstractNum w:abstractNumId="51">
    <w:nsid w:val="2B0D8DBE"/>
    <w:multiLevelType w:val="hybridMultilevel"/>
    <w:lvl w:ilvl="0">
      <w:lvlJc w:val="left"/>
      <w:lvlText w:val="[***]"/>
      <w:numFmt w:val="bullet"/>
      <w:start w:val="1"/>
    </w:lvl>
  </w:abstractNum>
  <w:abstractNum w:abstractNumId="52">
    <w:nsid w:val="6C80EC70"/>
    <w:multiLevelType w:val="hybridMultilevel"/>
    <w:lvl w:ilvl="0">
      <w:lvlJc w:val="left"/>
      <w:lvlText w:val="[***]"/>
      <w:numFmt w:val="bullet"/>
      <w:start w:val="1"/>
    </w:lvl>
  </w:abstractNum>
  <w:abstractNum w:abstractNumId="53">
    <w:nsid w:val="379E21B5"/>
    <w:multiLevelType w:val="hybridMultilevel"/>
    <w:lvl w:ilvl="0">
      <w:lvlJc w:val="left"/>
      <w:lvlText w:val="[***]"/>
      <w:numFmt w:val="bullet"/>
      <w:start w:val="1"/>
    </w:lvl>
  </w:abstractNum>
  <w:abstractNum w:abstractNumId="54">
    <w:nsid w:val="69E373"/>
    <w:multiLevelType w:val="hybridMultilevel"/>
    <w:lvl w:ilvl="0">
      <w:lvlJc w:val="left"/>
      <w:lvlText w:val="[***]"/>
      <w:numFmt w:val="bullet"/>
      <w:start w:val="1"/>
    </w:lvl>
  </w:abstractNum>
  <w:abstractNum w:abstractNumId="55">
    <w:nsid w:val="2C27173B"/>
    <w:multiLevelType w:val="hybridMultilevel"/>
    <w:lvl w:ilvl="0">
      <w:lvlJc w:val="left"/>
      <w:lvlText w:val="[***]"/>
      <w:numFmt w:val="bullet"/>
      <w:start w:val="1"/>
    </w:lvl>
  </w:abstractNum>
  <w:abstractNum w:abstractNumId="56">
    <w:nsid w:val="4C9B0904"/>
    <w:multiLevelType w:val="hybridMultilevel"/>
    <w:lvl w:ilvl="0">
      <w:lvlJc w:val="left"/>
      <w:lvlText w:val="[***]"/>
      <w:numFmt w:val="bullet"/>
      <w:start w:val="1"/>
    </w:lvl>
  </w:abstractNum>
  <w:abstractNum w:abstractNumId="57">
    <w:nsid w:val="6AA7B75C"/>
    <w:multiLevelType w:val="hybridMultilevel"/>
    <w:lvl w:ilvl="0">
      <w:lvlJc w:val="left"/>
      <w:lvlText w:val="(%1)"/>
      <w:numFmt w:val="lowerRoman"/>
      <w:start w:val="3"/>
    </w:lvl>
  </w:abstractNum>
  <w:abstractNum w:abstractNumId="58">
    <w:nsid w:val="1DF029D3"/>
    <w:multiLevelType w:val="hybridMultilevel"/>
    <w:lvl w:ilvl="0">
      <w:lvlJc w:val="left"/>
      <w:lvlText w:val="[***]"/>
      <w:numFmt w:val="bullet"/>
      <w:start w:val="1"/>
    </w:lvl>
  </w:abstractNum>
  <w:abstractNum w:abstractNumId="59">
    <w:nsid w:val="5675FF36"/>
    <w:multiLevelType w:val="hybridMultilevel"/>
    <w:lvl w:ilvl="0">
      <w:lvlJc w:val="left"/>
      <w:lvlText w:val="[***]"/>
      <w:numFmt w:val="bullet"/>
      <w:start w:val="1"/>
    </w:lvl>
  </w:abstractNum>
  <w:abstractNum w:abstractNumId="60">
    <w:nsid w:val="3DD15094"/>
    <w:multiLevelType w:val="hybridMultilevel"/>
    <w:lvl w:ilvl="0">
      <w:lvlJc w:val="left"/>
      <w:lvlText w:val="(%1)"/>
      <w:numFmt w:val="lowerLetter"/>
      <w:start w:val="4"/>
    </w:lvl>
  </w:abstractNum>
  <w:abstractNum w:abstractNumId="61">
    <w:nsid w:val="3DB012B3"/>
    <w:multiLevelType w:val="hybridMultilevel"/>
    <w:lvl w:ilvl="0">
      <w:lvlJc w:val="left"/>
      <w:lvlText w:val="[***]"/>
      <w:numFmt w:val="bullet"/>
      <w:start w:val="1"/>
    </w:lvl>
  </w:abstractNum>
  <w:abstractNum w:abstractNumId="62">
    <w:nsid w:val="2708C9AF"/>
    <w:multiLevelType w:val="hybridMultilevel"/>
    <w:lvl w:ilvl="0">
      <w:lvlJc w:val="left"/>
      <w:lvlText w:val="[***]"/>
      <w:numFmt w:val="bullet"/>
      <w:start w:val="1"/>
    </w:lvl>
  </w:abstractNum>
  <w:abstractNum w:abstractNumId="63">
    <w:nsid w:val="5B25ACE2"/>
    <w:multiLevelType w:val="hybridMultilevel"/>
    <w:lvl w:ilvl="0">
      <w:lvlJc w:val="left"/>
      <w:lvlText w:val="[***]"/>
      <w:numFmt w:val="bullet"/>
      <w:start w:val="1"/>
    </w:lvl>
  </w:abstractNum>
  <w:abstractNum w:abstractNumId="64">
    <w:nsid w:val="175DFCF0"/>
    <w:multiLevelType w:val="hybridMultilevel"/>
    <w:lvl w:ilvl="0">
      <w:lvlJc w:val="left"/>
      <w:lvlText w:val="(%1)"/>
      <w:numFmt w:val="lowerLetter"/>
      <w:start w:val="2"/>
    </w:lvl>
  </w:abstractNum>
  <w:abstractNum w:abstractNumId="65">
    <w:nsid w:val="4F97E3E4"/>
    <w:multiLevelType w:val="hybridMultilevel"/>
    <w:lvl w:ilvl="0">
      <w:lvlJc w:val="left"/>
      <w:lvlText w:val="[***]"/>
      <w:numFmt w:val="bullet"/>
      <w:start w:val="1"/>
    </w:lvl>
  </w:abstractNum>
  <w:abstractNum w:abstractNumId="66">
    <w:nsid w:val="53B0A9E"/>
    <w:multiLevelType w:val="hybridMultilevel"/>
    <w:lvl w:ilvl="0">
      <w:lvlJc w:val="left"/>
      <w:lvlText w:val="[***]"/>
      <w:numFmt w:val="bullet"/>
      <w:start w:val="1"/>
    </w:lvl>
  </w:abstractNum>
  <w:abstractNum w:abstractNumId="67">
    <w:nsid w:val="34FD6B4F"/>
    <w:multiLevelType w:val="hybridMultilevel"/>
    <w:lvl w:ilvl="0">
      <w:lvlJc w:val="left"/>
      <w:lvlText w:val="[***]"/>
      <w:numFmt w:val="bullet"/>
      <w:start w:val="1"/>
    </w:lvl>
  </w:abstractNum>
  <w:abstractNum w:abstractNumId="68">
    <w:nsid w:val="5915FF32"/>
    <w:multiLevelType w:val="hybridMultilevel"/>
    <w:lvl w:ilvl="0">
      <w:lvlJc w:val="left"/>
      <w:lvlText w:val="[***]"/>
      <w:numFmt w:val="bullet"/>
      <w:start w:val="1"/>
    </w:lvl>
  </w:abstractNum>
  <w:abstractNum w:abstractNumId="69">
    <w:nsid w:val="56438D15"/>
    <w:multiLevelType w:val="hybridMultilevel"/>
    <w:lvl w:ilvl="0">
      <w:lvlJc w:val="left"/>
      <w:lvlText w:val="[***]"/>
      <w:numFmt w:val="bullet"/>
      <w:start w:val="1"/>
    </w:lvl>
  </w:abstractNum>
  <w:abstractNum w:abstractNumId="70">
    <w:nsid w:val="519E3149"/>
    <w:multiLevelType w:val="hybridMultilevel"/>
    <w:lvl w:ilvl="0">
      <w:lvlJc w:val="left"/>
      <w:lvlText w:val="[***]"/>
      <w:numFmt w:val="bullet"/>
      <w:start w:val="1"/>
    </w:lvl>
  </w:abstractNum>
  <w:abstractNum w:abstractNumId="71">
    <w:nsid w:val="2C6E4AFD"/>
    <w:multiLevelType w:val="hybridMultilevel"/>
    <w:lvl w:ilvl="0">
      <w:lvlJc w:val="left"/>
      <w:lvlText w:val="[***]"/>
      <w:numFmt w:val="bullet"/>
      <w:start w:val="1"/>
    </w:lvl>
  </w:abstractNum>
  <w:abstractNum w:abstractNumId="72">
    <w:nsid w:val="17A1B582"/>
    <w:multiLevelType w:val="hybridMultilevel"/>
    <w:lvl w:ilvl="0">
      <w:lvlJc w:val="left"/>
      <w:lvlText w:val="%1."/>
      <w:numFmt w:val="decimal"/>
      <w:start w:val="2"/>
    </w:lvl>
  </w:abstractNum>
  <w:abstractNum w:abstractNumId="73">
    <w:nsid w:val="4DF72E4E"/>
    <w:multiLevelType w:val="hybridMultilevel"/>
    <w:lvl w:ilvl="0">
      <w:lvlJc w:val="left"/>
      <w:lvlText w:val="[***]"/>
      <w:numFmt w:val="bullet"/>
      <w:start w:val="1"/>
    </w:lvl>
  </w:abstractNum>
  <w:abstractNum w:abstractNumId="74">
    <w:nsid w:val="5046B5A9"/>
    <w:multiLevelType w:val="hybridMultilevel"/>
    <w:lvl w:ilvl="0">
      <w:lvlJc w:val="left"/>
      <w:lvlText w:val="(%1)"/>
      <w:numFmt w:val="decimal"/>
      <w:start w:val="60"/>
    </w:lvl>
  </w:abstractNum>
  <w:abstractNum w:abstractNumId="75">
    <w:nsid w:val="5D888A08"/>
    <w:multiLevelType w:val="hybridMultilevel"/>
    <w:lvl w:ilvl="0">
      <w:lvlJc w:val="left"/>
      <w:lvlText w:val="."/>
      <w:numFmt w:val="bullet"/>
      <w:start w:val="1"/>
    </w:lvl>
  </w:abstractNum>
  <w:abstractNum w:abstractNumId="76">
    <w:nsid w:val="2A082C70"/>
    <w:multiLevelType w:val="hybridMultilevel"/>
    <w:lvl w:ilvl="0">
      <w:lvlJc w:val="left"/>
      <w:lvlText w:val="[***]"/>
      <w:numFmt w:val="bullet"/>
      <w:start w:val="1"/>
    </w:lvl>
  </w:abstractNum>
  <w:abstractNum w:abstractNumId="77">
    <w:nsid w:val="5EC6AFD4"/>
    <w:multiLevelType w:val="hybridMultilevel"/>
    <w:lvl w:ilvl="0">
      <w:lvlJc w:val="left"/>
      <w:lvlText w:val="[***]"/>
      <w:numFmt w:val="bullet"/>
      <w:start w:val="1"/>
    </w:lvl>
  </w:abstractNum>
  <w:abstractNum w:abstractNumId="78">
    <w:nsid w:val="19E21BB2"/>
    <w:multiLevelType w:val="hybridMultilevel"/>
    <w:lvl w:ilvl="0">
      <w:lvlJc w:val="left"/>
      <w:lvlText w:val="(%1)"/>
      <w:numFmt w:val="decimal"/>
      <w:start w:val="2"/>
    </w:lvl>
  </w:abstractNum>
  <w:abstractNum w:abstractNumId="79">
    <w:nsid w:val="75E0858A"/>
    <w:multiLevelType w:val="hybridMultilevel"/>
    <w:lvl w:ilvl="0">
      <w:lvlJc w:val="left"/>
      <w:lvlText w:val="[***]"/>
      <w:numFmt w:val="bullet"/>
      <w:start w:val="1"/>
    </w:lvl>
  </w:abstractNum>
  <w:abstractNum w:abstractNumId="80">
    <w:nsid w:val="57A61A29"/>
    <w:multiLevelType w:val="hybridMultilevel"/>
    <w:lvl w:ilvl="0">
      <w:lvlJc w:val="left"/>
      <w:lvlText w:val="[***]"/>
      <w:numFmt w:val="bullet"/>
      <w:start w:val="1"/>
    </w:lvl>
  </w:abstractNum>
  <w:abstractNum w:abstractNumId="81">
    <w:nsid w:val="5399C654"/>
    <w:multiLevelType w:val="hybridMultilevel"/>
    <w:lvl w:ilvl="0">
      <w:lvlJc w:val="left"/>
      <w:lvlText w:val="[***]"/>
      <w:numFmt w:val="bullet"/>
      <w:start w:val="1"/>
    </w:lvl>
  </w:abstractNum>
  <w:abstractNum w:abstractNumId="82">
    <w:nsid w:val="20EE1348"/>
    <w:multiLevelType w:val="hybridMultilevel"/>
    <w:lvl w:ilvl="0">
      <w:lvlJc w:val="left"/>
      <w:lvlText w:val="(%1)"/>
      <w:numFmt w:val="lowerLetter"/>
      <w:start w:val="1"/>
    </w:lvl>
  </w:abstractNum>
  <w:abstractNum w:abstractNumId="83">
    <w:nsid w:val="4427069A"/>
    <w:multiLevelType w:val="hybridMultilevel"/>
    <w:lvl w:ilvl="0">
      <w:lvlJc w:val="left"/>
      <w:lvlText w:val="%1"/>
      <w:numFmt w:val="decimal"/>
      <w:start w:val="1"/>
    </w:lvl>
    <w:lvl w:ilvl="1">
      <w:lvlJc w:val="left"/>
      <w:lvlText w:val="(%2)"/>
      <w:numFmt w:val="lowerLetter"/>
      <w:start w:val="1"/>
    </w:lvl>
  </w:abstractNum>
  <w:abstractNum w:abstractNumId="84">
    <w:nsid w:val="B37E80A"/>
    <w:multiLevelType w:val="hybridMultilevel"/>
    <w:lvl w:ilvl="0">
      <w:lvlJc w:val="left"/>
      <w:lvlText w:val="%1."/>
      <w:numFmt w:val="decimal"/>
      <w:start w:val="3"/>
    </w:lvl>
    <w:lvl w:ilvl="1">
      <w:lvlJc w:val="left"/>
      <w:lvlText w:val="%2"/>
      <w:numFmt w:val="lowerLetter"/>
      <w:start w:val="1"/>
    </w:lvl>
  </w:abstractNum>
  <w:abstractNum w:abstractNumId="85">
    <w:nsid w:val="2157F6BC"/>
    <w:multiLevelType w:val="hybridMultilevel"/>
    <w:lvl w:ilvl="0">
      <w:lvlJc w:val="left"/>
      <w:lvlText w:val="[***]"/>
      <w:numFmt w:val="bullet"/>
      <w:start w:val="1"/>
    </w:lvl>
  </w:abstractNum>
  <w:abstractNum w:abstractNumId="86">
    <w:nsid w:val="704E1DD5"/>
    <w:multiLevelType w:val="hybridMultilevel"/>
    <w:lvl w:ilvl="0">
      <w:lvlJc w:val="left"/>
      <w:lvlText w:val="[***]"/>
      <w:numFmt w:val="bullet"/>
      <w:start w:val="1"/>
    </w:lvl>
  </w:abstractNum>
  <w:abstractNum w:abstractNumId="87">
    <w:nsid w:val="57D2F10E"/>
    <w:multiLevelType w:val="hybridMultilevel"/>
    <w:lvl w:ilvl="0">
      <w:lvlJc w:val="left"/>
      <w:lvlText w:val="[***]"/>
      <w:numFmt w:val="bullet"/>
      <w:start w:val="1"/>
    </w:lvl>
  </w:abstractNum>
  <w:abstractNum w:abstractNumId="88">
    <w:nsid w:val="BFFAE18"/>
    <w:multiLevelType w:val="hybridMultilevel"/>
    <w:lvl w:ilvl="0">
      <w:lvlJc w:val="left"/>
      <w:lvlText w:val="%1."/>
      <w:numFmt w:val="decimal"/>
      <w:start w:val="4"/>
    </w:lvl>
  </w:abstractNum>
  <w:abstractNum w:abstractNumId="89">
    <w:nsid w:val="E3E47A8"/>
    <w:multiLevelType w:val="hybridMultilevel"/>
    <w:lvl w:ilvl="0">
      <w:lvlJc w:val="left"/>
      <w:lvlText w:val="[***]"/>
      <w:numFmt w:val="bullet"/>
      <w:start w:val="1"/>
    </w:lvl>
  </w:abstractNum>
  <w:abstractNum w:abstractNumId="90">
    <w:nsid w:val="2E48F044"/>
    <w:multiLevelType w:val="hybridMultilevel"/>
    <w:lvl w:ilvl="0">
      <w:lvlJc w:val="left"/>
      <w:lvlText w:val="[***]"/>
      <w:numFmt w:val="bullet"/>
      <w:start w:val="1"/>
    </w:lvl>
  </w:abstractNum>
  <w:abstractNum w:abstractNumId="91">
    <w:nsid w:val="49D0FEAC"/>
    <w:multiLevelType w:val="hybridMultilevel"/>
    <w:lvl w:ilvl="0">
      <w:lvlJc w:val="left"/>
      <w:lvlText w:val="(%1)"/>
      <w:numFmt w:val="lowerLetter"/>
      <w:start w:val="1"/>
    </w:lvl>
  </w:abstractNum>
  <w:abstractNum w:abstractNumId="92">
    <w:nsid w:val="4BEE5A5B"/>
    <w:multiLevelType w:val="hybridMultilevel"/>
    <w:lvl w:ilvl="0">
      <w:lvlJc w:val="left"/>
      <w:lvlText w:val="[***]"/>
      <w:numFmt w:val="bullet"/>
      <w:start w:val="1"/>
    </w:lvl>
  </w:abstractNum>
  <w:abstractNum w:abstractNumId="93">
    <w:nsid w:val="5551B9F3"/>
    <w:multiLevelType w:val="hybridMultilevel"/>
    <w:lvl w:ilvl="0">
      <w:lvlJc w:val="left"/>
      <w:lvlText w:val="(%1)"/>
      <w:numFmt w:val="lowerLetter"/>
      <w:start w:val="2"/>
    </w:lvl>
    <w:lvl w:ilvl="1">
      <w:lvlJc w:val="left"/>
      <w:lvlText w:val="(%2)"/>
      <w:numFmt w:val="lowerRoman"/>
      <w:start w:val="1"/>
    </w:lvl>
  </w:abstractNum>
  <w:abstractNum w:abstractNumId="94">
    <w:nsid w:val="24F6AB8E"/>
    <w:multiLevelType w:val="hybridMultilevel"/>
    <w:lvl w:ilvl="0">
      <w:lvlJc w:val="left"/>
      <w:lvlText w:val="[***]"/>
      <w:numFmt w:val="bullet"/>
      <w:start w:val="1"/>
    </w:lvl>
  </w:abstractNum>
  <w:abstractNum w:abstractNumId="95">
    <w:nsid w:val="634C574C"/>
    <w:multiLevelType w:val="hybridMultilevel"/>
    <w:lvl w:ilvl="0">
      <w:lvlJc w:val="left"/>
      <w:lvlText w:val="%1"/>
      <w:numFmt w:val="lowerLetter"/>
      <w:start w:val="1"/>
    </w:lvl>
    <w:lvl w:ilvl="1">
      <w:lvlJc w:val="left"/>
      <w:lvlText w:val="(%2)"/>
      <w:numFmt w:val="lowerLetter"/>
      <w:start w:val="61"/>
    </w:lvl>
  </w:abstractNum>
  <w:abstractNum w:abstractNumId="96">
    <w:nsid w:val="24E99DD7"/>
    <w:multiLevelType w:val="hybridMultilevel"/>
    <w:lvl w:ilvl="0">
      <w:lvlJc w:val="left"/>
      <w:lvlText w:val="(%1)"/>
      <w:numFmt w:val="lowerLetter"/>
      <w:start w:val="3"/>
    </w:lvl>
    <w:lvl w:ilvl="1">
      <w:lvlJc w:val="left"/>
      <w:lvlText w:val="%2"/>
      <w:numFmt w:val="lowerLetter"/>
      <w:start w:val="1"/>
    </w:lvl>
  </w:abstractNum>
  <w:abstractNum w:abstractNumId="97">
    <w:nsid w:val="2A31B62D"/>
    <w:multiLevelType w:val="hybridMultilevel"/>
    <w:lvl w:ilvl="0">
      <w:lvlJc w:val="left"/>
      <w:lvlText w:val="[***]"/>
      <w:numFmt w:val="bullet"/>
      <w:start w:val="1"/>
    </w:lvl>
  </w:abstractNum>
  <w:abstractNum w:abstractNumId="98">
    <w:nsid w:val="1849C29B"/>
    <w:multiLevelType w:val="hybridMultilevel"/>
    <w:lvl w:ilvl="0">
      <w:lvlJc w:val="left"/>
      <w:lvlText w:val="(%1)"/>
      <w:numFmt w:val="lowerLetter"/>
      <w:start w:val="4"/>
    </w:lvl>
  </w:abstractNum>
  <w:abstractNum w:abstractNumId="99">
    <w:nsid w:val="7DFF9D09"/>
    <w:multiLevelType w:val="hybridMultilevel"/>
    <w:lvl w:ilvl="0">
      <w:lvlJc w:val="left"/>
      <w:lvlText w:val="[***]"/>
      <w:numFmt w:val="bullet"/>
      <w:start w:val="1"/>
    </w:lvl>
  </w:abstractNum>
  <w:abstractNum w:abstractNumId="100">
    <w:nsid w:val="754342"/>
    <w:multiLevelType w:val="hybridMultilevel"/>
    <w:lvl w:ilvl="0">
      <w:lvlJc w:val="left"/>
      <w:lvlText w:val="(%1)"/>
      <w:numFmt w:val="lowerLetter"/>
      <w:start w:val="5"/>
    </w:lvl>
  </w:abstractNum>
  <w:abstractNum w:abstractNumId="101">
    <w:nsid w:val="69E7F3E5"/>
    <w:multiLevelType w:val="hybridMultilevel"/>
    <w:lvl w:ilvl="0">
      <w:lvlJc w:val="left"/>
      <w:lvlText w:val="[***]"/>
      <w:numFmt w:val="bullet"/>
      <w:start w:val="1"/>
    </w:lvl>
  </w:abstractNum>
  <w:abstractNum w:abstractNumId="102">
    <w:nsid w:val="2A6DE806"/>
    <w:multiLevelType w:val="hybridMultilevel"/>
    <w:lvl w:ilvl="0">
      <w:lvlJc w:val="left"/>
      <w:lvlText w:val="[***]"/>
      <w:numFmt w:val="bullet"/>
      <w:start w:val="1"/>
    </w:lvl>
  </w:abstractNum>
  <w:abstractNum w:abstractNumId="103">
    <w:nsid w:val="1816F8C4"/>
    <w:multiLevelType w:val="hybridMultilevel"/>
    <w:lvl w:ilvl="0">
      <w:lvlJc w:val="left"/>
      <w:lvlText w:val="[***]"/>
      <w:numFmt w:val="bullet"/>
      <w:start w:val="1"/>
    </w:lvl>
  </w:abstractNum>
  <w:abstractNum w:abstractNumId="104">
    <w:nsid w:val="37DF2233"/>
    <w:multiLevelType w:val="hybridMultilevel"/>
    <w:lvl w:ilvl="0">
      <w:lvlJc w:val="left"/>
      <w:lvlText w:val="%1."/>
      <w:numFmt w:val="decimal"/>
      <w:start w:val="5"/>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
      <w:numFmt w:val="bullet"/>
      <w:start w:val="1"/>
    </w:lvl>
  </w:abstractNum>
  <w:abstractNum w:abstractNumId="107">
    <w:nsid w:val="61E74EA3"/>
    <w:multiLevelType w:val="hybridMultilevel"/>
    <w:lvl w:ilvl="0">
      <w:lvlJc w:val="left"/>
      <w:lvlText w:val="[***]"/>
      <w:numFmt w:val="bullet"/>
      <w:start w:val="1"/>
    </w:lvl>
  </w:abstractNum>
  <w:abstractNum w:abstractNumId="108">
    <w:nsid w:val="597B4D84"/>
    <w:multiLevelType w:val="hybridMultilevel"/>
    <w:lvl w:ilvl="0">
      <w:lvlJc w:val="left"/>
      <w:lvlText w:val="[***]"/>
      <w:numFmt w:val="bullet"/>
      <w:start w:val="1"/>
    </w:lvl>
  </w:abstractNum>
  <w:abstractNum w:abstractNumId="109">
    <w:nsid w:val="F819E7F"/>
    <w:multiLevelType w:val="hybridMultilevel"/>
    <w:lvl w:ilvl="0">
      <w:lvlJc w:val="left"/>
      <w:lvlText w:val="[***]"/>
      <w:numFmt w:val="bullet"/>
      <w:start w:val="1"/>
    </w:lvl>
  </w:abstractNum>
  <w:abstractNum w:abstractNumId="110">
    <w:nsid w:val="57C7D42D"/>
    <w:multiLevelType w:val="hybridMultilevel"/>
    <w:lvl w:ilvl="0">
      <w:lvlJc w:val="left"/>
      <w:lvlText w:val="(%1)"/>
      <w:numFmt w:val="lowerLetter"/>
      <w:start w:val="1"/>
    </w:lvl>
  </w:abstractNum>
  <w:abstractNum w:abstractNumId="111">
    <w:nsid w:val="312167AD"/>
    <w:multiLevelType w:val="hybridMultilevel"/>
    <w:lvl w:ilvl="0">
      <w:lvlJc w:val="left"/>
      <w:lvlText w:val="[***]"/>
      <w:numFmt w:val="bullet"/>
      <w:start w:val="1"/>
    </w:lvl>
  </w:abstractNum>
  <w:abstractNum w:abstractNumId="112">
    <w:nsid w:val="631B64D4"/>
    <w:multiLevelType w:val="hybridMultilevel"/>
    <w:lvl w:ilvl="0">
      <w:lvlJc w:val="left"/>
      <w:lvlText w:val="(%1)"/>
      <w:numFmt w:val="lowerLetter"/>
      <w:start w:val="4"/>
    </w:lvl>
  </w:abstractNum>
  <w:abstractNum w:abstractNumId="113">
    <w:nsid w:val="78B5E776"/>
    <w:multiLevelType w:val="hybridMultilevel"/>
    <w:lvl w:ilvl="0">
      <w:lvlJc w:val="left"/>
      <w:lvlText w:val="[***]"/>
      <w:numFmt w:val="bullet"/>
      <w:start w:val="1"/>
    </w:lvl>
  </w:abstractNum>
  <w:abstractNum w:abstractNumId="114">
    <w:nsid w:val="75486E47"/>
    <w:multiLevelType w:val="hybridMultilevel"/>
    <w:lvl w:ilvl="0">
      <w:lvlJc w:val="left"/>
      <w:lvlText w:val="(%1)"/>
      <w:numFmt w:val="lowerLetter"/>
      <w:start w:val="7"/>
    </w:lvl>
    <w:lvl w:ilvl="1">
      <w:lvlJc w:val="left"/>
      <w:lvlText w:val="(%2)"/>
      <w:numFmt w:val="lowerRoman"/>
      <w:start w:val="1"/>
    </w:lvl>
  </w:abstractNum>
  <w:abstractNum w:abstractNumId="115">
    <w:nsid w:val="6E534CDE"/>
    <w:multiLevelType w:val="hybridMultilevel"/>
    <w:lvl w:ilvl="0">
      <w:lvlJc w:val="left"/>
      <w:lvlText w:val="[***]"/>
      <w:numFmt w:val="bullet"/>
      <w:start w:val="1"/>
    </w:lvl>
  </w:abstractNum>
  <w:abstractNum w:abstractNumId="116">
    <w:nsid w:val="1A0DDE32"/>
    <w:multiLevelType w:val="hybridMultilevel"/>
    <w:lvl w:ilvl="0">
      <w:lvlJc w:val="left"/>
      <w:lvlText w:val="%1"/>
      <w:numFmt w:val="lowerLetter"/>
      <w:start w:val="1"/>
    </w:lvl>
    <w:lvl w:ilvl="1">
      <w:lvlJc w:val="left"/>
      <w:lvlText w:val="(%2)"/>
      <w:numFmt w:val="lowerRoman"/>
      <w:start w:val="6"/>
    </w:lvl>
  </w:abstractNum>
  <w:abstractNum w:abstractNumId="117">
    <w:nsid w:val="65968C1C"/>
    <w:multiLevelType w:val="hybridMultilevel"/>
    <w:lvl w:ilvl="0">
      <w:lvlJc w:val="left"/>
      <w:lvlText w:val="(%1)"/>
      <w:numFmt w:val="lowerLetter"/>
      <w:start w:val="8"/>
    </w:lvl>
    <w:lvl w:ilvl="1">
      <w:lvlJc w:val="left"/>
      <w:lvlText w:val="%2"/>
      <w:numFmt w:val="lowerRoman"/>
      <w:start w:val="1"/>
    </w:lvl>
  </w:abstractNum>
  <w:abstractNum w:abstractNumId="118">
    <w:nsid w:val="46263DEC"/>
    <w:multiLevelType w:val="hybridMultilevel"/>
    <w:lvl w:ilvl="0">
      <w:lvlJc w:val="left"/>
      <w:lvlText w:val="[***]"/>
      <w:numFmt w:val="bullet"/>
      <w:start w:val="1"/>
    </w:lvl>
  </w:abstractNum>
  <w:abstractNum w:abstractNumId="119">
    <w:nsid w:val="260D8C4A"/>
    <w:multiLevelType w:val="hybridMultilevel"/>
    <w:lvl w:ilvl="0">
      <w:lvlJc w:val="left"/>
      <w:lvlText w:val="(%1)"/>
      <w:numFmt w:val="lowerLetter"/>
      <w:start w:val="1"/>
    </w:lvl>
  </w:abstractNum>
  <w:abstractNum w:abstractNumId="120">
    <w:nsid w:val="73D4D3C4"/>
    <w:multiLevelType w:val="hybridMultilevel"/>
    <w:lvl w:ilvl="0">
      <w:lvlJc w:val="left"/>
      <w:lvlText w:val="[***]"/>
      <w:numFmt w:val="bullet"/>
      <w:start w:val="1"/>
    </w:lvl>
  </w:abstractNum>
  <w:abstractNum w:abstractNumId="121">
    <w:nsid w:val="746F2E30"/>
    <w:multiLevelType w:val="hybridMultilevel"/>
    <w:lvl w:ilvl="0">
      <w:lvlJc w:val="left"/>
      <w:lvlText w:val="(%1)"/>
      <w:numFmt w:val="lowerLetter"/>
      <w:start w:val="2"/>
    </w:lvl>
  </w:abstractNum>
  <w:abstractNum w:abstractNumId="122">
    <w:nsid w:val="6FDE8AF6"/>
    <w:multiLevelType w:val="hybridMultilevel"/>
    <w:lvl w:ilvl="0">
      <w:lvlJc w:val="left"/>
      <w:lvlText w:val="[***]"/>
      <w:numFmt w:val="bullet"/>
      <w:start w:val="1"/>
    </w:lvl>
  </w:abstractNum>
  <w:abstractNum w:abstractNumId="123">
    <w:nsid w:val="3FC32E20"/>
    <w:multiLevelType w:val="hybridMultilevel"/>
    <w:lvl w:ilvl="0">
      <w:lvlJc w:val="left"/>
      <w:lvlText w:val="(%1)"/>
      <w:numFmt w:val="lowerLetter"/>
      <w:start w:val="5"/>
    </w:lvl>
  </w:abstractNum>
  <w:abstractNum w:abstractNumId="124">
    <w:nsid w:val="49C0E823"/>
    <w:multiLevelType w:val="hybridMultilevel"/>
    <w:lvl w:ilvl="0">
      <w:lvlJc w:val="left"/>
      <w:lvlText w:val="[***]"/>
      <w:numFmt w:val="bullet"/>
      <w:start w:val="1"/>
    </w:lvl>
  </w:abstractNum>
  <w:abstractNum w:abstractNumId="125">
    <w:nsid w:val="14D53685"/>
    <w:multiLevelType w:val="hybridMultilevel"/>
    <w:lvl w:ilvl="0">
      <w:lvlJc w:val="left"/>
      <w:lvlText w:val="(%1)"/>
      <w:numFmt w:val="lowerLetter"/>
      <w:start w:val="1"/>
    </w:lvl>
  </w:abstractNum>
  <w:abstractNum w:abstractNumId="126">
    <w:nsid w:val="230F856C"/>
    <w:multiLevelType w:val="hybridMultilevel"/>
    <w:lvl w:ilvl="0">
      <w:lvlJc w:val="left"/>
      <w:lvlText w:val="[***]"/>
      <w:numFmt w:val="bullet"/>
      <w:start w:val="1"/>
    </w:lvl>
  </w:abstractNum>
  <w:abstractNum w:abstractNumId="127">
    <w:nsid w:val="6EAA85FB"/>
    <w:multiLevelType w:val="hybridMultilevel"/>
    <w:lvl w:ilvl="0">
      <w:lvlJc w:val="left"/>
      <w:lvlText w:val="[***]"/>
      <w:numFmt w:val="bullet"/>
      <w:start w:val="1"/>
    </w:lvl>
  </w:abstractNum>
  <w:abstractNum w:abstractNumId="128">
    <w:nsid w:val="3F06ECB2"/>
    <w:multiLevelType w:val="hybridMultilevel"/>
    <w:lvl w:ilvl="0">
      <w:lvlJc w:val="left"/>
      <w:lvlText w:val="%1."/>
      <w:numFmt w:val="decimal"/>
      <w:start w:val="6"/>
    </w:lvl>
  </w:abstractNum>
  <w:abstractNum w:abstractNumId="129">
    <w:nsid w:val="3B594807"/>
    <w:multiLevelType w:val="hybridMultilevel"/>
    <w:lvl w:ilvl="0">
      <w:lvlJc w:val="left"/>
      <w:lvlText w:val="(%1)"/>
      <w:numFmt w:val="lowerLetter"/>
      <w:start w:val="1"/>
    </w:lvl>
    <w:lvl w:ilvl="1">
      <w:lvlJc w:val="left"/>
      <w:lvlText w:val="(%2)"/>
      <w:numFmt w:val="lowerLetter"/>
      <w:start w:val="9"/>
    </w:lvl>
  </w:abstractNum>
  <w:abstractNum w:abstractNumId="130">
    <w:nsid w:val="6CAA2304"/>
    <w:multiLevelType w:val="hybridMultilevel"/>
    <w:lvl w:ilvl="0">
      <w:lvlJc w:val="left"/>
      <w:lvlText w:val="[***]"/>
      <w:numFmt w:val="bullet"/>
      <w:start w:val="1"/>
    </w:lvl>
  </w:abstractNum>
  <w:abstractNum w:abstractNumId="131">
    <w:nsid w:val="3F7C2FF4"/>
    <w:multiLevelType w:val="hybridMultilevel"/>
    <w:lvl w:ilvl="0">
      <w:lvlJc w:val="left"/>
      <w:lvlText w:val="%1"/>
      <w:numFmt w:val="lowerLetter"/>
      <w:start w:val="1"/>
    </w:lvl>
    <w:lvl w:ilvl="1">
      <w:lvlJc w:val="left"/>
      <w:lvlText w:val="(%2)"/>
      <w:numFmt w:val="lowerRoman"/>
      <w:start w:val="2"/>
    </w:lvl>
  </w:abstractNum>
  <w:abstractNum w:abstractNumId="132">
    <w:nsid w:val="25413BEC"/>
    <w:multiLevelType w:val="hybridMultilevel"/>
    <w:lvl w:ilvl="0">
      <w:lvlJc w:val="left"/>
      <w:lvlText w:val="(%1)"/>
      <w:numFmt w:val="lowerLetter"/>
      <w:start w:val="2"/>
    </w:lvl>
    <w:lvl w:ilvl="1">
      <w:lvlJc w:val="left"/>
      <w:lvlText w:val="%2"/>
      <w:numFmt w:val="lowerRoman"/>
      <w:start w:val="1"/>
    </w:lvl>
  </w:abstractNum>
  <w:abstractNum w:abstractNumId="133">
    <w:nsid w:val="17180B0B"/>
    <w:multiLevelType w:val="hybridMultilevel"/>
    <w:lvl w:ilvl="0">
      <w:lvlJc w:val="left"/>
      <w:lvlText w:val="[***]"/>
      <w:numFmt w:val="bullet"/>
      <w:start w:val="1"/>
    </w:lvl>
  </w:abstractNum>
  <w:abstractNum w:abstractNumId="134">
    <w:nsid w:val="579328B9"/>
    <w:multiLevelType w:val="hybridMultilevel"/>
    <w:lvl w:ilvl="0">
      <w:lvlJc w:val="left"/>
      <w:lvlText w:val="[***]"/>
      <w:numFmt w:val="bullet"/>
      <w:start w:val="1"/>
    </w:lvl>
  </w:abstractNum>
  <w:abstractNum w:abstractNumId="135">
    <w:nsid w:val="5D205E20"/>
    <w:multiLevelType w:val="hybridMultilevel"/>
    <w:lvl w:ilvl="0">
      <w:lvlJc w:val="left"/>
      <w:lvlText w:val="%1."/>
      <w:numFmt w:val="decimal"/>
      <w:start w:val="7"/>
    </w:lvl>
  </w:abstractNum>
  <w:abstractNum w:abstractNumId="136">
    <w:nsid w:val="11CCA8BA"/>
    <w:multiLevelType w:val="hybridMultilevel"/>
    <w:lvl w:ilvl="0">
      <w:lvlJc w:val="left"/>
      <w:lvlText w:val="[***]"/>
      <w:numFmt w:val="bullet"/>
      <w:start w:val="1"/>
    </w:lvl>
  </w:abstractNum>
  <w:abstractNum w:abstractNumId="137">
    <w:nsid w:val="4D32AB86"/>
    <w:multiLevelType w:val="hybridMultilevel"/>
    <w:lvl w:ilvl="0">
      <w:lvlJc w:val="left"/>
      <w:lvlText w:val="[***]"/>
      <w:numFmt w:val="bullet"/>
      <w:start w:val="1"/>
    </w:lvl>
  </w:abstractNum>
  <w:abstractNum w:abstractNumId="138">
    <w:nsid w:val="3F07ACC3"/>
    <w:multiLevelType w:val="hybridMultilevel"/>
    <w:lvl w:ilvl="0">
      <w:lvlJc w:val="left"/>
      <w:lvlText w:val="%1."/>
      <w:numFmt w:val="decimal"/>
      <w:start w:val="8"/>
    </w:lvl>
  </w:abstractNum>
  <w:abstractNum w:abstractNumId="139">
    <w:nsid w:val="6B47F63E"/>
    <w:multiLevelType w:val="hybridMultilevel"/>
    <w:lvl w:ilvl="0">
      <w:lvlJc w:val="left"/>
      <w:lvlText w:val="[***]"/>
      <w:numFmt w:val="bullet"/>
      <w:start w:val="1"/>
    </w:lvl>
  </w:abstractNum>
  <w:abstractNum w:abstractNumId="140">
    <w:nsid w:val="5CB44A05"/>
    <w:multiLevelType w:val="hybridMultilevel"/>
    <w:lvl w:ilvl="0">
      <w:lvlJc w:val="left"/>
      <w:lvlText w:val="."/>
      <w:numFmt w:val="bullet"/>
      <w:start w:val="1"/>
    </w:lvl>
  </w:abstractNum>
  <w:abstractNum w:abstractNumId="141">
    <w:nsid w:val="16CF80F1"/>
    <w:multiLevelType w:val="hybridMultilevel"/>
    <w:lvl w:ilvl="0">
      <w:lvlJc w:val="left"/>
      <w:lvlText w:val="(%1)"/>
      <w:numFmt w:val="lowerLetter"/>
      <w:start w:val="1"/>
    </w:lvl>
  </w:abstractNum>
  <w:abstractNum w:abstractNumId="142">
    <w:nsid w:val="1C695DEC"/>
    <w:multiLevelType w:val="hybridMultilevel"/>
    <w:lvl w:ilvl="0">
      <w:lvlJc w:val="left"/>
      <w:lvlText w:val="[***]"/>
      <w:numFmt w:val="bullet"/>
      <w:start w:val="1"/>
    </w:lvl>
  </w:abstractNum>
  <w:abstractNum w:abstractNumId="143">
    <w:nsid w:val="3FCFAED9"/>
    <w:multiLevelType w:val="hybridMultilevel"/>
    <w:lvl w:ilvl="0">
      <w:lvlJc w:val="left"/>
      <w:lvlText w:val="(%1)"/>
      <w:numFmt w:val="lowerLetter"/>
      <w:start w:val="1"/>
    </w:lvl>
  </w:abstractNum>
  <w:abstractNum w:abstractNumId="144">
    <w:nsid w:val="F856867"/>
    <w:multiLevelType w:val="hybridMultilevel"/>
    <w:lvl w:ilvl="0">
      <w:lvlJc w:val="left"/>
      <w:lvlText w:val="[***]"/>
      <w:numFmt w:val="bullet"/>
      <w:start w:val="1"/>
    </w:lvl>
  </w:abstractNum>
  <w:abstractNum w:abstractNumId="145">
    <w:nsid w:val="11B1CC33"/>
    <w:multiLevelType w:val="hybridMultilevel"/>
    <w:lvl w:ilvl="0">
      <w:lvlJc w:val="left"/>
      <w:lvlText w:val="[***]"/>
      <w:numFmt w:val="bullet"/>
      <w:start w:val="1"/>
    </w:lvl>
  </w:abstractNum>
  <w:abstractNum w:abstractNumId="146">
    <w:nsid w:val="2E22FBB7"/>
    <w:multiLevelType w:val="hybridMultilevel"/>
    <w:lvl w:ilvl="0">
      <w:lvlJc w:val="left"/>
      <w:lvlText w:val="%1."/>
      <w:numFmt w:val="decimal"/>
      <w:start w:val="9"/>
    </w:lvl>
  </w:abstractNum>
  <w:abstractNum w:abstractNumId="147">
    <w:nsid w:val="29934699"/>
    <w:multiLevelType w:val="hybridMultilevel"/>
    <w:lvl w:ilvl="0">
      <w:lvlJc w:val="left"/>
      <w:lvlText w:val="[***]"/>
      <w:numFmt w:val="bullet"/>
      <w:start w:val="1"/>
    </w:lvl>
  </w:abstractNum>
  <w:abstractNum w:abstractNumId="148">
    <w:nsid w:val="77485850"/>
    <w:multiLevelType w:val="hybridMultilevel"/>
    <w:lvl w:ilvl="0">
      <w:lvlJc w:val="left"/>
      <w:lvlText w:val="(%1)"/>
      <w:numFmt w:val="lowerLetter"/>
      <w:start w:val="1"/>
    </w:lvl>
  </w:abstractNum>
  <w:abstractNum w:abstractNumId="149">
    <w:nsid w:val="744939A3"/>
    <w:multiLevelType w:val="hybridMultilevel"/>
    <w:lvl w:ilvl="0">
      <w:lvlJc w:val="left"/>
      <w:lvlText w:val="[***]"/>
      <w:numFmt w:val="bullet"/>
      <w:start w:val="1"/>
    </w:lvl>
  </w:abstractNum>
  <w:abstractNum w:abstractNumId="150">
    <w:nsid w:val="4FA0D2E3"/>
    <w:multiLevelType w:val="hybridMultilevel"/>
    <w:lvl w:ilvl="0">
      <w:lvlJc w:val="left"/>
      <w:lvlText w:val="%1."/>
      <w:numFmt w:val="decimal"/>
      <w:start w:val="10"/>
    </w:lvl>
  </w:abstractNum>
  <w:abstractNum w:abstractNumId="151">
    <w:nsid w:val="6B1D2C14"/>
    <w:multiLevelType w:val="hybridMultilevel"/>
    <w:lvl w:ilvl="0">
      <w:lvlJc w:val="left"/>
      <w:lvlText w:val="[***]"/>
      <w:numFmt w:val="bullet"/>
      <w:start w:val="1"/>
    </w:lvl>
  </w:abstractNum>
  <w:abstractNum w:abstractNumId="152">
    <w:nsid w:val="68B867D3"/>
    <w:multiLevelType w:val="hybridMultilevel"/>
    <w:lvl w:ilvl="0">
      <w:lvlJc w:val="left"/>
      <w:lvlText w:val="[***]"/>
      <w:numFmt w:val="bullet"/>
      <w:start w:val="1"/>
    </w:lvl>
  </w:abstractNum>
  <w:abstractNum w:abstractNumId="153">
    <w:nsid w:val="3F7F5DD9"/>
    <w:multiLevelType w:val="hybridMultilevel"/>
    <w:lvl w:ilvl="0">
      <w:lvlJc w:val="left"/>
      <w:lvlText w:val="[***]"/>
      <w:numFmt w:val="bullet"/>
      <w:start w:val="1"/>
    </w:lvl>
  </w:abstractNum>
  <w:abstractNum w:abstractNumId="154">
    <w:nsid w:val="2AE05A34"/>
    <w:multiLevelType w:val="hybridMultilevel"/>
    <w:lvl w:ilvl="0">
      <w:lvlJc w:val="left"/>
      <w:lvlText w:val="(%1)"/>
      <w:numFmt w:val="decimal"/>
      <w:start w:val="45"/>
    </w:lvl>
  </w:abstractNum>
  <w:abstractNum w:abstractNumId="155">
    <w:nsid w:val="32794FF7"/>
    <w:multiLevelType w:val="hybridMultilevel"/>
    <w:lvl w:ilvl="0">
      <w:lvlJc w:val="left"/>
      <w:lvlText w:val="(%1)"/>
      <w:numFmt w:val="decimal"/>
      <w:start w:val="90"/>
    </w:lvl>
    <w:lvl w:ilvl="1">
      <w:lvlJc w:val="left"/>
      <w:lvlText w:val="(%2)"/>
      <w:numFmt w:val="lowerLetter"/>
      <w:start w:val="1"/>
    </w:lvl>
  </w:abstractNum>
  <w:abstractNum w:abstractNumId="156">
    <w:nsid w:val="5454945E"/>
    <w:multiLevelType w:val="hybridMultilevel"/>
    <w:lvl w:ilvl="0">
      <w:lvlJc w:val="left"/>
      <w:lvlText w:val="[***]"/>
      <w:numFmt w:val="bullet"/>
      <w:start w:val="1"/>
    </w:lvl>
  </w:abstractNum>
  <w:abstractNum w:abstractNumId="157">
    <w:nsid w:val="4DEFDFA0"/>
    <w:multiLevelType w:val="hybridMultilevel"/>
    <w:lvl w:ilvl="0">
      <w:lvlJc w:val="left"/>
      <w:lvlText w:val="(%1)"/>
      <w:numFmt w:val="lowerLetter"/>
      <w:start w:val="2"/>
    </w:lvl>
  </w:abstractNum>
  <w:abstractNum w:abstractNumId="158">
    <w:nsid w:val="2123D5F2"/>
    <w:multiLevelType w:val="hybridMultilevel"/>
    <w:lvl w:ilvl="0">
      <w:lvlJc w:val="left"/>
      <w:lvlText w:val="[***]"/>
      <w:numFmt w:val="bullet"/>
      <w:start w:val="1"/>
    </w:lvl>
  </w:abstractNum>
  <w:abstractNum w:abstractNumId="159">
    <w:nsid w:val="135B8110"/>
    <w:multiLevelType w:val="hybridMultilevel"/>
    <w:lvl w:ilvl="0">
      <w:lvlJc w:val="left"/>
      <w:lvlText w:val="[***]"/>
      <w:numFmt w:val="bullet"/>
      <w:start w:val="1"/>
    </w:lvl>
  </w:abstractNum>
  <w:abstractNum w:abstractNumId="160">
    <w:nsid w:val="94927A8"/>
    <w:multiLevelType w:val="hybridMultilevel"/>
    <w:lvl w:ilvl="0">
      <w:lvlJc w:val="left"/>
      <w:lvlText w:val="[***]"/>
      <w:numFmt w:val="bullet"/>
      <w:start w:val="1"/>
    </w:lvl>
  </w:abstractNum>
  <w:abstractNum w:abstractNumId="161">
    <w:nsid w:val="DCDF8F6"/>
    <w:multiLevelType w:val="hybridMultilevel"/>
    <w:lvl w:ilvl="0">
      <w:lvlJc w:val="left"/>
      <w:lvlText w:val="[***]"/>
      <w:numFmt w:val="bullet"/>
      <w:start w:val="1"/>
    </w:lvl>
  </w:abstractNum>
  <w:abstractNum w:abstractNumId="162">
    <w:nsid w:val="52D7B105"/>
    <w:multiLevelType w:val="hybridMultilevel"/>
    <w:lvl w:ilvl="0">
      <w:lvlJc w:val="left"/>
      <w:lvlText w:val="[***]"/>
      <w:numFmt w:val="bullet"/>
      <w:start w:val="1"/>
    </w:lvl>
  </w:abstractNum>
  <w:abstractNum w:abstractNumId="163">
    <w:nsid w:val="2E8A6394"/>
    <w:multiLevelType w:val="hybridMultilevel"/>
    <w:lvl w:ilvl="0">
      <w:lvlJc w:val="left"/>
      <w:lvlText w:val="•"/>
      <w:numFmt w:val="bullet"/>
      <w:start w:val="1"/>
    </w:lvl>
  </w:abstractNum>
  <w:abstractNum w:abstractNumId="164">
    <w:nsid w:val="24E60401"/>
    <w:multiLevelType w:val="hybridMultilevel"/>
    <w:lvl w:ilvl="0">
      <w:lvlJc w:val="left"/>
      <w:lvlText w:val="o"/>
      <w:numFmt w:val="bullet"/>
      <w:start w:val="1"/>
    </w:lvl>
  </w:abstractNum>
  <w:abstractNum w:abstractNumId="165">
    <w:nsid w:val="2A6AD9BE"/>
    <w:multiLevelType w:val="hybridMultilevel"/>
    <w:lvl w:ilvl="0">
      <w:lvlJc w:val="left"/>
      <w:lvlText w:val="[***]"/>
      <w:numFmt w:val="bullet"/>
      <w:start w:val="1"/>
    </w:lvl>
  </w:abstractNum>
  <w:abstractNum w:abstractNumId="166">
    <w:nsid w:val="BAAC1B4"/>
    <w:multiLevelType w:val="hybridMultilevel"/>
    <w:lvl w:ilvl="0">
      <w:lvlJc w:val="left"/>
      <w:lvlText w:val="•"/>
      <w:numFmt w:val="bullet"/>
      <w:start w:val="1"/>
    </w:lvl>
  </w:abstractNum>
  <w:abstractNum w:abstractNumId="167">
    <w:nsid w:val="36B2ACBC"/>
    <w:multiLevelType w:val="hybridMultilevel"/>
    <w:lvl w:ilvl="0">
      <w:lvlJc w:val="left"/>
      <w:lvlText w:val="[***]"/>
      <w:numFmt w:val="bullet"/>
      <w:start w:val="1"/>
    </w:lvl>
  </w:abstractNum>
  <w:abstractNum w:abstractNumId="168">
    <w:nsid w:val="779D8544"/>
    <w:multiLevelType w:val="hybridMultilevel"/>
    <w:lvl w:ilvl="0">
      <w:lvlJc w:val="left"/>
      <w:lvlText w:val="%1."/>
      <w:numFmt w:val="decimal"/>
      <w:start w:val="1"/>
    </w:lvl>
  </w:abstractNum>
  <w:abstractNum w:abstractNumId="169">
    <w:nsid w:val="4AB26E78"/>
    <w:multiLevelType w:val="hybridMultilevel"/>
    <w:lvl w:ilvl="0">
      <w:lvlJc w:val="left"/>
      <w:lvlText w:val="[***]"/>
      <w:numFmt w:val="bullet"/>
      <w:start w:val="1"/>
    </w:lvl>
  </w:abstractNum>
  <w:abstractNum w:abstractNumId="170">
    <w:nsid w:val="21FAA2FA"/>
    <w:multiLevelType w:val="hybridMultilevel"/>
    <w:lvl w:ilvl="0">
      <w:lvlJc w:val="left"/>
      <w:lvlText w:val="%1."/>
      <w:numFmt w:val="decimal"/>
      <w:start w:val="2"/>
    </w:lvl>
  </w:abstractNum>
  <w:abstractNum w:abstractNumId="171">
    <w:nsid w:val="5451CF49"/>
    <w:multiLevelType w:val="hybridMultilevel"/>
    <w:lvl w:ilvl="0">
      <w:lvlJc w:val="left"/>
      <w:lvlText w:val="[***]"/>
      <w:numFmt w:val="bullet"/>
      <w:start w:val="1"/>
    </w:lvl>
  </w:abstractNum>
  <w:abstractNum w:abstractNumId="172">
    <w:nsid w:val="6181EF69"/>
    <w:multiLevelType w:val="hybridMultilevel"/>
    <w:lvl w:ilvl="0">
      <w:lvlJc w:val="left"/>
      <w:lvlText w:val="[***]"/>
      <w:numFmt w:val="bullet"/>
      <w:start w:val="1"/>
    </w:lvl>
  </w:abstractNum>
  <w:abstractNum w:abstractNumId="173">
    <w:nsid w:val="3E6400E6"/>
    <w:multiLevelType w:val="hybridMultilevel"/>
    <w:lvl w:ilvl="0">
      <w:lvlJc w:val="left"/>
      <w:lvlText w:val="%1."/>
      <w:numFmt w:val="decimal"/>
      <w:start w:val="1"/>
    </w:lvl>
  </w:abstractNum>
  <w:abstractNum w:abstractNumId="174">
    <w:nsid w:val="14217E23"/>
    <w:multiLevelType w:val="hybridMultilevel"/>
    <w:lvl w:ilvl="0">
      <w:lvlJc w:val="left"/>
      <w:lvlText w:val="%1."/>
      <w:numFmt w:val="decimal"/>
      <w:start w:val="2"/>
    </w:lvl>
  </w:abstractNum>
  <w:abstractNum w:abstractNumId="175">
    <w:nsid w:val="710757D0"/>
    <w:multiLevelType w:val="hybridMultilevel"/>
    <w:lvl w:ilvl="0">
      <w:lvlJc w:val="left"/>
      <w:lvlText w:val="[***]"/>
      <w:numFmt w:val="bullet"/>
      <w:start w:val="1"/>
    </w:lvl>
  </w:abstractNum>
  <w:abstractNum w:abstractNumId="176">
    <w:nsid w:val="5015CD1A"/>
    <w:multiLevelType w:val="hybridMultilevel"/>
    <w:lvl w:ilvl="0">
      <w:lvlJc w:val="left"/>
      <w:lvlText w:val="[***]"/>
      <w:numFmt w:val="bullet"/>
      <w:start w:val="1"/>
    </w:lvl>
  </w:abstractNum>
  <w:abstractNum w:abstractNumId="177">
    <w:nsid w:val="424479DA"/>
    <w:multiLevelType w:val="hybridMultilevel"/>
    <w:lvl w:ilvl="0">
      <w:lvlJc w:val="left"/>
      <w:lvlText w:val="%1."/>
      <w:numFmt w:val="decimal"/>
      <w:start w:val="1"/>
    </w:lvl>
    <w:lvl w:ilvl="1">
      <w:lvlJc w:val="left"/>
      <w:lvlText w:val="(%2)"/>
      <w:numFmt w:val="lowerLetter"/>
      <w:start w:val="1"/>
    </w:lvl>
  </w:abstractNum>
  <w:abstractNum w:abstractNumId="178">
    <w:nsid w:val="1A9A9E69"/>
    <w:multiLevelType w:val="hybridMultilevel"/>
    <w:lvl w:ilvl="0">
      <w:lvlJc w:val="left"/>
      <w:lvlText w:val="%1."/>
      <w:numFmt w:val="decimal"/>
      <w:start w:val="1"/>
    </w:lvl>
    <w:lvl w:ilvl="1">
      <w:lvlJc w:val="left"/>
      <w:lvlText w:val="(%2)"/>
      <w:numFmt w:val="lowerLetter"/>
      <w:start w:val="1"/>
    </w:lvl>
  </w:abstractNum>
  <w:abstractNum w:abstractNumId="179">
    <w:nsid w:val="475E256A"/>
    <w:multiLevelType w:val="hybridMultilevel"/>
    <w:lvl w:ilvl="0">
      <w:lvlJc w:val="left"/>
      <w:lvlText w:val="(%1)"/>
      <w:numFmt w:val="decimal"/>
      <w:start w:val="1"/>
    </w:lvl>
  </w:abstractNum>
  <w:abstractNum w:abstractNumId="180">
    <w:nsid w:val="368DB3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91" Type="http://schemas.openxmlformats.org/officeDocument/2006/relationships/hyperlink" Target="http://www.sec.gov/Archives/edgar/data/0001501989/000119312515347080/d78795dex31.htm" TargetMode="External"/><Relationship Id="rId92" Type="http://schemas.openxmlformats.org/officeDocument/2006/relationships/hyperlink" Target="http://www.sec.gov/Archives/edgar/data/0001501989/000119312515347080/d78795dex32.htm" TargetMode="External"/><Relationship Id="rId93" Type="http://schemas.openxmlformats.org/officeDocument/2006/relationships/hyperlink" Target="http://www.sec.gov/Archives/edgar/data/0001501989/000119312515329662/d948537dex41.htm" TargetMode="External"/><Relationship Id="rId94" Type="http://schemas.openxmlformats.org/officeDocument/2006/relationships/hyperlink" Target="http://www.sec.gov/Archives/edgar/data/0001501989/000119312515307013/d9485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2019-12-28T18:22:47Z</dcterms:created>
  <dcterms:modified xsi:type="dcterms:W3CDTF">2019-12-28T18:22:47Z</dcterms:modified>
</cp:coreProperties>
</file>