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CytomX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10,098,824.00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10,098,824.00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10,098,824.00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10,098,824.00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10,098,824.00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10,098,824.00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10,098,824.00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10,098,824.00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10,098,824.00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CytomX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359"/>
        <w:spacing w:after="0"/>
        <w:rPr>
          <w:sz w:val="20"/>
          <w:szCs w:val="20"/>
          <w:color w:val="auto"/>
        </w:rPr>
      </w:pPr>
      <w:r>
        <w:rPr>
          <w:rFonts w:ascii="Times New Roman" w:cs="Times New Roman" w:eastAsia="Times New Roman" w:hAnsi="Times New Roman"/>
          <w:sz w:val="22"/>
          <w:szCs w:val="22"/>
          <w:color w:val="auto"/>
        </w:rPr>
        <w:t>151 Oyster Point Blvd., Suite 400, South San Francisco, CA 94080</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report (collectively, the "Reporting Persons") with respect to shares of Common Stock, par value $0.00001 per share (the "Common Stock") of CytomX Therapeutics, Inc. (the "Issuer") are: Perceptive Advisors LLC ("Perceptive Advisors") Joseph Edelman ("Mr. Edelman") Perceptive Life Sciences Master Fund, Ltd. (the "Master Fund")</w:t>
      </w:r>
    </w:p>
    <w:p>
      <w:pPr>
        <w:sectPr>
          <w:pgSz w:w="11900" w:h="16958" w:orient="portrait"/>
          <w:cols w:equalWidth="0" w:num="1">
            <w:col w:w="11060"/>
          </w:cols>
          <w:pgMar w:left="360" w:top="112" w:right="47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51 Astor Place, 10th Floor New York, NY 10003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Perceptive Advisors is a Delaware limited liability company Mr. Edelman is a United States citizen The Master Fund is a Cayman Islands corporation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958" w:orient="portrait"/>
          <w:cols w:equalWidth="0" w:num="2">
            <w:col w:w="620" w:space="300"/>
            <w:col w:w="10140"/>
          </w:cols>
          <w:pgMar w:left="360" w:top="112" w:right="479" w:bottom="0" w:gutter="0" w:footer="0" w:header="0"/>
          <w:type w:val="continuous"/>
        </w:sectPr>
      </w:pPr>
    </w:p>
    <w:p>
      <w:pPr>
        <w:spacing w:after="0" w:line="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pages to this Schedule 13G. The ownership percentages reported are based on 217,702,919 outstanding</w:t>
      </w:r>
    </w:p>
    <w:p>
      <w:pPr>
        <w:spacing w:after="0" w:line="1" w:lineRule="exact"/>
        <w:rPr>
          <w:sz w:val="20"/>
          <w:szCs w:val="20"/>
          <w:color w:val="auto"/>
        </w:rPr>
      </w:pPr>
    </w:p>
    <w:p>
      <w:pPr>
        <w:ind w:left="920" w:hanging="912"/>
        <w:spacing w:after="0" w:line="233"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as of April 30, 2026, as reported in the Issuer's Quarterly Report on Form 10-Q filed with the Securities and Exchange Commission on May 7, 2026. The Master Fund directly holds 10,098,824 shares of Common Stock. Perceptive Advisors serves as the investment manager to the Master Fund and may be deemed to beneficially own the securities directly held by the Master Fund. Mr. Edelman is the managing member of Perceptive Advisors and may be deemed to beneficially own the securities directly held by the Master Fund.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4.6% Mr. Edelman: 4.6% Master Fund: 4.6%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10,098,824 Mr. Edelman: 10,098,824 Master Fund: 10,098,824</w:t>
      </w:r>
    </w:p>
    <w:p>
      <w:pPr>
        <w:spacing w:after="0" w:line="287" w:lineRule="exact"/>
        <w:rPr>
          <w:sz w:val="20"/>
          <w:szCs w:val="20"/>
          <w:color w:val="auto"/>
        </w:rPr>
      </w:pPr>
    </w:p>
    <w:p>
      <w:pPr>
        <w:ind w:left="920" w:right="5240" w:firstLine="6"/>
        <w:spacing w:after="0" w:line="523" w:lineRule="auto"/>
        <w:tabs>
          <w:tab w:leader="none" w:pos="129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Perceptive Advisors: 0 Mr. Edelman: 0 Master Fund: 0</w:t>
      </w:r>
    </w:p>
    <w:p>
      <w:pPr>
        <w:sectPr>
          <w:pgSz w:w="11900" w:h="16958" w:orient="portrait"/>
          <w:cols w:equalWidth="0" w:num="1">
            <w:col w:w="11060"/>
          </w:cols>
          <w:pgMar w:left="360" w:top="112"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Perceptive Advisors: 10,098,824 Mr. Edelman: 10,098,824 Master Fund: 10,098,824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5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2026-05-15T15:08:46Z</dcterms:created>
  <dcterms:modified xsi:type="dcterms:W3CDTF">2026-05-15T15:08:46Z</dcterms:modified>
</cp:coreProperties>
</file>