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500" w:right="300" w:hanging="479"/>
        <w:spacing w:after="0" w:line="25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11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48" w:lineRule="exact"/>
        <w:rPr>
          <w:sz w:val="24"/>
          <w:szCs w:val="24"/>
          <w:color w:val="auto"/>
        </w:rPr>
      </w:pPr>
    </w:p>
    <w:p>
      <w:pPr>
        <w:ind w:left="500" w:right="280" w:hanging="479"/>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001-37587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color w:val="auto"/>
        </w:rPr>
        <w:t>CytomX Therapeutics, Inc.</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jc w:val="center"/>
              <w:ind w:left="1739"/>
              <w:spacing w:after="0"/>
              <w:rPr>
                <w:sz w:val="20"/>
                <w:szCs w:val="20"/>
                <w:color w:val="auto"/>
              </w:rPr>
            </w:pPr>
            <w:r>
              <w:rPr>
                <w:rFonts w:ascii="Arial" w:cs="Arial" w:eastAsia="Arial" w:hAnsi="Arial"/>
                <w:sz w:val="18"/>
                <w:szCs w:val="18"/>
                <w:b w:val="1"/>
                <w:bCs w:val="1"/>
                <w:color w:val="auto"/>
                <w:w w:val="93"/>
              </w:rPr>
              <w:t>Delaware</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720" w:type="dxa"/>
            <w:vAlign w:val="bottom"/>
          </w:tcPr>
          <w:p>
            <w:pPr>
              <w:jc w:val="center"/>
              <w:ind w:right="1701"/>
              <w:spacing w:after="0"/>
              <w:rPr>
                <w:sz w:val="20"/>
                <w:szCs w:val="20"/>
                <w:color w:val="auto"/>
              </w:rPr>
            </w:pPr>
            <w:r>
              <w:rPr>
                <w:rFonts w:ascii="Arial" w:cs="Arial" w:eastAsia="Arial" w:hAnsi="Arial"/>
                <w:sz w:val="18"/>
                <w:szCs w:val="18"/>
                <w:b w:val="1"/>
                <w:bCs w:val="1"/>
                <w:color w:val="auto"/>
                <w:w w:val="89"/>
              </w:rPr>
              <w:t>27-3521219</w:t>
            </w:r>
          </w:p>
        </w:tc>
      </w:tr>
      <w:tr>
        <w:trPr>
          <w:trHeight w:val="153"/>
        </w:trPr>
        <w:tc>
          <w:tcPr>
            <w:tcW w:w="3800" w:type="dxa"/>
            <w:vAlign w:val="bottom"/>
          </w:tcPr>
          <w:p>
            <w:pPr>
              <w:jc w:val="center"/>
              <w:ind w:left="1739"/>
              <w:spacing w:after="0" w:line="153" w:lineRule="exact"/>
              <w:rPr>
                <w:sz w:val="20"/>
                <w:szCs w:val="20"/>
                <w:color w:val="auto"/>
              </w:rPr>
            </w:pPr>
            <w:r>
              <w:rPr>
                <w:rFonts w:ascii="Arial" w:cs="Arial" w:eastAsia="Arial" w:hAnsi="Arial"/>
                <w:sz w:val="14"/>
                <w:szCs w:val="14"/>
                <w:b w:val="1"/>
                <w:bCs w:val="1"/>
                <w:color w:val="auto"/>
                <w:w w:val="92"/>
              </w:rPr>
              <w:t>(State or other jurisdiction of</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720" w:type="dxa"/>
            <w:vAlign w:val="bottom"/>
          </w:tcPr>
          <w:p>
            <w:pPr>
              <w:jc w:val="center"/>
              <w:ind w:right="1681"/>
              <w:spacing w:after="0" w:line="153"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00" w:type="dxa"/>
            <w:vAlign w:val="bottom"/>
          </w:tcPr>
          <w:p>
            <w:pPr>
              <w:jc w:val="center"/>
              <w:ind w:left="1739"/>
              <w:spacing w:after="0"/>
              <w:rPr>
                <w:sz w:val="20"/>
                <w:szCs w:val="20"/>
                <w:color w:val="auto"/>
              </w:rPr>
            </w:pPr>
            <w:r>
              <w:rPr>
                <w:rFonts w:ascii="Arial" w:cs="Arial" w:eastAsia="Arial" w:hAnsi="Arial"/>
                <w:sz w:val="14"/>
                <w:szCs w:val="14"/>
                <w:b w:val="1"/>
                <w:bCs w:val="1"/>
                <w:color w:val="auto"/>
                <w:w w:val="93"/>
              </w:rPr>
              <w:t>incorporation or organization)</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720" w:type="dxa"/>
            <w:vAlign w:val="bottom"/>
          </w:tcPr>
          <w:p>
            <w:pPr>
              <w:jc w:val="center"/>
              <w:ind w:right="1681"/>
              <w:spacing w:after="0"/>
              <w:rPr>
                <w:sz w:val="20"/>
                <w:szCs w:val="20"/>
                <w:color w:val="auto"/>
              </w:rPr>
            </w:pPr>
            <w:r>
              <w:rPr>
                <w:rFonts w:ascii="Arial" w:cs="Arial" w:eastAsia="Arial" w:hAnsi="Arial"/>
                <w:sz w:val="14"/>
                <w:szCs w:val="14"/>
                <w:b w:val="1"/>
                <w:bCs w:val="1"/>
                <w:color w:val="auto"/>
                <w:w w:val="94"/>
              </w:rPr>
              <w:t>Identification No.)</w:t>
            </w:r>
          </w:p>
        </w:tc>
      </w:tr>
      <w:tr>
        <w:trPr>
          <w:trHeight w:val="331"/>
        </w:trPr>
        <w:tc>
          <w:tcPr>
            <w:tcW w:w="3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80" w:type="dxa"/>
            <w:vAlign w:val="bottom"/>
            <w:gridSpan w:val="6"/>
          </w:tcPr>
          <w:p>
            <w:pPr>
              <w:jc w:val="center"/>
              <w:ind w:right="520"/>
              <w:spacing w:after="0"/>
              <w:rPr>
                <w:sz w:val="20"/>
                <w:szCs w:val="20"/>
                <w:color w:val="auto"/>
              </w:rPr>
            </w:pPr>
            <w:r>
              <w:rPr>
                <w:rFonts w:ascii="Arial" w:cs="Arial" w:eastAsia="Arial" w:hAnsi="Arial"/>
                <w:sz w:val="18"/>
                <w:szCs w:val="18"/>
                <w:b w:val="1"/>
                <w:bCs w:val="1"/>
                <w:color w:val="auto"/>
                <w:w w:val="89"/>
              </w:rPr>
              <w:t>151 Oyster Point Blvd., Suite 400</w:t>
            </w:r>
          </w:p>
        </w:tc>
        <w:tc>
          <w:tcPr>
            <w:tcW w:w="3720" w:type="dxa"/>
            <w:vAlign w:val="bottom"/>
          </w:tcPr>
          <w:p>
            <w:pPr>
              <w:spacing w:after="0"/>
              <w:rPr>
                <w:sz w:val="24"/>
                <w:szCs w:val="24"/>
                <w:color w:val="auto"/>
              </w:rPr>
            </w:pPr>
          </w:p>
        </w:tc>
      </w:tr>
      <w:tr>
        <w:trPr>
          <w:trHeight w:val="212"/>
        </w:trPr>
        <w:tc>
          <w:tcPr>
            <w:tcW w:w="3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2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w w:val="89"/>
              </w:rPr>
              <w:t>South San Francisco, CA 94080</w:t>
            </w:r>
          </w:p>
        </w:tc>
        <w:tc>
          <w:tcPr>
            <w:tcW w:w="3720" w:type="dxa"/>
            <w:vAlign w:val="bottom"/>
          </w:tcPr>
          <w:p>
            <w:pPr>
              <w:spacing w:after="0"/>
              <w:rPr>
                <w:sz w:val="18"/>
                <w:szCs w:val="18"/>
                <w:color w:val="auto"/>
              </w:rPr>
            </w:pPr>
          </w:p>
        </w:tc>
      </w:tr>
      <w:tr>
        <w:trPr>
          <w:trHeight w:val="153"/>
        </w:trPr>
        <w:tc>
          <w:tcPr>
            <w:tcW w:w="3800" w:type="dxa"/>
            <w:vAlign w:val="bottom"/>
          </w:tcPr>
          <w:p>
            <w:pPr>
              <w:spacing w:after="0"/>
              <w:rPr>
                <w:sz w:val="13"/>
                <w:szCs w:val="13"/>
                <w:color w:val="auto"/>
              </w:rPr>
            </w:pPr>
          </w:p>
        </w:tc>
        <w:tc>
          <w:tcPr>
            <w:tcW w:w="3720" w:type="dxa"/>
            <w:vAlign w:val="bottom"/>
            <w:gridSpan w:val="7"/>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3720" w:type="dxa"/>
            <w:vAlign w:val="bottom"/>
          </w:tcPr>
          <w:p>
            <w:pPr>
              <w:spacing w:after="0"/>
              <w:rPr>
                <w:sz w:val="13"/>
                <w:szCs w:val="13"/>
                <w:color w:val="auto"/>
              </w:rPr>
            </w:pPr>
          </w:p>
        </w:tc>
      </w:tr>
      <w:tr>
        <w:trPr>
          <w:trHeight w:val="212"/>
        </w:trPr>
        <w:tc>
          <w:tcPr>
            <w:tcW w:w="3800" w:type="dxa"/>
            <w:vAlign w:val="bottom"/>
          </w:tcPr>
          <w:p>
            <w:pPr>
              <w:spacing w:after="0"/>
              <w:rPr>
                <w:sz w:val="18"/>
                <w:szCs w:val="18"/>
                <w:color w:val="auto"/>
              </w:rPr>
            </w:pPr>
          </w:p>
        </w:tc>
        <w:tc>
          <w:tcPr>
            <w:tcW w:w="2940" w:type="dxa"/>
            <w:vAlign w:val="bottom"/>
            <w:gridSpan w:val="4"/>
          </w:tcPr>
          <w:p>
            <w:pPr>
              <w:jc w:val="right"/>
              <w:ind w:right="499"/>
              <w:spacing w:after="0"/>
              <w:rPr>
                <w:sz w:val="20"/>
                <w:szCs w:val="20"/>
                <w:color w:val="auto"/>
              </w:rPr>
            </w:pPr>
            <w:r>
              <w:rPr>
                <w:rFonts w:ascii="Arial" w:cs="Arial" w:eastAsia="Arial" w:hAnsi="Arial"/>
                <w:sz w:val="18"/>
                <w:szCs w:val="18"/>
                <w:b w:val="1"/>
                <w:bCs w:val="1"/>
                <w:color w:val="auto"/>
              </w:rPr>
              <w:t>(650) 515-3185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186"/>
        </w:trPr>
        <w:tc>
          <w:tcPr>
            <w:tcW w:w="3800" w:type="dxa"/>
            <w:vAlign w:val="bottom"/>
          </w:tcPr>
          <w:p>
            <w:pPr>
              <w:spacing w:after="0"/>
              <w:rPr>
                <w:sz w:val="16"/>
                <w:szCs w:val="16"/>
                <w:color w:val="auto"/>
              </w:rPr>
            </w:pPr>
          </w:p>
        </w:tc>
        <w:tc>
          <w:tcPr>
            <w:tcW w:w="372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720" w:type="dxa"/>
            <w:vAlign w:val="bottom"/>
          </w:tcPr>
          <w:p>
            <w:pPr>
              <w:spacing w:after="0"/>
              <w:rPr>
                <w:sz w:val="16"/>
                <w:szCs w:val="16"/>
                <w:color w:val="auto"/>
              </w:rPr>
            </w:pPr>
          </w:p>
        </w:tc>
      </w:tr>
      <w:tr>
        <w:trPr>
          <w:trHeight w:val="133"/>
        </w:trPr>
        <w:tc>
          <w:tcPr>
            <w:tcW w:w="424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720" w:type="dxa"/>
            <w:vAlign w:val="bottom"/>
          </w:tcPr>
          <w:p>
            <w:pPr>
              <w:spacing w:after="0"/>
              <w:rPr>
                <w:sz w:val="11"/>
                <w:szCs w:val="11"/>
                <w:color w:val="auto"/>
              </w:rPr>
            </w:pPr>
          </w:p>
        </w:tc>
      </w:tr>
      <w:tr>
        <w:trPr>
          <w:trHeight w:val="318"/>
        </w:trPr>
        <w:tc>
          <w:tcPr>
            <w:tcW w:w="7520" w:type="dxa"/>
            <w:vAlign w:val="bottom"/>
            <w:gridSpan w:val="8"/>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720" w:type="dxa"/>
            <w:vAlign w:val="bottom"/>
          </w:tcPr>
          <w:p>
            <w:pPr>
              <w:spacing w:after="0"/>
              <w:rPr>
                <w:sz w:val="24"/>
                <w:szCs w:val="24"/>
                <w:color w:val="auto"/>
              </w:rPr>
            </w:pPr>
          </w:p>
        </w:tc>
      </w:tr>
      <w:tr>
        <w:trPr>
          <w:trHeight w:val="250"/>
        </w:trPr>
        <w:tc>
          <w:tcPr>
            <w:tcW w:w="380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b w:val="1"/>
                <w:bCs w:val="1"/>
                <w:color w:val="auto"/>
                <w:w w:val="88"/>
              </w:rPr>
              <w:t>Title of each class</w:t>
            </w:r>
          </w:p>
        </w:tc>
        <w:tc>
          <w:tcPr>
            <w:tcW w:w="4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2"/>
              </w:rPr>
              <w:t>Trading Symbol(s)</w:t>
            </w:r>
          </w:p>
        </w:tc>
        <w:tc>
          <w:tcPr>
            <w:tcW w:w="1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3720" w:type="dxa"/>
            <w:vAlign w:val="bottom"/>
            <w:tcBorders>
              <w:bottom w:val="single" w:sz="8" w:color="auto"/>
            </w:tcBorders>
          </w:tcPr>
          <w:p>
            <w:pPr>
              <w:jc w:val="center"/>
              <w:ind w:right="421"/>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10"/>
        </w:trPr>
        <w:tc>
          <w:tcPr>
            <w:tcW w:w="3800" w:type="dxa"/>
            <w:vAlign w:val="bottom"/>
          </w:tcPr>
          <w:p>
            <w:pPr>
              <w:jc w:val="center"/>
              <w:ind w:left="339"/>
              <w:spacing w:after="0"/>
              <w:rPr>
                <w:sz w:val="20"/>
                <w:szCs w:val="20"/>
                <w:color w:val="auto"/>
              </w:rPr>
            </w:pPr>
            <w:r>
              <w:rPr>
                <w:rFonts w:ascii="Arial" w:cs="Arial" w:eastAsia="Arial" w:hAnsi="Arial"/>
                <w:sz w:val="16"/>
                <w:szCs w:val="16"/>
                <w:color w:val="auto"/>
                <w:w w:val="91"/>
              </w:rPr>
              <w:t>Common Stock, $0.00001 par value per share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4"/>
          </w:tcPr>
          <w:p>
            <w:pPr>
              <w:jc w:val="center"/>
              <w:ind w:right="760"/>
              <w:spacing w:after="0"/>
              <w:rPr>
                <w:sz w:val="20"/>
                <w:szCs w:val="20"/>
                <w:color w:val="auto"/>
              </w:rPr>
            </w:pPr>
            <w:r>
              <w:rPr>
                <w:rFonts w:ascii="Arial" w:cs="Arial" w:eastAsia="Arial" w:hAnsi="Arial"/>
                <w:sz w:val="16"/>
                <w:szCs w:val="16"/>
                <w:color w:val="auto"/>
              </w:rPr>
              <w:t>CTMX</w:t>
            </w:r>
          </w:p>
        </w:tc>
        <w:tc>
          <w:tcPr>
            <w:tcW w:w="3720" w:type="dxa"/>
            <w:vAlign w:val="bottom"/>
          </w:tcPr>
          <w:p>
            <w:pPr>
              <w:jc w:val="center"/>
              <w:ind w:right="421"/>
              <w:spacing w:after="0"/>
              <w:rPr>
                <w:sz w:val="20"/>
                <w:szCs w:val="20"/>
                <w:color w:val="auto"/>
              </w:rPr>
            </w:pPr>
            <w:r>
              <w:rPr>
                <w:rFonts w:ascii="Arial" w:cs="Arial" w:eastAsia="Arial" w:hAnsi="Arial"/>
                <w:sz w:val="16"/>
                <w:szCs w:val="16"/>
                <w:color w:val="auto"/>
                <w:w w:val="91"/>
              </w:rPr>
              <w:t>Nasdaq Global Select Market</w:t>
            </w:r>
          </w:p>
        </w:tc>
      </w:tr>
    </w:tbl>
    <w:p>
      <w:pPr>
        <w:spacing w:after="0" w:line="113" w:lineRule="exact"/>
        <w:rPr>
          <w:sz w:val="24"/>
          <w:szCs w:val="24"/>
          <w:color w:val="auto"/>
        </w:rPr>
      </w:pPr>
    </w:p>
    <w:p>
      <w:pPr>
        <w:ind w:right="40"/>
        <w:spacing w:after="0" w:line="230" w:lineRule="exact"/>
        <w:rPr>
          <w:sz w:val="20"/>
          <w:szCs w:val="20"/>
          <w:color w:val="auto"/>
        </w:rPr>
      </w:pPr>
      <w:r>
        <w:rPr>
          <w:rFonts w:ascii="Arial" w:cs="Arial" w:eastAsia="Arial" w:hAnsi="Arial"/>
          <w:sz w:val="18"/>
          <w:szCs w:val="18"/>
          <w:color w:val="auto"/>
        </w:rPr>
        <w:t xml:space="preserve">Indicate by check mark whether the issuer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ind w:right="12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5"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3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2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4"/>
        </w:trPr>
        <w:tc>
          <w:tcPr>
            <w:tcW w:w="3040" w:type="dxa"/>
            <w:vAlign w:val="bottom"/>
          </w:tcPr>
          <w:p>
            <w:pPr>
              <w:spacing w:after="0"/>
              <w:rPr>
                <w:sz w:val="20"/>
                <w:szCs w:val="20"/>
                <w:color w:val="auto"/>
              </w:rPr>
            </w:pPr>
            <w:r>
              <w:rPr>
                <w:rFonts w:ascii="Arial" w:cs="Arial" w:eastAsia="Arial" w:hAnsi="Arial"/>
                <w:sz w:val="18"/>
                <w:szCs w:val="18"/>
                <w:color w:val="auto"/>
              </w:rPr>
              <w:t>Non-accelerated filer</w:t>
            </w:r>
          </w:p>
        </w:tc>
        <w:tc>
          <w:tcPr>
            <w:tcW w:w="192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340"/>
              <w:spacing w:after="0"/>
              <w:rPr>
                <w:sz w:val="20"/>
                <w:szCs w:val="20"/>
                <w:color w:val="auto"/>
              </w:rPr>
            </w:pPr>
            <w:r>
              <w:rPr>
                <w:rFonts w:ascii="Arial" w:cs="Arial" w:eastAsia="Arial" w:hAnsi="Arial"/>
                <w:sz w:val="18"/>
                <w:szCs w:val="18"/>
                <w:color w:val="auto"/>
              </w:rPr>
              <w:t>Smaller reporting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30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Emerging growth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9"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 w:lineRule="exact"/>
        <w:rPr>
          <w:sz w:val="24"/>
          <w:szCs w:val="24"/>
          <w:color w:val="auto"/>
        </w:rPr>
      </w:pPr>
    </w:p>
    <w:p>
      <w:pPr>
        <w:ind w:right="1720"/>
        <w:spacing w:after="0" w:line="299"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July 31, 2023, the registrant had 66,767,779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288290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2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rPr>
              <w:t>PART I – FINANCIAL INFORMATION</w:t>
            </w:r>
          </w:p>
        </w:tc>
        <w:tc>
          <w:tcPr>
            <w:tcW w:w="3720" w:type="dxa"/>
            <w:vAlign w:val="bottom"/>
          </w:tcPr>
          <w:p>
            <w:pPr>
              <w:spacing w:after="0"/>
              <w:rPr>
                <w:sz w:val="20"/>
                <w:szCs w:val="20"/>
                <w:color w:val="auto"/>
              </w:rPr>
            </w:pPr>
          </w:p>
        </w:tc>
      </w:tr>
      <w:tr>
        <w:trPr>
          <w:trHeight w:val="351"/>
        </w:trPr>
        <w:tc>
          <w:tcPr>
            <w:tcW w:w="110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6420" w:type="dxa"/>
            <w:vAlign w:val="bottom"/>
            <w:gridSpan w:val="13"/>
          </w:tcPr>
          <w:p>
            <w:pPr>
              <w:spacing w:after="0"/>
              <w:rPr>
                <w:sz w:val="20"/>
                <w:szCs w:val="20"/>
                <w:color w:val="auto"/>
              </w:rPr>
            </w:pPr>
            <w:r>
              <w:rPr>
                <w:rFonts w:ascii="Arial" w:cs="Arial" w:eastAsia="Arial" w:hAnsi="Arial"/>
                <w:sz w:val="18"/>
                <w:szCs w:val="18"/>
                <w:color w:val="0000FF"/>
              </w:rPr>
              <w:t>Condensed Financial Statements (Unaudited)</w:t>
            </w:r>
          </w:p>
        </w:tc>
        <w:tc>
          <w:tcPr>
            <w:tcW w:w="3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20" w:type="dxa"/>
            <w:vAlign w:val="bottom"/>
            <w:gridSpan w:val="13"/>
          </w:tcPr>
          <w:p>
            <w:pPr>
              <w:spacing w:after="0"/>
              <w:rPr>
                <w:sz w:val="20"/>
                <w:szCs w:val="20"/>
                <w:color w:val="auto"/>
              </w:rPr>
            </w:pPr>
            <w:r>
              <w:rPr>
                <w:rFonts w:ascii="Arial" w:cs="Arial" w:eastAsia="Arial" w:hAnsi="Arial"/>
                <w:sz w:val="18"/>
                <w:szCs w:val="18"/>
                <w:color w:val="0000FF"/>
              </w:rPr>
              <w:t>Condensed Balance Sheets</w:t>
            </w:r>
          </w:p>
        </w:tc>
        <w:tc>
          <w:tcPr>
            <w:tcW w:w="3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20" w:type="dxa"/>
            <w:vAlign w:val="bottom"/>
            <w:gridSpan w:val="13"/>
          </w:tcPr>
          <w:p>
            <w:pPr>
              <w:spacing w:after="0"/>
              <w:rPr>
                <w:sz w:val="20"/>
                <w:szCs w:val="20"/>
                <w:color w:val="auto"/>
              </w:rPr>
            </w:pPr>
            <w:r>
              <w:rPr>
                <w:rFonts w:ascii="Arial" w:cs="Arial" w:eastAsia="Arial" w:hAnsi="Arial"/>
                <w:sz w:val="18"/>
                <w:szCs w:val="18"/>
                <w:color w:val="0000FF"/>
              </w:rPr>
              <w:t>Condensed Statements of Operations and Comprehensive Loss</w:t>
            </w:r>
          </w:p>
        </w:tc>
        <w:tc>
          <w:tcPr>
            <w:tcW w:w="3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20" w:type="dxa"/>
            <w:vAlign w:val="bottom"/>
            <w:gridSpan w:val="13"/>
          </w:tcPr>
          <w:p>
            <w:pPr>
              <w:spacing w:after="0"/>
              <w:rPr>
                <w:sz w:val="20"/>
                <w:szCs w:val="20"/>
                <w:color w:val="auto"/>
              </w:rPr>
            </w:pPr>
            <w:r>
              <w:rPr>
                <w:rFonts w:ascii="Arial" w:cs="Arial" w:eastAsia="Arial" w:hAnsi="Arial"/>
                <w:sz w:val="18"/>
                <w:szCs w:val="18"/>
                <w:color w:val="0000FF"/>
              </w:rPr>
              <w:t>Condensed Statements of Stockholders’ Equity (Deficit)</w:t>
            </w:r>
          </w:p>
        </w:tc>
        <w:tc>
          <w:tcPr>
            <w:tcW w:w="3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20" w:type="dxa"/>
            <w:vAlign w:val="bottom"/>
            <w:gridSpan w:val="13"/>
          </w:tcPr>
          <w:p>
            <w:pPr>
              <w:spacing w:after="0"/>
              <w:rPr>
                <w:sz w:val="20"/>
                <w:szCs w:val="20"/>
                <w:color w:val="auto"/>
              </w:rPr>
            </w:pPr>
            <w:r>
              <w:rPr>
                <w:rFonts w:ascii="Arial" w:cs="Arial" w:eastAsia="Arial" w:hAnsi="Arial"/>
                <w:sz w:val="18"/>
                <w:szCs w:val="18"/>
                <w:color w:val="0000FF"/>
              </w:rPr>
              <w:t>Condensed Statements of Cash Flows</w:t>
            </w:r>
          </w:p>
        </w:tc>
        <w:tc>
          <w:tcPr>
            <w:tcW w:w="37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20" w:type="dxa"/>
            <w:vAlign w:val="bottom"/>
            <w:gridSpan w:val="13"/>
          </w:tcPr>
          <w:p>
            <w:pPr>
              <w:spacing w:after="0"/>
              <w:rPr>
                <w:sz w:val="20"/>
                <w:szCs w:val="20"/>
                <w:color w:val="auto"/>
              </w:rPr>
            </w:pPr>
            <w:r>
              <w:rPr>
                <w:rFonts w:ascii="Arial" w:cs="Arial" w:eastAsia="Arial" w:hAnsi="Arial"/>
                <w:sz w:val="18"/>
                <w:szCs w:val="18"/>
                <w:color w:val="0000FF"/>
              </w:rPr>
              <w:t>Notes to Condensed Financial Statements (Unaudited)</w:t>
            </w:r>
          </w:p>
        </w:tc>
        <w:tc>
          <w:tcPr>
            <w:tcW w:w="37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23"/>
        </w:trPr>
        <w:tc>
          <w:tcPr>
            <w:tcW w:w="110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6420" w:type="dxa"/>
            <w:vAlign w:val="bottom"/>
            <w:gridSpan w:val="13"/>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7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23"/>
        </w:trPr>
        <w:tc>
          <w:tcPr>
            <w:tcW w:w="110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6420" w:type="dxa"/>
            <w:vAlign w:val="bottom"/>
            <w:gridSpan w:val="13"/>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37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00" w:type="dxa"/>
            <w:vAlign w:val="bottom"/>
            <w:tcBorders>
              <w:left w:val="single" w:sz="8" w:color="0000FF"/>
            </w:tcBorders>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23"/>
        </w:trPr>
        <w:tc>
          <w:tcPr>
            <w:tcW w:w="110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6420" w:type="dxa"/>
            <w:vAlign w:val="bottom"/>
            <w:gridSpan w:val="13"/>
          </w:tcPr>
          <w:p>
            <w:pPr>
              <w:spacing w:after="0"/>
              <w:rPr>
                <w:sz w:val="20"/>
                <w:szCs w:val="20"/>
                <w:color w:val="auto"/>
              </w:rPr>
            </w:pPr>
            <w:r>
              <w:rPr>
                <w:rFonts w:ascii="Arial" w:cs="Arial" w:eastAsia="Arial" w:hAnsi="Arial"/>
                <w:sz w:val="18"/>
                <w:szCs w:val="18"/>
                <w:color w:val="0000FF"/>
              </w:rPr>
              <w:t>Controls and Procedures</w:t>
            </w:r>
          </w:p>
        </w:tc>
        <w:tc>
          <w:tcPr>
            <w:tcW w:w="37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2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rPr>
              <w:t>PART II – OTHER INFORMATION</w:t>
            </w:r>
          </w:p>
        </w:tc>
        <w:tc>
          <w:tcPr>
            <w:tcW w:w="3720" w:type="dxa"/>
            <w:vAlign w:val="bottom"/>
          </w:tcPr>
          <w:p>
            <w:pPr>
              <w:spacing w:after="0"/>
              <w:rPr>
                <w:sz w:val="24"/>
                <w:szCs w:val="24"/>
                <w:color w:val="auto"/>
              </w:rPr>
            </w:pPr>
          </w:p>
        </w:tc>
      </w:tr>
      <w:tr>
        <w:trPr>
          <w:trHeight w:val="351"/>
        </w:trPr>
        <w:tc>
          <w:tcPr>
            <w:tcW w:w="110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6420" w:type="dxa"/>
            <w:vAlign w:val="bottom"/>
            <w:gridSpan w:val="13"/>
          </w:tcPr>
          <w:p>
            <w:pPr>
              <w:spacing w:after="0"/>
              <w:rPr>
                <w:sz w:val="20"/>
                <w:szCs w:val="20"/>
                <w:color w:val="auto"/>
              </w:rPr>
            </w:pPr>
            <w:r>
              <w:rPr>
                <w:rFonts w:ascii="Arial" w:cs="Arial" w:eastAsia="Arial" w:hAnsi="Arial"/>
                <w:sz w:val="18"/>
                <w:szCs w:val="18"/>
                <w:color w:val="0000FF"/>
              </w:rPr>
              <w:t>Legal Proceedings</w:t>
            </w:r>
          </w:p>
        </w:tc>
        <w:tc>
          <w:tcPr>
            <w:tcW w:w="3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23"/>
        </w:trPr>
        <w:tc>
          <w:tcPr>
            <w:tcW w:w="110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6420" w:type="dxa"/>
            <w:vAlign w:val="bottom"/>
            <w:gridSpan w:val="13"/>
          </w:tcPr>
          <w:p>
            <w:pPr>
              <w:spacing w:after="0"/>
              <w:rPr>
                <w:sz w:val="20"/>
                <w:szCs w:val="20"/>
                <w:color w:val="auto"/>
              </w:rPr>
            </w:pPr>
            <w:r>
              <w:rPr>
                <w:rFonts w:ascii="Arial" w:cs="Arial" w:eastAsia="Arial" w:hAnsi="Arial"/>
                <w:sz w:val="18"/>
                <w:szCs w:val="18"/>
                <w:color w:val="0000FF"/>
              </w:rPr>
              <w:t>Risk Factors</w:t>
            </w:r>
          </w:p>
        </w:tc>
        <w:tc>
          <w:tcPr>
            <w:tcW w:w="3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23"/>
        </w:trPr>
        <w:tc>
          <w:tcPr>
            <w:tcW w:w="110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6420" w:type="dxa"/>
            <w:vAlign w:val="bottom"/>
            <w:gridSpan w:val="13"/>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37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23"/>
        </w:trPr>
        <w:tc>
          <w:tcPr>
            <w:tcW w:w="110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6420" w:type="dxa"/>
            <w:vAlign w:val="bottom"/>
            <w:gridSpan w:val="13"/>
          </w:tcPr>
          <w:p>
            <w:pPr>
              <w:spacing w:after="0"/>
              <w:rPr>
                <w:sz w:val="20"/>
                <w:szCs w:val="20"/>
                <w:color w:val="auto"/>
              </w:rPr>
            </w:pPr>
            <w:r>
              <w:rPr>
                <w:rFonts w:ascii="Arial" w:cs="Arial" w:eastAsia="Arial" w:hAnsi="Arial"/>
                <w:sz w:val="18"/>
                <w:szCs w:val="18"/>
                <w:color w:val="0000FF"/>
              </w:rPr>
              <w:t>Defaults Upon Senior Securities</w:t>
            </w:r>
          </w:p>
        </w:tc>
        <w:tc>
          <w:tcPr>
            <w:tcW w:w="37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4120" w:type="dxa"/>
            <w:vAlign w:val="bottom"/>
            <w:gridSpan w:val="7"/>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23"/>
        </w:trPr>
        <w:tc>
          <w:tcPr>
            <w:tcW w:w="110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6420" w:type="dxa"/>
            <w:vAlign w:val="bottom"/>
            <w:gridSpan w:val="13"/>
          </w:tcPr>
          <w:p>
            <w:pPr>
              <w:spacing w:after="0"/>
              <w:rPr>
                <w:sz w:val="20"/>
                <w:szCs w:val="20"/>
                <w:color w:val="auto"/>
              </w:rPr>
            </w:pPr>
            <w:r>
              <w:rPr>
                <w:rFonts w:ascii="Arial" w:cs="Arial" w:eastAsia="Arial" w:hAnsi="Arial"/>
                <w:sz w:val="18"/>
                <w:szCs w:val="18"/>
                <w:color w:val="0000FF"/>
              </w:rPr>
              <w:t>Mine Safety Disclosures</w:t>
            </w:r>
          </w:p>
        </w:tc>
        <w:tc>
          <w:tcPr>
            <w:tcW w:w="37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680" w:type="dxa"/>
            <w:vAlign w:val="bottom"/>
            <w:gridSpan w:val="9"/>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23"/>
        </w:trPr>
        <w:tc>
          <w:tcPr>
            <w:tcW w:w="110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6420" w:type="dxa"/>
            <w:vAlign w:val="bottom"/>
            <w:gridSpan w:val="13"/>
          </w:tcPr>
          <w:p>
            <w:pPr>
              <w:spacing w:after="0"/>
              <w:rPr>
                <w:sz w:val="20"/>
                <w:szCs w:val="20"/>
                <w:color w:val="auto"/>
              </w:rPr>
            </w:pPr>
            <w:r>
              <w:rPr>
                <w:rFonts w:ascii="Arial" w:cs="Arial" w:eastAsia="Arial" w:hAnsi="Arial"/>
                <w:sz w:val="18"/>
                <w:szCs w:val="18"/>
                <w:color w:val="0000FF"/>
              </w:rPr>
              <w:t>Other Information</w:t>
            </w:r>
          </w:p>
        </w:tc>
        <w:tc>
          <w:tcPr>
            <w:tcW w:w="37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140" w:type="dxa"/>
            <w:vAlign w:val="bottom"/>
            <w:gridSpan w:val="1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23"/>
        </w:trPr>
        <w:tc>
          <w:tcPr>
            <w:tcW w:w="110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6420" w:type="dxa"/>
            <w:vAlign w:val="bottom"/>
            <w:gridSpan w:val="13"/>
          </w:tcPr>
          <w:p>
            <w:pPr>
              <w:spacing w:after="0"/>
              <w:rPr>
                <w:sz w:val="20"/>
                <w:szCs w:val="20"/>
                <w:color w:val="auto"/>
              </w:rPr>
            </w:pPr>
            <w:r>
              <w:rPr>
                <w:rFonts w:ascii="Arial" w:cs="Arial" w:eastAsia="Arial" w:hAnsi="Arial"/>
                <w:sz w:val="18"/>
                <w:szCs w:val="18"/>
                <w:color w:val="0000FF"/>
              </w:rPr>
              <w:t>Exhibits</w:t>
            </w:r>
          </w:p>
        </w:tc>
        <w:tc>
          <w:tcPr>
            <w:tcW w:w="37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1100" w:type="dxa"/>
            <w:vAlign w:val="bottom"/>
            <w:gridSpan w:val="3"/>
          </w:tcPr>
          <w:p>
            <w:pPr>
              <w:ind w:left="20"/>
              <w:spacing w:after="0"/>
              <w:rPr>
                <w:sz w:val="20"/>
                <w:szCs w:val="20"/>
                <w:color w:val="auto"/>
              </w:rPr>
            </w:pPr>
            <w:r>
              <w:rPr>
                <w:rFonts w:ascii="Arial" w:cs="Arial" w:eastAsia="Arial" w:hAnsi="Arial"/>
                <w:sz w:val="18"/>
                <w:szCs w:val="18"/>
                <w:color w:val="0000FF"/>
              </w:rPr>
              <w:t>Signatures</w:t>
            </w:r>
          </w:p>
        </w:tc>
        <w:tc>
          <w:tcPr>
            <w:tcW w:w="580" w:type="dxa"/>
            <w:vAlign w:val="bottom"/>
            <w:tcBorders>
              <w:top w:val="single" w:sz="8" w:color="0000FF"/>
            </w:tcBorders>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7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682"/>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6420" w:type="dxa"/>
            <w:vAlign w:val="bottom"/>
            <w:gridSpan w:val="13"/>
          </w:tcPr>
          <w:p>
            <w:pPr>
              <w:jc w:val="center"/>
              <w:ind w:left="2530"/>
              <w:spacing w:after="0"/>
              <w:rPr>
                <w:sz w:val="20"/>
                <w:szCs w:val="20"/>
                <w:color w:val="auto"/>
              </w:rPr>
            </w:pPr>
            <w:r>
              <w:rPr>
                <w:rFonts w:ascii="Arial" w:cs="Arial" w:eastAsia="Arial" w:hAnsi="Arial"/>
                <w:sz w:val="18"/>
                <w:szCs w:val="18"/>
                <w:color w:val="auto"/>
                <w:w w:val="79"/>
              </w:rPr>
              <w:t>2</w:t>
            </w:r>
          </w:p>
        </w:tc>
        <w:tc>
          <w:tcPr>
            <w:tcW w:w="37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Quarterly Report on Form 10-Q contains certain forward-looking statements that involve risks and uncertainties.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8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 number of important factors could cause our actual results to differ materially from those indicated in these forward-looking statements, including those factors identified in “Risk Factors” or “Management’s Discussion and Analysis of Financial Condition and Results of Operations” or the following:</w:t>
      </w:r>
    </w:p>
    <w:p>
      <w:pPr>
        <w:spacing w:after="0" w:line="29" w:lineRule="exact"/>
        <w:rPr>
          <w:sz w:val="20"/>
          <w:szCs w:val="20"/>
          <w:color w:val="auto"/>
        </w:rPr>
      </w:pPr>
    </w:p>
    <w:p>
      <w:pPr>
        <w:ind w:left="1020" w:right="44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benefits, activity, effectiveness and safety of our product candidates and therapeutics developed utilizing our Probody® platform technology;</w:t>
      </w:r>
    </w:p>
    <w:p>
      <w:pPr>
        <w:spacing w:after="0" w:line="75" w:lineRule="exact"/>
        <w:rPr>
          <w:rFonts w:ascii="Arial" w:cs="Arial" w:eastAsia="Arial" w:hAnsi="Arial"/>
          <w:sz w:val="18"/>
          <w:szCs w:val="18"/>
          <w:color w:val="auto"/>
        </w:rPr>
      </w:pPr>
    </w:p>
    <w:p>
      <w:pPr>
        <w:ind w:left="1020" w:right="18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ongoing clinical trials, research and development programs, preclinical studies, and Investigational New Drug Application (“IND”), Clinical Trial Application, New Drug Application (“NDA”), Biologics License Application (“BLA”); and other regulatory submissions;</w:t>
      </w:r>
    </w:p>
    <w:p>
      <w:pPr>
        <w:spacing w:after="0" w:line="89"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completion of our ongoing clinical trials and the timing and availability of clinical data from such clinical trials;</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w:t>
      </w:r>
    </w:p>
    <w:p>
      <w:pPr>
        <w:spacing w:after="0" w:line="130" w:lineRule="exact"/>
        <w:rPr>
          <w:rFonts w:ascii="Arial" w:cs="Arial" w:eastAsia="Arial" w:hAnsi="Arial"/>
          <w:sz w:val="18"/>
          <w:szCs w:val="18"/>
          <w:color w:val="auto"/>
        </w:rPr>
      </w:pPr>
    </w:p>
    <w:p>
      <w:pPr>
        <w:ind w:left="1020" w:right="88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collaborators for developing, obtaining regulatory approval for and commercializing product candidates in the collaboration;</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or a collaborator’s ability to obtain and maintain regulatory approval of any of our product candidates;</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receipt and timing of any milestone payments or royalties under any research collaboration and license agreements or arrangements;</w:t>
      </w:r>
    </w:p>
    <w:p>
      <w:pPr>
        <w:spacing w:after="0" w:line="153"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and beliefs regarding the evolution of the market for cancer therapies and development of the immuno-oncology industry;</w:t>
      </w:r>
    </w:p>
    <w:p>
      <w:pPr>
        <w:spacing w:after="0" w:line="153"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any approved product candidates;</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any approved product candidates;</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collaborations and retain commercial rights for our product candidates in such collaborations;</w:t>
      </w:r>
    </w:p>
    <w:p>
      <w:pPr>
        <w:spacing w:after="0" w:line="142"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technologies and product candidates;</w:t>
      </w:r>
    </w:p>
    <w:p>
      <w:pPr>
        <w:spacing w:after="0" w:line="130"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expenses, ongoing losses, future revenue and capital requirements, including our estimate of cash flow savings as a result of our restructuring plan announced in July 2022;</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funds for our operations;</w:t>
      </w:r>
    </w:p>
    <w:p>
      <w:pPr>
        <w:spacing w:after="0" w:line="130"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or any collaborator’s ability to obtain and maintain intellectual property protection for our technologies and product candidates and our ability to operate our business without infringing the intellectual property rights of others;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conduct our preclinical studies or any future clinical trials;</w:t>
      </w:r>
    </w:p>
    <w:p>
      <w:pPr>
        <w:spacing w:after="0" w:line="130"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supply and manufacturing partners to supply the materials and components for, and manufacture, our research and development, preclinical and clinical trial product supplies;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key management and technical personnel;</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secure and maintain licenses of intellectual property to protect our technologies and product candidates;</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 w:name="page4"/>
    <w:bookmarkEnd w:id="3"/>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our industry, international conflict or uncertainties; and</w:t>
      </w:r>
    </w:p>
    <w:p>
      <w:pPr>
        <w:spacing w:after="0" w:line="225" w:lineRule="exact"/>
        <w:rPr>
          <w:rFonts w:ascii="Arial" w:cs="Arial" w:eastAsia="Arial" w:hAnsi="Arial"/>
          <w:sz w:val="18"/>
          <w:szCs w:val="18"/>
          <w:color w:val="auto"/>
        </w:rPr>
      </w:pPr>
    </w:p>
    <w:p>
      <w:pPr>
        <w:ind w:left="1020" w:right="220" w:hanging="503"/>
        <w:spacing w:after="0" w:line="342"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extent to which COVID-19 or any future pandemic and related governmental regulations and restrictions may impact our business, including our research, clinical trials, which include ongoing site initiation and patient enrollment, manufacturing and financial condition;</w:t>
      </w:r>
    </w:p>
    <w:p>
      <w:pPr>
        <w:spacing w:after="0" w:line="12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discussed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9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Quarterly Report on Form 10-Q also contains estimates, projections and other information concerning our industry, our business and the markets for certain drugs and therapeutic biologics,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p>
    <w:p>
      <w:pPr>
        <w:spacing w:after="0" w:line="1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where the context otherwise requires, in this Quarterly Report on Form 10-Q, “we,” “us,” “our” and the “Company” refer to CytomX Therapeutics, Inc.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Quarterly Report on Form 10-Q includes trademarks, service marks and trade names owned by us or other companies. All trademarks, service marks and trade names included in this Quarterly Report on Form 10-Q are the property of their respective owners.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9" w:right="419" w:bottom="1440" w:gutter="0" w:footer="0" w:header="0"/>
        </w:sectPr>
      </w:pPr>
    </w:p>
    <w:bookmarkStart w:id="4" w:name="page5"/>
    <w:bookmarkEnd w:id="4"/>
    <w:p>
      <w:pPr>
        <w:ind w:left="40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 (Unaudited)</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5"/>
                <w:szCs w:val="15"/>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6"/>
              </w:rPr>
              <w:t>2023</w:t>
            </w: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169"/>
        </w:trPr>
        <w:tc>
          <w:tcPr>
            <w:tcW w:w="7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ind w:right="152"/>
              <w:spacing w:after="0"/>
              <w:rPr>
                <w:sz w:val="20"/>
                <w:szCs w:val="20"/>
                <w:color w:val="auto"/>
              </w:rPr>
            </w:pPr>
            <w:r>
              <w:rPr>
                <w:rFonts w:ascii="Arial" w:cs="Arial" w:eastAsia="Arial" w:hAnsi="Arial"/>
                <w:sz w:val="14"/>
                <w:szCs w:val="14"/>
                <w:b w:val="1"/>
                <w:bCs w:val="1"/>
                <w:color w:val="auto"/>
                <w:w w:val="95"/>
              </w:rPr>
              <w:t>(Unaudited)</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552"/>
              <w:spacing w:after="0"/>
              <w:rPr>
                <w:sz w:val="20"/>
                <w:szCs w:val="20"/>
                <w:color w:val="auto"/>
              </w:rPr>
            </w:pPr>
            <w:r>
              <w:rPr>
                <w:rFonts w:ascii="Arial" w:cs="Arial" w:eastAsia="Arial" w:hAnsi="Arial"/>
                <w:sz w:val="14"/>
                <w:szCs w:val="14"/>
                <w:b w:val="1"/>
                <w:bCs w:val="1"/>
                <w:color w:val="auto"/>
              </w:rPr>
              <w:t>(1)</w:t>
            </w:r>
          </w:p>
        </w:tc>
        <w:tc>
          <w:tcPr>
            <w:tcW w:w="140" w:type="dxa"/>
            <w:vAlign w:val="bottom"/>
          </w:tcPr>
          <w:p>
            <w:pPr>
              <w:spacing w:after="0"/>
              <w:rPr>
                <w:sz w:val="14"/>
                <w:szCs w:val="14"/>
                <w:color w:val="auto"/>
              </w:rPr>
            </w:pPr>
          </w:p>
        </w:tc>
      </w:tr>
      <w:tr>
        <w:trPr>
          <w:trHeight w:val="243"/>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57,536</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193,650</w:t>
            </w:r>
          </w:p>
        </w:tc>
        <w:tc>
          <w:tcPr>
            <w:tcW w:w="140" w:type="dxa"/>
            <w:vAlign w:val="bottom"/>
            <w:shd w:val="clear" w:color="auto" w:fill="CFF0FC"/>
          </w:tcPr>
          <w:p>
            <w:pPr>
              <w:spacing w:after="0"/>
              <w:rPr>
                <w:sz w:val="21"/>
                <w:szCs w:val="21"/>
                <w:color w:val="auto"/>
              </w:rPr>
            </w:pPr>
          </w:p>
        </w:tc>
      </w:tr>
      <w:tr>
        <w:trPr>
          <w:trHeight w:val="237"/>
        </w:trPr>
        <w:tc>
          <w:tcPr>
            <w:tcW w:w="790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123,322</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9"/>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1,903</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35,986</w:t>
            </w:r>
          </w:p>
        </w:tc>
        <w:tc>
          <w:tcPr>
            <w:tcW w:w="140" w:type="dxa"/>
            <w:vAlign w:val="bottom"/>
            <w:shd w:val="clear" w:color="auto" w:fill="CFF0FC"/>
          </w:tcPr>
          <w:p>
            <w:pPr>
              <w:spacing w:after="0"/>
              <w:rPr>
                <w:sz w:val="21"/>
                <w:szCs w:val="21"/>
                <w:color w:val="auto"/>
              </w:rPr>
            </w:pPr>
          </w:p>
        </w:tc>
      </w:tr>
      <w:tr>
        <w:trPr>
          <w:trHeight w:val="237"/>
        </w:trPr>
        <w:tc>
          <w:tcPr>
            <w:tcW w:w="79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5,040</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7,466</w:t>
            </w:r>
          </w:p>
        </w:tc>
        <w:tc>
          <w:tcPr>
            <w:tcW w:w="140" w:type="dxa"/>
            <w:vAlign w:val="bottom"/>
          </w:tcPr>
          <w:p>
            <w:pPr>
              <w:spacing w:after="0"/>
              <w:rPr>
                <w:sz w:val="20"/>
                <w:szCs w:val="20"/>
                <w:color w:val="auto"/>
              </w:rPr>
            </w:pPr>
          </w:p>
        </w:tc>
      </w:tr>
      <w:tr>
        <w:trPr>
          <w:trHeight w:val="243"/>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187,801</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237,102</w:t>
            </w:r>
          </w:p>
        </w:tc>
        <w:tc>
          <w:tcPr>
            <w:tcW w:w="140" w:type="dxa"/>
            <w:vAlign w:val="bottom"/>
            <w:shd w:val="clear" w:color="auto" w:fill="CFF0FC"/>
          </w:tcPr>
          <w:p>
            <w:pPr>
              <w:spacing w:after="0"/>
              <w:rPr>
                <w:sz w:val="21"/>
                <w:szCs w:val="21"/>
                <w:color w:val="auto"/>
              </w:rPr>
            </w:pP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4,499</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5,072</w:t>
            </w:r>
          </w:p>
        </w:tc>
        <w:tc>
          <w:tcPr>
            <w:tcW w:w="140" w:type="dxa"/>
            <w:vAlign w:val="bottom"/>
          </w:tcPr>
          <w:p>
            <w:pPr>
              <w:spacing w:after="0"/>
              <w:rPr>
                <w:sz w:val="20"/>
                <w:szCs w:val="20"/>
                <w:color w:val="auto"/>
              </w:rPr>
            </w:pPr>
          </w:p>
        </w:tc>
      </w:tr>
      <w:tr>
        <w:trPr>
          <w:trHeight w:val="249"/>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140" w:type="dxa"/>
            <w:vAlign w:val="bottom"/>
            <w:shd w:val="clear" w:color="auto" w:fill="CFF0FC"/>
          </w:tcPr>
          <w:p>
            <w:pPr>
              <w:spacing w:after="0"/>
              <w:rPr>
                <w:sz w:val="21"/>
                <w:szCs w:val="21"/>
                <w:color w:val="auto"/>
              </w:rPr>
            </w:pP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949</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949</w:t>
            </w:r>
          </w:p>
        </w:tc>
        <w:tc>
          <w:tcPr>
            <w:tcW w:w="140" w:type="dxa"/>
            <w:vAlign w:val="bottom"/>
          </w:tcPr>
          <w:p>
            <w:pPr>
              <w:spacing w:after="0"/>
              <w:rPr>
                <w:sz w:val="20"/>
                <w:szCs w:val="20"/>
                <w:color w:val="auto"/>
              </w:rPr>
            </w:pPr>
          </w:p>
        </w:tc>
      </w:tr>
      <w:tr>
        <w:trPr>
          <w:trHeight w:val="249"/>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40" w:type="dxa"/>
            <w:vAlign w:val="bottom"/>
            <w:shd w:val="clear" w:color="auto" w:fill="CFF0FC"/>
          </w:tcPr>
          <w:p>
            <w:pPr>
              <w:spacing w:after="0"/>
              <w:rPr>
                <w:sz w:val="21"/>
                <w:szCs w:val="21"/>
                <w:color w:val="auto"/>
              </w:rPr>
            </w:pP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Operating lease right-of-use asset</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14,126</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15,949</w:t>
            </w:r>
          </w:p>
        </w:tc>
        <w:tc>
          <w:tcPr>
            <w:tcW w:w="140" w:type="dxa"/>
            <w:vAlign w:val="bottom"/>
          </w:tcPr>
          <w:p>
            <w:pPr>
              <w:spacing w:after="0"/>
              <w:rPr>
                <w:sz w:val="20"/>
                <w:szCs w:val="20"/>
                <w:color w:val="auto"/>
              </w:rPr>
            </w:pPr>
          </w:p>
        </w:tc>
      </w:tr>
      <w:tr>
        <w:trPr>
          <w:trHeight w:val="243"/>
        </w:trPr>
        <w:tc>
          <w:tcPr>
            <w:tcW w:w="7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3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9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209,185</w:t>
            </w:r>
          </w:p>
        </w:tc>
        <w:tc>
          <w:tcPr>
            <w:tcW w:w="3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260,891</w:t>
            </w:r>
          </w:p>
        </w:tc>
        <w:tc>
          <w:tcPr>
            <w:tcW w:w="140" w:type="dxa"/>
            <w:vAlign w:val="bottom"/>
          </w:tcPr>
          <w:p>
            <w:pPr>
              <w:spacing w:after="0"/>
              <w:rPr>
                <w:sz w:val="20"/>
                <w:szCs w:val="20"/>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 (Deficit)</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2,809</w:t>
            </w:r>
          </w:p>
        </w:tc>
        <w:tc>
          <w:tcPr>
            <w:tcW w:w="140" w:type="dxa"/>
            <w:vAlign w:val="bottom"/>
            <w:shd w:val="clear" w:color="auto" w:fill="CFF0FC"/>
          </w:tcPr>
          <w:p>
            <w:pPr>
              <w:spacing w:after="0"/>
              <w:rPr>
                <w:sz w:val="21"/>
                <w:szCs w:val="21"/>
                <w:color w:val="auto"/>
              </w:rPr>
            </w:pPr>
          </w:p>
        </w:tc>
      </w:tr>
      <w:tr>
        <w:trPr>
          <w:trHeight w:val="237"/>
        </w:trPr>
        <w:tc>
          <w:tcPr>
            <w:tcW w:w="790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20,068</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28,532</w:t>
            </w:r>
          </w:p>
        </w:tc>
        <w:tc>
          <w:tcPr>
            <w:tcW w:w="140" w:type="dxa"/>
            <w:vAlign w:val="bottom"/>
          </w:tcPr>
          <w:p>
            <w:pPr>
              <w:spacing w:after="0"/>
              <w:rPr>
                <w:sz w:val="20"/>
                <w:szCs w:val="20"/>
                <w:color w:val="auto"/>
              </w:rPr>
            </w:pPr>
          </w:p>
        </w:tc>
      </w:tr>
      <w:tr>
        <w:trPr>
          <w:trHeight w:val="243"/>
        </w:trPr>
        <w:tc>
          <w:tcPr>
            <w:tcW w:w="79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Deferred revenue, current portion</w:t>
            </w:r>
          </w:p>
        </w:tc>
        <w:tc>
          <w:tcPr>
            <w:tcW w:w="2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120,280</w:t>
            </w:r>
          </w:p>
        </w:tc>
        <w:tc>
          <w:tcPr>
            <w:tcW w:w="3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121,267</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141,377</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152,608</w:t>
            </w:r>
          </w:p>
        </w:tc>
        <w:tc>
          <w:tcPr>
            <w:tcW w:w="140" w:type="dxa"/>
            <w:vAlign w:val="bottom"/>
          </w:tcPr>
          <w:p>
            <w:pPr>
              <w:spacing w:after="0"/>
              <w:rPr>
                <w:sz w:val="20"/>
                <w:szCs w:val="20"/>
                <w:color w:val="auto"/>
              </w:rPr>
            </w:pPr>
          </w:p>
        </w:tc>
      </w:tr>
      <w:tr>
        <w:trPr>
          <w:trHeight w:val="249"/>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140,873</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180,059</w:t>
            </w:r>
          </w:p>
        </w:tc>
        <w:tc>
          <w:tcPr>
            <w:tcW w:w="140" w:type="dxa"/>
            <w:vAlign w:val="bottom"/>
            <w:shd w:val="clear" w:color="auto" w:fill="CFF0FC"/>
          </w:tcPr>
          <w:p>
            <w:pPr>
              <w:spacing w:after="0"/>
              <w:rPr>
                <w:sz w:val="21"/>
                <w:szCs w:val="21"/>
                <w:color w:val="auto"/>
              </w:rPr>
            </w:pP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Operating lease liabilities - long term</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11,746</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13,975</w:t>
            </w:r>
          </w:p>
        </w:tc>
        <w:tc>
          <w:tcPr>
            <w:tcW w:w="140" w:type="dxa"/>
            <w:vAlign w:val="bottom"/>
          </w:tcPr>
          <w:p>
            <w:pPr>
              <w:spacing w:after="0"/>
              <w:rPr>
                <w:sz w:val="20"/>
                <w:szCs w:val="20"/>
                <w:color w:val="auto"/>
              </w:rPr>
            </w:pPr>
          </w:p>
        </w:tc>
      </w:tr>
      <w:tr>
        <w:trPr>
          <w:trHeight w:val="243"/>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long term liabilities</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36"/>
        </w:trPr>
        <w:tc>
          <w:tcPr>
            <w:tcW w:w="79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294,212</w:t>
            </w:r>
          </w:p>
        </w:tc>
        <w:tc>
          <w:tcPr>
            <w:tcW w:w="32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346,642</w:t>
            </w:r>
          </w:p>
        </w:tc>
        <w:tc>
          <w:tcPr>
            <w:tcW w:w="140" w:type="dxa"/>
            <w:vAlign w:val="bottom"/>
            <w:tcBorders>
              <w:top w:val="single" w:sz="8" w:color="CFF0FC"/>
            </w:tcBorders>
          </w:tcPr>
          <w:p>
            <w:pPr>
              <w:spacing w:after="0"/>
              <w:rPr>
                <w:sz w:val="20"/>
                <w:szCs w:val="20"/>
                <w:color w:val="auto"/>
              </w:rPr>
            </w:pPr>
          </w:p>
        </w:tc>
      </w:tr>
      <w:tr>
        <w:trPr>
          <w:trHeight w:val="249"/>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8)</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Convertible preferred stock</w:t>
            </w:r>
          </w:p>
        </w:tc>
        <w:tc>
          <w:tcPr>
            <w:tcW w:w="2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79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r>
      <w:tr>
        <w:trPr>
          <w:trHeight w:val="249"/>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642,214</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637,117</w:t>
            </w:r>
          </w:p>
        </w:tc>
        <w:tc>
          <w:tcPr>
            <w:tcW w:w="140" w:type="dxa"/>
            <w:vAlign w:val="bottom"/>
            <w:shd w:val="clear" w:color="auto" w:fill="CFF0FC"/>
          </w:tcPr>
          <w:p>
            <w:pPr>
              <w:spacing w:after="0"/>
              <w:rPr>
                <w:sz w:val="21"/>
                <w:szCs w:val="21"/>
                <w:color w:val="auto"/>
              </w:rPr>
            </w:pPr>
          </w:p>
        </w:tc>
      </w:tr>
      <w:tr>
        <w:trPr>
          <w:trHeight w:val="237"/>
        </w:trPr>
        <w:tc>
          <w:tcPr>
            <w:tcW w:w="790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r>
      <w:tr>
        <w:trPr>
          <w:trHeight w:val="243"/>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(727,277 )</w:t>
            </w:r>
          </w:p>
        </w:tc>
        <w:tc>
          <w:tcPr>
            <w:tcW w:w="2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(722,879 )</w:t>
            </w:r>
          </w:p>
        </w:tc>
      </w:tr>
      <w:tr>
        <w:trPr>
          <w:trHeight w:val="20"/>
        </w:trPr>
        <w:tc>
          <w:tcPr>
            <w:tcW w:w="79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Total stockholders' deficit</w:t>
            </w:r>
          </w:p>
        </w:tc>
        <w:tc>
          <w:tcPr>
            <w:tcW w:w="220" w:type="dxa"/>
            <w:vAlign w:val="bottom"/>
          </w:tcPr>
          <w:p>
            <w:pPr>
              <w:spacing w:after="0"/>
              <w:rPr>
                <w:sz w:val="20"/>
                <w:szCs w:val="20"/>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(85,027 )</w:t>
            </w:r>
          </w:p>
        </w:tc>
        <w:tc>
          <w:tcPr>
            <w:tcW w:w="20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(85,751 )</w:t>
            </w:r>
          </w:p>
        </w:tc>
      </w:tr>
      <w:tr>
        <w:trPr>
          <w:trHeight w:val="276"/>
        </w:trPr>
        <w:tc>
          <w:tcPr>
            <w:tcW w:w="7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stockholders' equity (deficit)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209,185</w:t>
            </w:r>
          </w:p>
        </w:tc>
        <w:tc>
          <w:tcPr>
            <w:tcW w:w="3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260,891</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17"/>
        </w:trPr>
        <w:tc>
          <w:tcPr>
            <w:tcW w:w="7900" w:type="dxa"/>
            <w:vAlign w:val="bottom"/>
          </w:tcPr>
          <w:p>
            <w:pPr>
              <w:spacing w:after="0"/>
              <w:rPr>
                <w:sz w:val="20"/>
                <w:szCs w:val="20"/>
                <w:color w:val="auto"/>
              </w:rPr>
            </w:pPr>
            <w:r>
              <w:rPr>
                <w:rFonts w:ascii="Arial" w:cs="Arial" w:eastAsia="Arial" w:hAnsi="Arial"/>
                <w:sz w:val="18"/>
                <w:szCs w:val="18"/>
                <w:color w:val="auto"/>
              </w:rPr>
              <w:t>__________________</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-3326130</wp:posOffset>
            </wp:positionV>
            <wp:extent cx="85725"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-3326130</wp:posOffset>
            </wp:positionV>
            <wp:extent cx="85725"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-2366010</wp:posOffset>
            </wp:positionV>
            <wp:extent cx="8572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-2366010</wp:posOffset>
            </wp:positionV>
            <wp:extent cx="8572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-1739900</wp:posOffset>
            </wp:positionV>
            <wp:extent cx="85725"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-1739900</wp:posOffset>
            </wp:positionV>
            <wp:extent cx="85725"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-497205</wp:posOffset>
            </wp:positionV>
            <wp:extent cx="8572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-497205</wp:posOffset>
            </wp:positionV>
            <wp:extent cx="8572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-171450</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-154305</wp:posOffset>
            </wp:positionV>
            <wp:extent cx="857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-171450</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-154305</wp:posOffset>
            </wp:positionV>
            <wp:extent cx="857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ind w:left="520" w:right="100" w:hanging="512"/>
        <w:spacing w:after="0" w:line="221" w:lineRule="auto"/>
        <w:tabs>
          <w:tab w:leader="none" w:pos="520" w:val="left"/>
        </w:tabs>
        <w:numPr>
          <w:ilvl w:val="0"/>
          <w:numId w:val="5"/>
        </w:numPr>
        <w:rPr>
          <w:rFonts w:ascii="Arial" w:cs="Arial" w:eastAsia="Arial" w:hAnsi="Arial"/>
          <w:sz w:val="24"/>
          <w:szCs w:val="24"/>
          <w:color w:val="auto"/>
          <w:vertAlign w:val="superscript"/>
        </w:rPr>
      </w:pPr>
      <w:r>
        <w:rPr>
          <w:rFonts w:ascii="Arial" w:cs="Arial" w:eastAsia="Arial" w:hAnsi="Arial"/>
          <w:sz w:val="18"/>
          <w:szCs w:val="18"/>
          <w:color w:val="auto"/>
        </w:rPr>
        <w:t>The condensed balance sheet as of December 31, 2022 was derived from the audited financial statements included in the Company's Annual Report on Form 10-K for the year ended December 31, 2022.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gridSpan w:val="5"/>
          </w:tcPr>
          <w:p>
            <w:pPr>
              <w:jc w:val="right"/>
              <w:ind w:right="81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2480" w:type="dxa"/>
            <w:vAlign w:val="bottom"/>
            <w:gridSpan w:val="5"/>
          </w:tcPr>
          <w:p>
            <w:pPr>
              <w:jc w:val="right"/>
              <w:ind w:right="761"/>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5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37"/>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24,724</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12,853</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48,223</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21,893</w:t>
            </w:r>
          </w:p>
        </w:tc>
        <w:tc>
          <w:tcPr>
            <w:tcW w:w="120" w:type="dxa"/>
            <w:vAlign w:val="bottom"/>
            <w:shd w:val="clear" w:color="auto" w:fill="CFF0FC"/>
          </w:tcPr>
          <w:p>
            <w:pPr>
              <w:spacing w:after="0"/>
              <w:rPr>
                <w:sz w:val="20"/>
                <w:szCs w:val="20"/>
                <w:color w:val="auto"/>
              </w:rPr>
            </w:pPr>
          </w:p>
        </w:tc>
      </w:tr>
      <w:tr>
        <w:trPr>
          <w:trHeight w:val="237"/>
        </w:trPr>
        <w:tc>
          <w:tcPr>
            <w:tcW w:w="55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9"/>
        </w:trPr>
        <w:tc>
          <w:tcPr>
            <w:tcW w:w="5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20,671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31,159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41,846</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61,718</w:t>
            </w:r>
          </w:p>
        </w:tc>
        <w:tc>
          <w:tcPr>
            <w:tcW w:w="120" w:type="dxa"/>
            <w:vAlign w:val="bottom"/>
            <w:shd w:val="clear" w:color="auto" w:fill="CFF0FC"/>
          </w:tcPr>
          <w:p>
            <w:pPr>
              <w:spacing w:after="0"/>
              <w:rPr>
                <w:sz w:val="21"/>
                <w:szCs w:val="21"/>
                <w:color w:val="auto"/>
              </w:rPr>
            </w:pPr>
          </w:p>
        </w:tc>
      </w:tr>
      <w:tr>
        <w:trPr>
          <w:trHeight w:val="237"/>
        </w:trPr>
        <w:tc>
          <w:tcPr>
            <w:tcW w:w="55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7,401</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11,748</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15,378</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22,291</w:t>
            </w:r>
          </w:p>
        </w:tc>
        <w:tc>
          <w:tcPr>
            <w:tcW w:w="120" w:type="dxa"/>
            <w:vAlign w:val="bottom"/>
          </w:tcPr>
          <w:p>
            <w:pPr>
              <w:spacing w:after="0"/>
              <w:rPr>
                <w:sz w:val="20"/>
                <w:szCs w:val="20"/>
                <w:color w:val="auto"/>
              </w:rPr>
            </w:pPr>
          </w:p>
        </w:tc>
      </w:tr>
      <w:tr>
        <w:trPr>
          <w:trHeight w:val="236"/>
        </w:trPr>
        <w:tc>
          <w:tcPr>
            <w:tcW w:w="55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28,072</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42,907</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57,224</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84,009</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7"/>
        </w:trPr>
        <w:tc>
          <w:tcPr>
            <w:tcW w:w="55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(3,348 )</w:t>
            </w:r>
          </w:p>
        </w:tc>
        <w:tc>
          <w:tcPr>
            <w:tcW w:w="220" w:type="dxa"/>
            <w:vAlign w:val="bottom"/>
          </w:tcPr>
          <w:p>
            <w:pPr>
              <w:spacing w:after="0"/>
              <w:rPr>
                <w:sz w:val="20"/>
                <w:szCs w:val="20"/>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(30,054 )</w:t>
            </w:r>
          </w:p>
        </w:tc>
        <w:tc>
          <w:tcPr>
            <w:tcW w:w="220" w:type="dxa"/>
            <w:vAlign w:val="bottom"/>
          </w:tcPr>
          <w:p>
            <w:pPr>
              <w:spacing w:after="0"/>
              <w:rPr>
                <w:sz w:val="20"/>
                <w:szCs w:val="20"/>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(9,001 )</w:t>
            </w:r>
          </w:p>
        </w:tc>
        <w:tc>
          <w:tcPr>
            <w:tcW w:w="2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(62,116 )</w:t>
            </w:r>
          </w:p>
        </w:tc>
      </w:tr>
      <w:tr>
        <w:trPr>
          <w:trHeight w:val="249"/>
        </w:trPr>
        <w:tc>
          <w:tcPr>
            <w:tcW w:w="5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4,635</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FF0FC"/>
          </w:tcPr>
          <w:p>
            <w:pPr>
              <w:spacing w:after="0"/>
              <w:rPr>
                <w:sz w:val="21"/>
                <w:szCs w:val="21"/>
                <w:color w:val="auto"/>
              </w:rPr>
            </w:pPr>
          </w:p>
        </w:tc>
      </w:tr>
      <w:tr>
        <w:trPr>
          <w:trHeight w:val="237"/>
        </w:trPr>
        <w:tc>
          <w:tcPr>
            <w:tcW w:w="558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(47 )</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(32 )</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0"/>
                <w:szCs w:val="20"/>
                <w:color w:val="auto"/>
              </w:rPr>
            </w:pPr>
          </w:p>
        </w:tc>
      </w:tr>
      <w:tr>
        <w:trPr>
          <w:trHeight w:val="277"/>
        </w:trPr>
        <w:tc>
          <w:tcPr>
            <w:tcW w:w="5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(29,496</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(4,398</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(61,477</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5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gain (loss) on short term investments, net of tax</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(243 )</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(920 )</w:t>
            </w:r>
          </w:p>
        </w:tc>
      </w:tr>
      <w:tr>
        <w:trPr>
          <w:trHeight w:val="20"/>
        </w:trPr>
        <w:tc>
          <w:tcPr>
            <w:tcW w:w="55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37"/>
        </w:trPr>
        <w:tc>
          <w:tcPr>
            <w:tcW w:w="558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(1,078 )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(29,739 )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(4,373 )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(62,397 )</w:t>
            </w:r>
          </w:p>
        </w:tc>
      </w:tr>
      <w:tr>
        <w:trPr>
          <w:trHeight w:val="20"/>
        </w:trPr>
        <w:tc>
          <w:tcPr>
            <w:tcW w:w="5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7"/>
        </w:trPr>
        <w:tc>
          <w:tcPr>
            <w:tcW w:w="5580" w:type="dxa"/>
            <w:vAlign w:val="bottom"/>
          </w:tcPr>
          <w:p>
            <w:pPr>
              <w:ind w:left="20"/>
              <w:spacing w:after="0"/>
              <w:rPr>
                <w:sz w:val="20"/>
                <w:szCs w:val="20"/>
                <w:color w:val="auto"/>
              </w:rPr>
            </w:pPr>
            <w:r>
              <w:rPr>
                <w:rFonts w:ascii="Arial" w:cs="Arial" w:eastAsia="Arial" w:hAnsi="Arial"/>
                <w:sz w:val="18"/>
                <w:szCs w:val="18"/>
                <w:color w:val="auto"/>
              </w:rPr>
              <w:t>Net loss per share:</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83"/>
        </w:trPr>
        <w:tc>
          <w:tcPr>
            <w:tcW w:w="5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 and diluted net loss per share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(0.02 )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(0.45 )</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(0.07 )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(0.94 )</w:t>
            </w:r>
          </w:p>
        </w:tc>
      </w:tr>
      <w:tr>
        <w:trPr>
          <w:trHeight w:val="223"/>
        </w:trPr>
        <w:tc>
          <w:tcPr>
            <w:tcW w:w="558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Shares used in computing basic and diluted net loss per share</w:t>
            </w: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66,536,202</w:t>
            </w:r>
          </w:p>
        </w:tc>
        <w:tc>
          <w:tcPr>
            <w:tcW w:w="28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65,542,762</w:t>
            </w:r>
          </w:p>
        </w:tc>
        <w:tc>
          <w:tcPr>
            <w:tcW w:w="28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66,393,391</w:t>
            </w:r>
          </w:p>
        </w:tc>
        <w:tc>
          <w:tcPr>
            <w:tcW w:w="300" w:type="dxa"/>
            <w:vAlign w:val="bottom"/>
            <w:tcBorders>
              <w:top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65,468,638</w:t>
            </w:r>
          </w:p>
        </w:tc>
        <w:tc>
          <w:tcPr>
            <w:tcW w:w="120" w:type="dxa"/>
            <w:vAlign w:val="bottom"/>
            <w:tcBorders>
              <w:top w:val="single" w:sz="8" w:color="CFF0FC"/>
            </w:tcBorders>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-1825625</wp:posOffset>
            </wp:positionV>
            <wp:extent cx="8572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5170170</wp:posOffset>
            </wp:positionH>
            <wp:positionV relativeFrom="paragraph">
              <wp:posOffset>-1825625</wp:posOffset>
            </wp:positionV>
            <wp:extent cx="8572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6070600</wp:posOffset>
            </wp:positionH>
            <wp:positionV relativeFrom="paragraph">
              <wp:posOffset>-1825625</wp:posOffset>
            </wp:positionV>
            <wp:extent cx="8572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6979285</wp:posOffset>
            </wp:positionH>
            <wp:positionV relativeFrom="paragraph">
              <wp:posOffset>-1825625</wp:posOffset>
            </wp:positionV>
            <wp:extent cx="85725"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-1191260</wp:posOffset>
            </wp:positionV>
            <wp:extent cx="2803525"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03525" cy="179705"/>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-856615</wp:posOffset>
            </wp:positionV>
            <wp:extent cx="85725"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5170170</wp:posOffset>
            </wp:positionH>
            <wp:positionV relativeFrom="paragraph">
              <wp:posOffset>-856615</wp:posOffset>
            </wp:positionV>
            <wp:extent cx="85725"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6070600</wp:posOffset>
            </wp:positionH>
            <wp:positionV relativeFrom="paragraph">
              <wp:posOffset>-856615</wp:posOffset>
            </wp:positionV>
            <wp:extent cx="85725"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6979285</wp:posOffset>
            </wp:positionH>
            <wp:positionV relativeFrom="paragraph">
              <wp:posOffset>-856615</wp:posOffset>
            </wp:positionV>
            <wp:extent cx="85725"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-205105</wp:posOffset>
            </wp:positionV>
            <wp:extent cx="2803525"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03525" cy="20574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35" w:right="3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2220" w:type="dxa"/>
            <w:vAlign w:val="bottom"/>
            <w:gridSpan w:val="3"/>
            <w:vMerge w:val="restart"/>
          </w:tcPr>
          <w:p>
            <w:pPr>
              <w:jc w:val="right"/>
              <w:ind w:right="437"/>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34"/>
              <w:spacing w:after="0"/>
              <w:rPr>
                <w:sz w:val="20"/>
                <w:szCs w:val="20"/>
                <w:color w:val="auto"/>
              </w:rPr>
            </w:pPr>
            <w:r>
              <w:rPr>
                <w:rFonts w:ascii="Arial" w:cs="Arial" w:eastAsia="Arial" w:hAnsi="Arial"/>
                <w:sz w:val="14"/>
                <w:szCs w:val="14"/>
                <w:b w:val="1"/>
                <w:bCs w:val="1"/>
                <w:color w:val="auto"/>
                <w:w w:val="96"/>
              </w:rPr>
              <w:t>Additional</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3360" w:type="dxa"/>
            <w:vAlign w:val="bottom"/>
          </w:tcPr>
          <w:p>
            <w:pPr>
              <w:spacing w:after="0"/>
              <w:rPr>
                <w:sz w:val="15"/>
                <w:szCs w:val="15"/>
                <w:color w:val="auto"/>
              </w:rPr>
            </w:pPr>
          </w:p>
        </w:tc>
        <w:tc>
          <w:tcPr>
            <w:tcW w:w="222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54"/>
              <w:spacing w:after="0"/>
              <w:rPr>
                <w:sz w:val="20"/>
                <w:szCs w:val="20"/>
                <w:color w:val="auto"/>
              </w:rPr>
            </w:pPr>
            <w:r>
              <w:rPr>
                <w:rFonts w:ascii="Arial" w:cs="Arial" w:eastAsia="Arial" w:hAnsi="Arial"/>
                <w:sz w:val="14"/>
                <w:szCs w:val="14"/>
                <w:b w:val="1"/>
                <w:bCs w:val="1"/>
                <w:color w:val="auto"/>
                <w:w w:val="94"/>
              </w:rPr>
              <w:t>Paid-in</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89"/>
              </w:rPr>
              <w:t>Comprehensive</w:t>
            </w:r>
          </w:p>
        </w:tc>
        <w:tc>
          <w:tcPr>
            <w:tcW w:w="1260" w:type="dxa"/>
            <w:vAlign w:val="bottom"/>
            <w:gridSpan w:val="3"/>
          </w:tcPr>
          <w:p>
            <w:pPr>
              <w:jc w:val="center"/>
              <w:ind w:right="170"/>
              <w:spacing w:after="0"/>
              <w:rPr>
                <w:sz w:val="20"/>
                <w:szCs w:val="20"/>
                <w:color w:val="auto"/>
              </w:rPr>
            </w:pPr>
            <w:r>
              <w:rPr>
                <w:rFonts w:ascii="Arial" w:cs="Arial" w:eastAsia="Arial" w:hAnsi="Arial"/>
                <w:sz w:val="14"/>
                <w:szCs w:val="14"/>
                <w:b w:val="1"/>
                <w:bCs w:val="1"/>
                <w:color w:val="auto"/>
                <w:w w:val="90"/>
              </w:rPr>
              <w:t>Accumulated</w:t>
            </w:r>
          </w:p>
        </w:tc>
        <w:tc>
          <w:tcPr>
            <w:tcW w:w="1180" w:type="dxa"/>
            <w:vAlign w:val="bottom"/>
            <w:gridSpan w:val="3"/>
          </w:tcPr>
          <w:p>
            <w:pPr>
              <w:jc w:val="center"/>
              <w:ind w:right="5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11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8"/>
              </w:rPr>
              <w:t>Capital</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ind w:right="290"/>
              <w:spacing w:after="0"/>
              <w:rPr>
                <w:sz w:val="20"/>
                <w:szCs w:val="20"/>
                <w:color w:val="auto"/>
              </w:rPr>
            </w:pPr>
            <w:r>
              <w:rPr>
                <w:rFonts w:ascii="Arial" w:cs="Arial" w:eastAsia="Arial" w:hAnsi="Arial"/>
                <w:sz w:val="14"/>
                <w:szCs w:val="14"/>
                <w:b w:val="1"/>
                <w:bCs w:val="1"/>
                <w:color w:val="auto"/>
                <w:w w:val="90"/>
              </w:rPr>
              <w:t>Income (Loss)</w:t>
            </w:r>
          </w:p>
        </w:tc>
        <w:tc>
          <w:tcPr>
            <w:tcW w:w="200" w:type="dxa"/>
            <w:vAlign w:val="bottom"/>
          </w:tcPr>
          <w:p>
            <w:pPr>
              <w:spacing w:after="0"/>
              <w:rPr>
                <w:sz w:val="11"/>
                <w:szCs w:val="11"/>
                <w:color w:val="auto"/>
              </w:rPr>
            </w:pPr>
          </w:p>
        </w:tc>
        <w:tc>
          <w:tcPr>
            <w:tcW w:w="1060" w:type="dxa"/>
            <w:vAlign w:val="bottom"/>
            <w:gridSpan w:val="2"/>
            <w:vMerge w:val="restart"/>
          </w:tcPr>
          <w:p>
            <w:pPr>
              <w:jc w:val="center"/>
              <w:ind w:right="370"/>
              <w:spacing w:after="0"/>
              <w:rPr>
                <w:sz w:val="20"/>
                <w:szCs w:val="20"/>
                <w:color w:val="auto"/>
              </w:rPr>
            </w:pPr>
            <w:r>
              <w:rPr>
                <w:rFonts w:ascii="Arial" w:cs="Arial" w:eastAsia="Arial" w:hAnsi="Arial"/>
                <w:sz w:val="14"/>
                <w:szCs w:val="14"/>
                <w:b w:val="1"/>
                <w:bCs w:val="1"/>
                <w:color w:val="auto"/>
                <w:w w:val="93"/>
              </w:rPr>
              <w:t>Deficit</w:t>
            </w:r>
          </w:p>
        </w:tc>
        <w:tc>
          <w:tcPr>
            <w:tcW w:w="200" w:type="dxa"/>
            <w:vAlign w:val="bottom"/>
          </w:tcPr>
          <w:p>
            <w:pPr>
              <w:spacing w:after="0"/>
              <w:rPr>
                <w:sz w:val="11"/>
                <w:szCs w:val="11"/>
                <w:color w:val="auto"/>
              </w:rPr>
            </w:pPr>
          </w:p>
        </w:tc>
        <w:tc>
          <w:tcPr>
            <w:tcW w:w="980" w:type="dxa"/>
            <w:vAlign w:val="bottom"/>
            <w:gridSpan w:val="2"/>
          </w:tcPr>
          <w:p>
            <w:pPr>
              <w:jc w:val="center"/>
              <w:ind w:right="270"/>
              <w:spacing w:after="0" w:line="133"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66,228,046</w:t>
            </w:r>
          </w:p>
        </w:tc>
        <w:tc>
          <w:tcPr>
            <w:tcW w:w="260" w:type="dxa"/>
            <w:vAlign w:val="bottom"/>
          </w:tcPr>
          <w:p>
            <w:pPr>
              <w:spacing w:after="0"/>
              <w:rPr>
                <w:sz w:val="20"/>
                <w:szCs w:val="20"/>
                <w:color w:val="auto"/>
              </w:rPr>
            </w:pPr>
          </w:p>
        </w:tc>
        <w:tc>
          <w:tcPr>
            <w:tcW w:w="800" w:type="dxa"/>
            <w:vAlign w:val="bottom"/>
            <w:tcBorders>
              <w:top w:val="single" w:sz="8" w:color="auto"/>
            </w:tcBorders>
          </w:tcPr>
          <w:p>
            <w:pPr>
              <w:jc w:val="right"/>
              <w:ind w:right="617"/>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637,117</w:t>
            </w:r>
          </w:p>
        </w:tc>
        <w:tc>
          <w:tcPr>
            <w:tcW w:w="28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0"/>
                <w:szCs w:val="20"/>
                <w:color w:val="auto"/>
              </w:rPr>
            </w:pPr>
          </w:p>
        </w:tc>
        <w:tc>
          <w:tcPr>
            <w:tcW w:w="2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(722,879</w:t>
            </w:r>
          </w:p>
        </w:tc>
        <w:tc>
          <w:tcPr>
            <w:tcW w:w="2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(85,751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9"/>
        </w:trPr>
        <w:tc>
          <w:tcPr>
            <w:tcW w:w="3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Release of RSUs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110,892</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3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(3,311 )</w:t>
            </w:r>
          </w:p>
        </w:tc>
        <w:tc>
          <w:tcPr>
            <w:tcW w:w="2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(3,311 )</w:t>
            </w:r>
          </w:p>
        </w:tc>
        <w:tc>
          <w:tcPr>
            <w:tcW w:w="0" w:type="dxa"/>
            <w:vAlign w:val="bottom"/>
          </w:tcPr>
          <w:p>
            <w:pPr>
              <w:spacing w:after="0"/>
              <w:rPr>
                <w:sz w:val="1"/>
                <w:szCs w:val="1"/>
                <w:color w:val="auto"/>
              </w:rPr>
            </w:pPr>
          </w:p>
        </w:tc>
      </w:tr>
      <w:tr>
        <w:trPr>
          <w:trHeight w:val="237"/>
        </w:trPr>
        <w:tc>
          <w:tcPr>
            <w:tcW w:w="33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66,338,938</w:t>
            </w:r>
          </w:p>
        </w:tc>
        <w:tc>
          <w:tcPr>
            <w:tcW w:w="260" w:type="dxa"/>
            <w:vAlign w:val="bottom"/>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639,526</w:t>
            </w:r>
          </w:p>
        </w:tc>
        <w:tc>
          <w:tcPr>
            <w:tcW w:w="28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(726,190</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(86,637</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336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1160" w:type="dxa"/>
            <w:vAlign w:val="bottom"/>
          </w:tcPr>
          <w:p>
            <w:pPr>
              <w:jc w:val="right"/>
              <w:spacing w:after="0"/>
              <w:rPr>
                <w:sz w:val="20"/>
                <w:szCs w:val="20"/>
                <w:color w:val="auto"/>
              </w:rPr>
            </w:pPr>
            <w:r>
              <w:rPr>
                <w:rFonts w:ascii="Arial" w:cs="Arial" w:eastAsia="Arial" w:hAnsi="Arial"/>
                <w:sz w:val="18"/>
                <w:szCs w:val="18"/>
                <w:color w:val="auto"/>
              </w:rPr>
              <w:t>16,535</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Release of RSUs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212,312</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360" w:type="dxa"/>
            <w:vAlign w:val="bottom"/>
          </w:tcPr>
          <w:p>
            <w:pPr>
              <w:ind w:left="20"/>
              <w:spacing w:after="0"/>
              <w:rPr>
                <w:sz w:val="20"/>
                <w:szCs w:val="20"/>
                <w:color w:val="auto"/>
              </w:rPr>
            </w:pPr>
            <w:r>
              <w:rPr>
                <w:rFonts w:ascii="Arial" w:cs="Arial" w:eastAsia="Arial" w:hAnsi="Arial"/>
                <w:sz w:val="18"/>
                <w:szCs w:val="18"/>
                <w:color w:val="auto"/>
                <w:w w:val="95"/>
              </w:rPr>
              <w:t>Issuance of common stock under the ESPP</w:t>
            </w:r>
          </w:p>
        </w:tc>
        <w:tc>
          <w:tcPr>
            <w:tcW w:w="1160" w:type="dxa"/>
            <w:vAlign w:val="bottom"/>
          </w:tcPr>
          <w:p>
            <w:pPr>
              <w:jc w:val="right"/>
              <w:spacing w:after="0"/>
              <w:rPr>
                <w:sz w:val="20"/>
                <w:szCs w:val="20"/>
                <w:color w:val="auto"/>
              </w:rPr>
            </w:pPr>
            <w:r>
              <w:rPr>
                <w:rFonts w:ascii="Arial" w:cs="Arial" w:eastAsia="Arial" w:hAnsi="Arial"/>
                <w:sz w:val="18"/>
                <w:szCs w:val="18"/>
                <w:color w:val="auto"/>
              </w:rPr>
              <w:t>199,994</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2,371</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6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(1,087 )</w:t>
            </w: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(1,087 )</w:t>
            </w:r>
          </w:p>
        </w:tc>
        <w:tc>
          <w:tcPr>
            <w:tcW w:w="0" w:type="dxa"/>
            <w:vAlign w:val="bottom"/>
          </w:tcPr>
          <w:p>
            <w:pPr>
              <w:spacing w:after="0"/>
              <w:rPr>
                <w:sz w:val="1"/>
                <w:szCs w:val="1"/>
                <w:color w:val="auto"/>
              </w:rPr>
            </w:pPr>
          </w:p>
        </w:tc>
      </w:tr>
      <w:tr>
        <w:trPr>
          <w:trHeight w:val="20"/>
        </w:trPr>
        <w:tc>
          <w:tcPr>
            <w:tcW w:w="336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1160" w:type="dxa"/>
            <w:vAlign w:val="bottom"/>
          </w:tcPr>
          <w:p>
            <w:pPr>
              <w:jc w:val="right"/>
              <w:spacing w:after="0"/>
              <w:rPr>
                <w:sz w:val="20"/>
                <w:szCs w:val="20"/>
                <w:color w:val="auto"/>
              </w:rPr>
            </w:pPr>
            <w:r>
              <w:rPr>
                <w:rFonts w:ascii="Arial" w:cs="Arial" w:eastAsia="Arial" w:hAnsi="Arial"/>
                <w:sz w:val="18"/>
                <w:szCs w:val="18"/>
                <w:color w:val="auto"/>
              </w:rPr>
              <w:t>66,767,779</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642,214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(727,277 )</w:t>
            </w:r>
          </w:p>
        </w:tc>
        <w:tc>
          <w:tcPr>
            <w:tcW w:w="2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(85,027 )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2220" w:type="dxa"/>
            <w:vAlign w:val="bottom"/>
            <w:gridSpan w:val="3"/>
            <w:vMerge w:val="restart"/>
          </w:tcPr>
          <w:p>
            <w:pPr>
              <w:jc w:val="right"/>
              <w:ind w:right="437"/>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34"/>
              <w:spacing w:after="0"/>
              <w:rPr>
                <w:sz w:val="20"/>
                <w:szCs w:val="20"/>
                <w:color w:val="auto"/>
              </w:rPr>
            </w:pPr>
            <w:r>
              <w:rPr>
                <w:rFonts w:ascii="Arial" w:cs="Arial" w:eastAsia="Arial" w:hAnsi="Arial"/>
                <w:sz w:val="14"/>
                <w:szCs w:val="14"/>
                <w:b w:val="1"/>
                <w:bCs w:val="1"/>
                <w:color w:val="auto"/>
                <w:w w:val="96"/>
              </w:rPr>
              <w:t>Additional</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3360" w:type="dxa"/>
            <w:vAlign w:val="bottom"/>
          </w:tcPr>
          <w:p>
            <w:pPr>
              <w:spacing w:after="0"/>
              <w:rPr>
                <w:sz w:val="15"/>
                <w:szCs w:val="15"/>
                <w:color w:val="auto"/>
              </w:rPr>
            </w:pPr>
          </w:p>
        </w:tc>
        <w:tc>
          <w:tcPr>
            <w:tcW w:w="222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54"/>
              <w:spacing w:after="0"/>
              <w:rPr>
                <w:sz w:val="20"/>
                <w:szCs w:val="20"/>
                <w:color w:val="auto"/>
              </w:rPr>
            </w:pPr>
            <w:r>
              <w:rPr>
                <w:rFonts w:ascii="Arial" w:cs="Arial" w:eastAsia="Arial" w:hAnsi="Arial"/>
                <w:sz w:val="14"/>
                <w:szCs w:val="14"/>
                <w:b w:val="1"/>
                <w:bCs w:val="1"/>
                <w:color w:val="auto"/>
                <w:w w:val="94"/>
              </w:rPr>
              <w:t>Paid-in</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89"/>
              </w:rPr>
              <w:t>Comprehensive</w:t>
            </w:r>
          </w:p>
        </w:tc>
        <w:tc>
          <w:tcPr>
            <w:tcW w:w="1260" w:type="dxa"/>
            <w:vAlign w:val="bottom"/>
            <w:gridSpan w:val="3"/>
          </w:tcPr>
          <w:p>
            <w:pPr>
              <w:jc w:val="center"/>
              <w:ind w:right="170"/>
              <w:spacing w:after="0"/>
              <w:rPr>
                <w:sz w:val="20"/>
                <w:szCs w:val="20"/>
                <w:color w:val="auto"/>
              </w:rPr>
            </w:pPr>
            <w:r>
              <w:rPr>
                <w:rFonts w:ascii="Arial" w:cs="Arial" w:eastAsia="Arial" w:hAnsi="Arial"/>
                <w:sz w:val="14"/>
                <w:szCs w:val="14"/>
                <w:b w:val="1"/>
                <w:bCs w:val="1"/>
                <w:color w:val="auto"/>
                <w:w w:val="90"/>
              </w:rPr>
              <w:t>Accumulated</w:t>
            </w:r>
          </w:p>
        </w:tc>
        <w:tc>
          <w:tcPr>
            <w:tcW w:w="1180" w:type="dxa"/>
            <w:vAlign w:val="bottom"/>
            <w:gridSpan w:val="3"/>
          </w:tcPr>
          <w:p>
            <w:pPr>
              <w:jc w:val="center"/>
              <w:ind w:right="5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11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8"/>
              </w:rPr>
              <w:t>Capital</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ind w:right="290"/>
              <w:spacing w:after="0"/>
              <w:rPr>
                <w:sz w:val="20"/>
                <w:szCs w:val="20"/>
                <w:color w:val="auto"/>
              </w:rPr>
            </w:pPr>
            <w:r>
              <w:rPr>
                <w:rFonts w:ascii="Arial" w:cs="Arial" w:eastAsia="Arial" w:hAnsi="Arial"/>
                <w:sz w:val="14"/>
                <w:szCs w:val="14"/>
                <w:b w:val="1"/>
                <w:bCs w:val="1"/>
                <w:color w:val="auto"/>
                <w:w w:val="90"/>
              </w:rPr>
              <w:t>Income (Loss)</w:t>
            </w:r>
          </w:p>
        </w:tc>
        <w:tc>
          <w:tcPr>
            <w:tcW w:w="200" w:type="dxa"/>
            <w:vAlign w:val="bottom"/>
          </w:tcPr>
          <w:p>
            <w:pPr>
              <w:spacing w:after="0"/>
              <w:rPr>
                <w:sz w:val="11"/>
                <w:szCs w:val="11"/>
                <w:color w:val="auto"/>
              </w:rPr>
            </w:pPr>
          </w:p>
        </w:tc>
        <w:tc>
          <w:tcPr>
            <w:tcW w:w="1060" w:type="dxa"/>
            <w:vAlign w:val="bottom"/>
            <w:gridSpan w:val="2"/>
            <w:vMerge w:val="restart"/>
          </w:tcPr>
          <w:p>
            <w:pPr>
              <w:jc w:val="center"/>
              <w:ind w:right="370"/>
              <w:spacing w:after="0"/>
              <w:rPr>
                <w:sz w:val="20"/>
                <w:szCs w:val="20"/>
                <w:color w:val="auto"/>
              </w:rPr>
            </w:pPr>
            <w:r>
              <w:rPr>
                <w:rFonts w:ascii="Arial" w:cs="Arial" w:eastAsia="Arial" w:hAnsi="Arial"/>
                <w:sz w:val="14"/>
                <w:szCs w:val="14"/>
                <w:b w:val="1"/>
                <w:bCs w:val="1"/>
                <w:color w:val="auto"/>
                <w:w w:val="93"/>
              </w:rPr>
              <w:t>Deficit</w:t>
            </w:r>
          </w:p>
        </w:tc>
        <w:tc>
          <w:tcPr>
            <w:tcW w:w="200" w:type="dxa"/>
            <w:vAlign w:val="bottom"/>
          </w:tcPr>
          <w:p>
            <w:pPr>
              <w:spacing w:after="0"/>
              <w:rPr>
                <w:sz w:val="11"/>
                <w:szCs w:val="11"/>
                <w:color w:val="auto"/>
              </w:rPr>
            </w:pPr>
          </w:p>
        </w:tc>
        <w:tc>
          <w:tcPr>
            <w:tcW w:w="980" w:type="dxa"/>
            <w:vAlign w:val="bottom"/>
            <w:gridSpan w:val="2"/>
          </w:tcPr>
          <w:p>
            <w:pPr>
              <w:jc w:val="center"/>
              <w:ind w:right="270"/>
              <w:spacing w:after="0" w:line="133"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37"/>
        </w:trPr>
        <w:tc>
          <w:tcPr>
            <w:tcW w:w="33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65,392,758</w:t>
            </w:r>
          </w:p>
        </w:tc>
        <w:tc>
          <w:tcPr>
            <w:tcW w:w="260" w:type="dxa"/>
            <w:vAlign w:val="bottom"/>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ind w:right="617"/>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623,344</w:t>
            </w:r>
          </w:p>
        </w:tc>
        <w:tc>
          <w:tcPr>
            <w:tcW w:w="28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(623,562</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336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1160" w:type="dxa"/>
            <w:vAlign w:val="bottom"/>
          </w:tcPr>
          <w:p>
            <w:pPr>
              <w:jc w:val="right"/>
              <w:spacing w:after="0"/>
              <w:rPr>
                <w:sz w:val="20"/>
                <w:szCs w:val="20"/>
                <w:color w:val="auto"/>
              </w:rPr>
            </w:pPr>
            <w:r>
              <w:rPr>
                <w:rFonts w:ascii="Arial" w:cs="Arial" w:eastAsia="Arial" w:hAnsi="Arial"/>
                <w:sz w:val="18"/>
                <w:szCs w:val="18"/>
                <w:color w:val="auto"/>
              </w:rPr>
              <w:t>5,597</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3,370</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6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(677 )</w:t>
            </w:r>
          </w:p>
        </w:tc>
        <w:tc>
          <w:tcPr>
            <w:tcW w:w="200" w:type="dxa"/>
            <w:vAlign w:val="bottom"/>
          </w:tcPr>
          <w:p>
            <w:pPr>
              <w:spacing w:after="0"/>
              <w:rPr>
                <w:sz w:val="20"/>
                <w:szCs w:val="20"/>
                <w:color w:val="auto"/>
              </w:rPr>
            </w:pPr>
          </w:p>
        </w:tc>
        <w:tc>
          <w:tcPr>
            <w:tcW w:w="10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(677 )</w:t>
            </w:r>
          </w:p>
        </w:tc>
        <w:tc>
          <w:tcPr>
            <w:tcW w:w="0" w:type="dxa"/>
            <w:vAlign w:val="bottom"/>
          </w:tcPr>
          <w:p>
            <w:pPr>
              <w:spacing w:after="0"/>
              <w:rPr>
                <w:sz w:val="1"/>
                <w:szCs w:val="1"/>
                <w:color w:val="auto"/>
              </w:rPr>
            </w:pPr>
          </w:p>
        </w:tc>
      </w:tr>
      <w:tr>
        <w:trPr>
          <w:trHeight w:val="249"/>
        </w:trPr>
        <w:tc>
          <w:tcPr>
            <w:tcW w:w="3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(31,981 )</w:t>
            </w: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(31,981 )</w:t>
            </w:r>
          </w:p>
        </w:tc>
        <w:tc>
          <w:tcPr>
            <w:tcW w:w="0" w:type="dxa"/>
            <w:vAlign w:val="bottom"/>
          </w:tcPr>
          <w:p>
            <w:pPr>
              <w:spacing w:after="0"/>
              <w:rPr>
                <w:sz w:val="1"/>
                <w:szCs w:val="1"/>
                <w:color w:val="auto"/>
              </w:rPr>
            </w:pPr>
          </w:p>
        </w:tc>
      </w:tr>
      <w:tr>
        <w:trPr>
          <w:trHeight w:val="20"/>
        </w:trPr>
        <w:tc>
          <w:tcPr>
            <w:tcW w:w="336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1160" w:type="dxa"/>
            <w:vAlign w:val="bottom"/>
          </w:tcPr>
          <w:p>
            <w:pPr>
              <w:jc w:val="right"/>
              <w:spacing w:after="0"/>
              <w:rPr>
                <w:sz w:val="20"/>
                <w:szCs w:val="20"/>
                <w:color w:val="auto"/>
              </w:rPr>
            </w:pPr>
            <w:r>
              <w:rPr>
                <w:rFonts w:ascii="Arial" w:cs="Arial" w:eastAsia="Arial" w:hAnsi="Arial"/>
                <w:sz w:val="18"/>
                <w:szCs w:val="18"/>
                <w:color w:val="auto"/>
              </w:rPr>
              <w:t>65,398,355</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626,721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(919 )</w:t>
            </w:r>
          </w:p>
        </w:tc>
        <w:tc>
          <w:tcPr>
            <w:tcW w:w="200" w:type="dxa"/>
            <w:vAlign w:val="bottom"/>
          </w:tcPr>
          <w:p>
            <w:pPr>
              <w:spacing w:after="0"/>
              <w:rPr>
                <w:sz w:val="19"/>
                <w:szCs w:val="19"/>
                <w:color w:val="auto"/>
              </w:rPr>
            </w:pP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(655,543 )</w:t>
            </w: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(29,740 )</w:t>
            </w:r>
          </w:p>
        </w:tc>
        <w:tc>
          <w:tcPr>
            <w:tcW w:w="0" w:type="dxa"/>
            <w:vAlign w:val="bottom"/>
          </w:tcPr>
          <w:p>
            <w:pPr>
              <w:spacing w:after="0"/>
              <w:rPr>
                <w:sz w:val="1"/>
                <w:szCs w:val="1"/>
                <w:color w:val="auto"/>
              </w:rPr>
            </w:pPr>
          </w:p>
        </w:tc>
      </w:tr>
      <w:tr>
        <w:trPr>
          <w:trHeight w:val="245"/>
        </w:trPr>
        <w:tc>
          <w:tcPr>
            <w:tcW w:w="336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1160" w:type="dxa"/>
            <w:vAlign w:val="bottom"/>
          </w:tcPr>
          <w:p>
            <w:pPr>
              <w:jc w:val="right"/>
              <w:spacing w:after="0"/>
              <w:rPr>
                <w:sz w:val="20"/>
                <w:szCs w:val="20"/>
                <w:color w:val="auto"/>
              </w:rPr>
            </w:pPr>
            <w:r>
              <w:rPr>
                <w:rFonts w:ascii="Arial" w:cs="Arial" w:eastAsia="Arial" w:hAnsi="Arial"/>
                <w:sz w:val="18"/>
                <w:szCs w:val="18"/>
                <w:color w:val="auto"/>
              </w:rPr>
              <w:t>95,393</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60" w:type="dxa"/>
            <w:vAlign w:val="bottom"/>
            <w:shd w:val="clear" w:color="auto" w:fill="CFF0FC"/>
          </w:tcPr>
          <w:p>
            <w:pPr>
              <w:ind w:left="20"/>
              <w:spacing w:after="0"/>
              <w:rPr>
                <w:sz w:val="20"/>
                <w:szCs w:val="20"/>
                <w:color w:val="auto"/>
              </w:rPr>
            </w:pPr>
            <w:r>
              <w:rPr>
                <w:rFonts w:ascii="Arial" w:cs="Arial" w:eastAsia="Arial" w:hAnsi="Arial"/>
                <w:sz w:val="18"/>
                <w:szCs w:val="18"/>
                <w:color w:val="auto"/>
                <w:w w:val="95"/>
              </w:rPr>
              <w:t>Issuance of common stock under the ESPP</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262,744</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4,490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4,490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loss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(243 )</w:t>
            </w:r>
          </w:p>
        </w:tc>
        <w:tc>
          <w:tcPr>
            <w:tcW w:w="2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(243 )</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(29,496 )</w:t>
            </w:r>
          </w:p>
        </w:tc>
        <w:tc>
          <w:tcPr>
            <w:tcW w:w="2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(29,496 )</w:t>
            </w:r>
          </w:p>
        </w:tc>
        <w:tc>
          <w:tcPr>
            <w:tcW w:w="0" w:type="dxa"/>
            <w:vAlign w:val="bottom"/>
          </w:tcPr>
          <w:p>
            <w:pPr>
              <w:spacing w:after="0"/>
              <w:rPr>
                <w:sz w:val="1"/>
                <w:szCs w:val="1"/>
                <w:color w:val="auto"/>
              </w:rPr>
            </w:pPr>
          </w:p>
        </w:tc>
      </w:tr>
      <w:tr>
        <w:trPr>
          <w:trHeight w:val="277"/>
        </w:trPr>
        <w:tc>
          <w:tcPr>
            <w:tcW w:w="3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65,756,492</w:t>
            </w:r>
          </w:p>
        </w:tc>
        <w:tc>
          <w:tcPr>
            <w:tcW w:w="2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top w:val="single" w:sz="8" w:color="auto"/>
              <w:bottom w:val="single" w:sz="8" w:color="auto"/>
            </w:tcBorders>
            <w:shd w:val="clear" w:color="auto" w:fill="CFF0FC"/>
          </w:tcPr>
          <w:p>
            <w:pPr>
              <w:jc w:val="right"/>
              <w:ind w:right="617"/>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631,662</w:t>
            </w:r>
          </w:p>
        </w:tc>
        <w:tc>
          <w:tcPr>
            <w:tcW w:w="2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(685,039</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(54,538</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-2794000</wp:posOffset>
            </wp:positionV>
            <wp:extent cx="85725"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-2794000</wp:posOffset>
            </wp:positionV>
            <wp:extent cx="7747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-2794000</wp:posOffset>
            </wp:positionV>
            <wp:extent cx="85725"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-2794000</wp:posOffset>
            </wp:positionV>
            <wp:extent cx="85725"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-2794000</wp:posOffset>
            </wp:positionV>
            <wp:extent cx="76835"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-2794000</wp:posOffset>
            </wp:positionV>
            <wp:extent cx="85725"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-1122045</wp:posOffset>
            </wp:positionV>
            <wp:extent cx="85725" cy="3175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31750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-1122045</wp:posOffset>
            </wp:positionV>
            <wp:extent cx="77470" cy="3175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31750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-1122045</wp:posOffset>
            </wp:positionV>
            <wp:extent cx="85725" cy="3175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31750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-1122045</wp:posOffset>
            </wp:positionV>
            <wp:extent cx="85725" cy="3175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31750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-1122045</wp:posOffset>
            </wp:positionV>
            <wp:extent cx="76835" cy="3175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31750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-1122045</wp:posOffset>
            </wp:positionV>
            <wp:extent cx="85725" cy="3175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31750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-24765</wp:posOffset>
            </wp:positionV>
            <wp:extent cx="857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-7620</wp:posOffset>
            </wp:positionV>
            <wp:extent cx="85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-24765</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-7620</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857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857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85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5"/>
        </w:trPr>
        <w:tc>
          <w:tcPr>
            <w:tcW w:w="7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78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7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8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1"/>
              <w:spacing w:after="0"/>
              <w:rPr>
                <w:sz w:val="20"/>
                <w:szCs w:val="20"/>
                <w:color w:val="auto"/>
              </w:rPr>
            </w:pPr>
            <w:r>
              <w:rPr>
                <w:rFonts w:ascii="Arial" w:cs="Arial" w:eastAsia="Arial" w:hAnsi="Arial"/>
                <w:sz w:val="18"/>
                <w:szCs w:val="18"/>
                <w:color w:val="auto"/>
              </w:rPr>
              <w:t>(4,398 )</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(61,477 )</w:t>
            </w:r>
          </w:p>
        </w:tc>
      </w:tr>
      <w:tr>
        <w:trPr>
          <w:trHeight w:val="249"/>
        </w:trPr>
        <w:tc>
          <w:tcPr>
            <w:tcW w:w="7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820" w:type="dxa"/>
            <w:vAlign w:val="bottom"/>
          </w:tcPr>
          <w:p>
            <w:pPr>
              <w:ind w:left="3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20"/>
                <w:szCs w:val="20"/>
                <w:color w:val="auto"/>
              </w:rPr>
            </w:pPr>
          </w:p>
        </w:tc>
      </w:tr>
      <w:tr>
        <w:trPr>
          <w:trHeight w:val="249"/>
        </w:trPr>
        <w:tc>
          <w:tcPr>
            <w:tcW w:w="7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w:t>
            </w:r>
          </w:p>
        </w:tc>
        <w:tc>
          <w:tcPr>
            <w:tcW w:w="3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w:t>
            </w:r>
          </w:p>
        </w:tc>
        <w:tc>
          <w:tcPr>
            <w:tcW w:w="140" w:type="dxa"/>
            <w:vAlign w:val="bottom"/>
            <w:shd w:val="clear" w:color="auto" w:fill="CFF0FC"/>
          </w:tcPr>
          <w:p>
            <w:pPr>
              <w:spacing w:after="0"/>
              <w:rPr>
                <w:sz w:val="21"/>
                <w:szCs w:val="21"/>
                <w:color w:val="auto"/>
              </w:rPr>
            </w:pPr>
          </w:p>
        </w:tc>
      </w:tr>
      <w:tr>
        <w:trPr>
          <w:trHeight w:val="237"/>
        </w:trPr>
        <w:tc>
          <w:tcPr>
            <w:tcW w:w="7820" w:type="dxa"/>
            <w:vAlign w:val="bottom"/>
          </w:tcPr>
          <w:p>
            <w:pPr>
              <w:ind w:left="380"/>
              <w:spacing w:after="0"/>
              <w:rPr>
                <w:sz w:val="20"/>
                <w:szCs w:val="20"/>
                <w:color w:val="auto"/>
              </w:rPr>
            </w:pPr>
            <w:r>
              <w:rPr>
                <w:rFonts w:ascii="Arial" w:cs="Arial" w:eastAsia="Arial" w:hAnsi="Arial"/>
                <w:sz w:val="18"/>
                <w:szCs w:val="18"/>
                <w:color w:val="auto"/>
              </w:rPr>
              <w:t>Accretion of discounts on short-term investments</w:t>
            </w:r>
          </w:p>
        </w:tc>
        <w:tc>
          <w:tcPr>
            <w:tcW w:w="340" w:type="dxa"/>
            <w:vAlign w:val="bottom"/>
          </w:tcPr>
          <w:p>
            <w:pPr>
              <w:spacing w:after="0"/>
              <w:rPr>
                <w:sz w:val="20"/>
                <w:szCs w:val="20"/>
                <w:color w:val="auto"/>
              </w:rPr>
            </w:pPr>
          </w:p>
        </w:tc>
        <w:tc>
          <w:tcPr>
            <w:tcW w:w="1460" w:type="dxa"/>
            <w:vAlign w:val="bottom"/>
            <w:gridSpan w:val="2"/>
          </w:tcPr>
          <w:p>
            <w:pPr>
              <w:jc w:val="right"/>
              <w:ind w:right="181"/>
              <w:spacing w:after="0"/>
              <w:rPr>
                <w:sz w:val="20"/>
                <w:szCs w:val="20"/>
                <w:color w:val="auto"/>
              </w:rPr>
            </w:pPr>
            <w:r>
              <w:rPr>
                <w:rFonts w:ascii="Arial" w:cs="Arial" w:eastAsia="Arial" w:hAnsi="Arial"/>
                <w:sz w:val="18"/>
                <w:szCs w:val="18"/>
                <w:color w:val="auto"/>
              </w:rPr>
              <w:t>(3,260 )</w:t>
            </w:r>
          </w:p>
        </w:tc>
        <w:tc>
          <w:tcPr>
            <w:tcW w:w="5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(33 )</w:t>
            </w:r>
          </w:p>
        </w:tc>
      </w:tr>
      <w:tr>
        <w:trPr>
          <w:trHeight w:val="249"/>
        </w:trPr>
        <w:tc>
          <w:tcPr>
            <w:tcW w:w="7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4,780</w:t>
            </w:r>
          </w:p>
        </w:tc>
        <w:tc>
          <w:tcPr>
            <w:tcW w:w="3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7,860</w:t>
            </w:r>
          </w:p>
        </w:tc>
        <w:tc>
          <w:tcPr>
            <w:tcW w:w="140" w:type="dxa"/>
            <w:vAlign w:val="bottom"/>
            <w:shd w:val="clear" w:color="auto" w:fill="CFF0FC"/>
          </w:tcPr>
          <w:p>
            <w:pPr>
              <w:spacing w:after="0"/>
              <w:rPr>
                <w:sz w:val="21"/>
                <w:szCs w:val="21"/>
                <w:color w:val="auto"/>
              </w:rPr>
            </w:pPr>
          </w:p>
        </w:tc>
      </w:tr>
      <w:tr>
        <w:trPr>
          <w:trHeight w:val="237"/>
        </w:trPr>
        <w:tc>
          <w:tcPr>
            <w:tcW w:w="7820" w:type="dxa"/>
            <w:vAlign w:val="bottom"/>
          </w:tcPr>
          <w:p>
            <w:pPr>
              <w:ind w:left="380"/>
              <w:spacing w:after="0"/>
              <w:rPr>
                <w:sz w:val="20"/>
                <w:szCs w:val="20"/>
                <w:color w:val="auto"/>
              </w:rPr>
            </w:pPr>
            <w:r>
              <w:rPr>
                <w:rFonts w:ascii="Arial" w:cs="Arial" w:eastAsia="Arial" w:hAnsi="Arial"/>
                <w:sz w:val="18"/>
                <w:szCs w:val="18"/>
                <w:color w:val="auto"/>
              </w:rPr>
              <w:t>Non-cash lease expense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1,823</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1,670</w:t>
            </w:r>
          </w:p>
        </w:tc>
        <w:tc>
          <w:tcPr>
            <w:tcW w:w="140" w:type="dxa"/>
            <w:vAlign w:val="bottom"/>
          </w:tcPr>
          <w:p>
            <w:pPr>
              <w:spacing w:after="0"/>
              <w:rPr>
                <w:sz w:val="20"/>
                <w:szCs w:val="20"/>
                <w:color w:val="auto"/>
              </w:rPr>
            </w:pPr>
          </w:p>
        </w:tc>
      </w:tr>
      <w:tr>
        <w:trPr>
          <w:trHeight w:val="249"/>
        </w:trPr>
        <w:tc>
          <w:tcPr>
            <w:tcW w:w="7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820" w:type="dxa"/>
            <w:vAlign w:val="bottom"/>
          </w:tcPr>
          <w:p>
            <w:pPr>
              <w:ind w:left="56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34,083</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(290 )</w:t>
            </w:r>
          </w:p>
        </w:tc>
      </w:tr>
      <w:tr>
        <w:trPr>
          <w:trHeight w:val="249"/>
        </w:trPr>
        <w:tc>
          <w:tcPr>
            <w:tcW w:w="78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2,426</w:t>
            </w:r>
          </w:p>
        </w:tc>
        <w:tc>
          <w:tcPr>
            <w:tcW w:w="3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140" w:type="dxa"/>
            <w:vAlign w:val="bottom"/>
            <w:shd w:val="clear" w:color="auto" w:fill="CFF0FC"/>
          </w:tcPr>
          <w:p>
            <w:pPr>
              <w:spacing w:after="0"/>
              <w:rPr>
                <w:sz w:val="21"/>
                <w:szCs w:val="21"/>
                <w:color w:val="auto"/>
              </w:rPr>
            </w:pPr>
          </w:p>
        </w:tc>
      </w:tr>
      <w:tr>
        <w:trPr>
          <w:trHeight w:val="237"/>
        </w:trPr>
        <w:tc>
          <w:tcPr>
            <w:tcW w:w="7820" w:type="dxa"/>
            <w:vAlign w:val="bottom"/>
          </w:tcPr>
          <w:p>
            <w:pPr>
              <w:ind w:left="56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0"/>
                <w:szCs w:val="20"/>
                <w:color w:val="auto"/>
              </w:rPr>
            </w:pPr>
          </w:p>
        </w:tc>
        <w:tc>
          <w:tcPr>
            <w:tcW w:w="1460" w:type="dxa"/>
            <w:vAlign w:val="bottom"/>
            <w:gridSpan w:val="2"/>
          </w:tcPr>
          <w:p>
            <w:pPr>
              <w:jc w:val="right"/>
              <w:ind w:right="181"/>
              <w:spacing w:after="0"/>
              <w:rPr>
                <w:sz w:val="20"/>
                <w:szCs w:val="20"/>
                <w:color w:val="auto"/>
              </w:rPr>
            </w:pPr>
            <w:r>
              <w:rPr>
                <w:rFonts w:ascii="Arial" w:cs="Arial" w:eastAsia="Arial" w:hAnsi="Arial"/>
                <w:sz w:val="18"/>
                <w:szCs w:val="18"/>
                <w:color w:val="auto"/>
              </w:rPr>
              <w:t>(64 )</w:t>
            </w: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r>
      <w:tr>
        <w:trPr>
          <w:trHeight w:val="249"/>
        </w:trPr>
        <w:tc>
          <w:tcPr>
            <w:tcW w:w="78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(1,774 )</w:t>
            </w:r>
          </w:p>
        </w:tc>
        <w:tc>
          <w:tcPr>
            <w:tcW w:w="5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(844 )</w:t>
            </w:r>
          </w:p>
        </w:tc>
      </w:tr>
      <w:tr>
        <w:trPr>
          <w:trHeight w:val="237"/>
        </w:trPr>
        <w:tc>
          <w:tcPr>
            <w:tcW w:w="7820" w:type="dxa"/>
            <w:vAlign w:val="bottom"/>
          </w:tcPr>
          <w:p>
            <w:pPr>
              <w:ind w:left="560"/>
              <w:spacing w:after="0"/>
              <w:rPr>
                <w:sz w:val="20"/>
                <w:szCs w:val="20"/>
                <w:color w:val="auto"/>
              </w:rPr>
            </w:pPr>
            <w:r>
              <w:rPr>
                <w:rFonts w:ascii="Arial" w:cs="Arial" w:eastAsia="Arial" w:hAnsi="Arial"/>
                <w:sz w:val="18"/>
                <w:szCs w:val="18"/>
                <w:color w:val="auto"/>
              </w:rPr>
              <w:t>Accrued liabilities and other long-term liabilities</w:t>
            </w:r>
          </w:p>
        </w:tc>
        <w:tc>
          <w:tcPr>
            <w:tcW w:w="340" w:type="dxa"/>
            <w:vAlign w:val="bottom"/>
          </w:tcPr>
          <w:p>
            <w:pPr>
              <w:spacing w:after="0"/>
              <w:rPr>
                <w:sz w:val="20"/>
                <w:szCs w:val="20"/>
                <w:color w:val="auto"/>
              </w:rPr>
            </w:pPr>
          </w:p>
        </w:tc>
        <w:tc>
          <w:tcPr>
            <w:tcW w:w="1460" w:type="dxa"/>
            <w:vAlign w:val="bottom"/>
            <w:gridSpan w:val="2"/>
          </w:tcPr>
          <w:p>
            <w:pPr>
              <w:jc w:val="right"/>
              <w:ind w:right="181"/>
              <w:spacing w:after="0"/>
              <w:rPr>
                <w:sz w:val="20"/>
                <w:szCs w:val="20"/>
                <w:color w:val="auto"/>
              </w:rPr>
            </w:pPr>
            <w:r>
              <w:rPr>
                <w:rFonts w:ascii="Arial" w:cs="Arial" w:eastAsia="Arial" w:hAnsi="Arial"/>
                <w:sz w:val="18"/>
                <w:szCs w:val="18"/>
                <w:color w:val="auto"/>
              </w:rPr>
              <w:t>(10,477 )</w:t>
            </w:r>
          </w:p>
        </w:tc>
        <w:tc>
          <w:tcPr>
            <w:tcW w:w="5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(4,484 )</w:t>
            </w:r>
          </w:p>
        </w:tc>
      </w:tr>
      <w:tr>
        <w:trPr>
          <w:trHeight w:val="243"/>
        </w:trPr>
        <w:tc>
          <w:tcPr>
            <w:tcW w:w="78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(40,173 )</w:t>
            </w:r>
          </w:p>
        </w:tc>
        <w:tc>
          <w:tcPr>
            <w:tcW w:w="5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(19,864 )</w:t>
            </w:r>
          </w:p>
        </w:tc>
      </w:tr>
      <w:tr>
        <w:trPr>
          <w:trHeight w:val="20"/>
        </w:trPr>
        <w:tc>
          <w:tcPr>
            <w:tcW w:w="78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7820" w:type="dxa"/>
            <w:vAlign w:val="bottom"/>
          </w:tcPr>
          <w:p>
            <w:pPr>
              <w:ind w:left="56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Pr>
          <w:p>
            <w:pPr>
              <w:spacing w:after="0"/>
              <w:rPr>
                <w:sz w:val="20"/>
                <w:szCs w:val="20"/>
                <w:color w:val="auto"/>
              </w:rPr>
            </w:pPr>
          </w:p>
        </w:tc>
        <w:tc>
          <w:tcPr>
            <w:tcW w:w="1460" w:type="dxa"/>
            <w:vAlign w:val="bottom"/>
            <w:gridSpan w:val="2"/>
          </w:tcPr>
          <w:p>
            <w:pPr>
              <w:jc w:val="right"/>
              <w:ind w:right="181"/>
              <w:spacing w:after="0"/>
              <w:rPr>
                <w:sz w:val="20"/>
                <w:szCs w:val="20"/>
                <w:color w:val="auto"/>
              </w:rPr>
            </w:pPr>
            <w:r>
              <w:rPr>
                <w:rFonts w:ascii="Arial" w:cs="Arial" w:eastAsia="Arial" w:hAnsi="Arial"/>
                <w:sz w:val="18"/>
                <w:szCs w:val="18"/>
                <w:color w:val="auto"/>
              </w:rPr>
              <w:t>(15,829 )</w:t>
            </w:r>
          </w:p>
        </w:tc>
        <w:tc>
          <w:tcPr>
            <w:tcW w:w="5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(75,550 )</w:t>
            </w:r>
          </w:p>
        </w:tc>
      </w:tr>
      <w:tr>
        <w:trPr>
          <w:trHeight w:val="243"/>
        </w:trPr>
        <w:tc>
          <w:tcPr>
            <w:tcW w:w="7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50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82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20"/>
                <w:szCs w:val="20"/>
                <w:color w:val="auto"/>
              </w:rPr>
            </w:pPr>
          </w:p>
        </w:tc>
        <w:tc>
          <w:tcPr>
            <w:tcW w:w="1460" w:type="dxa"/>
            <w:vAlign w:val="bottom"/>
            <w:gridSpan w:val="2"/>
          </w:tcPr>
          <w:p>
            <w:pPr>
              <w:jc w:val="right"/>
              <w:ind w:right="181"/>
              <w:spacing w:after="0"/>
              <w:rPr>
                <w:sz w:val="20"/>
                <w:szCs w:val="20"/>
                <w:color w:val="auto"/>
              </w:rPr>
            </w:pPr>
            <w:r>
              <w:rPr>
                <w:rFonts w:ascii="Arial" w:cs="Arial" w:eastAsia="Arial" w:hAnsi="Arial"/>
                <w:sz w:val="18"/>
                <w:szCs w:val="18"/>
                <w:color w:val="auto"/>
              </w:rPr>
              <w:t>(565 )</w:t>
            </w:r>
          </w:p>
        </w:tc>
        <w:tc>
          <w:tcPr>
            <w:tcW w:w="5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(1,148 )</w:t>
            </w:r>
          </w:p>
        </w:tc>
      </w:tr>
      <w:tr>
        <w:trPr>
          <w:trHeight w:val="249"/>
        </w:trPr>
        <w:tc>
          <w:tcPr>
            <w:tcW w:w="7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short term investments</w:t>
            </w:r>
          </w:p>
        </w:tc>
        <w:tc>
          <w:tcPr>
            <w:tcW w:w="3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(220,037 )</w:t>
            </w:r>
          </w:p>
        </w:tc>
        <w:tc>
          <w:tcPr>
            <w:tcW w:w="5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7820" w:type="dxa"/>
            <w:vAlign w:val="bottom"/>
          </w:tcPr>
          <w:p>
            <w:pPr>
              <w:ind w:left="200"/>
              <w:spacing w:after="0"/>
              <w:rPr>
                <w:sz w:val="20"/>
                <w:szCs w:val="20"/>
                <w:color w:val="auto"/>
              </w:rPr>
            </w:pPr>
            <w:r>
              <w:rPr>
                <w:rFonts w:ascii="Arial" w:cs="Arial" w:eastAsia="Arial" w:hAnsi="Arial"/>
                <w:sz w:val="18"/>
                <w:szCs w:val="18"/>
                <w:color w:val="auto"/>
              </w:rPr>
              <w:t>Maturities of investments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100,000</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36"/>
        </w:trPr>
        <w:tc>
          <w:tcPr>
            <w:tcW w:w="78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(120,602</w:t>
            </w:r>
          </w:p>
        </w:tc>
        <w:tc>
          <w:tcPr>
            <w:tcW w:w="3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9"/>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1"/>
        </w:trPr>
        <w:tc>
          <w:tcPr>
            <w:tcW w:w="7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Proceeds from employee stock purchase plan and exercise of stock options</w:t>
            </w: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32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7820" w:type="dxa"/>
            <w:vAlign w:val="bottom"/>
          </w:tcPr>
          <w:p>
            <w:pPr>
              <w:ind w:left="56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3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40" w:type="dxa"/>
            <w:vAlign w:val="bottom"/>
          </w:tcPr>
          <w:p>
            <w:pPr>
              <w:spacing w:after="0"/>
              <w:rPr>
                <w:sz w:val="20"/>
                <w:szCs w:val="20"/>
                <w:color w:val="auto"/>
              </w:rPr>
            </w:pPr>
          </w:p>
        </w:tc>
      </w:tr>
      <w:tr>
        <w:trPr>
          <w:trHeight w:val="243"/>
        </w:trPr>
        <w:tc>
          <w:tcPr>
            <w:tcW w:w="7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(136,114</w:t>
            </w:r>
          </w:p>
        </w:tc>
        <w:tc>
          <w:tcPr>
            <w:tcW w:w="320" w:type="dxa"/>
            <w:vAlign w:val="bottom"/>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5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(76,240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194,567</w:t>
            </w:r>
          </w:p>
        </w:tc>
        <w:tc>
          <w:tcPr>
            <w:tcW w:w="3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206,447</w:t>
            </w:r>
          </w:p>
        </w:tc>
        <w:tc>
          <w:tcPr>
            <w:tcW w:w="140" w:type="dxa"/>
            <w:vAlign w:val="bottom"/>
          </w:tcPr>
          <w:p>
            <w:pPr>
              <w:spacing w:after="0"/>
              <w:rPr>
                <w:sz w:val="20"/>
                <w:szCs w:val="20"/>
                <w:color w:val="auto"/>
              </w:rPr>
            </w:pPr>
          </w:p>
        </w:tc>
      </w:tr>
      <w:tr>
        <w:trPr>
          <w:trHeight w:val="277"/>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58,453</w:t>
            </w:r>
          </w:p>
        </w:tc>
        <w:tc>
          <w:tcPr>
            <w:tcW w:w="32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130,207</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-1936750</wp:posOffset>
            </wp:positionV>
            <wp:extent cx="8572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-1936750</wp:posOffset>
            </wp:positionV>
            <wp:extent cx="8572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-985520</wp:posOffset>
            </wp:positionV>
            <wp:extent cx="85725"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-985520</wp:posOffset>
            </wp:positionV>
            <wp:extent cx="85725"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-668020</wp:posOffset>
            </wp:positionV>
            <wp:extent cx="8572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-668020</wp:posOffset>
            </wp:positionV>
            <wp:extent cx="8572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85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85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CytomX Therapeutics, Inc. (the “Company”) is a clinical-stage, oncology-focused biopharmaceutical company dedicated to destroying cancer differently. The Company aims to build a commercial enterprise to maximize its impact on the treatment of cancer. The Company is advancing potential first-in-class and best-in-class antibody-based therapeutics created using its Probody® therapeutic technology platform that could meaningfully improve outcomes for cancer patients. Its proprietary and unique Probody technology platform is designed to enable “conditional activation” of antibody-based drugs in the tumor microenvironment while minimizing drug activity in healthy tissues and in circulation. The Company is located in South San Francisco, California and was incorporated in the state of Delaware in September 2010.</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accompanying interim condensed financial statements have been prepared in conformity with accounting principles generally accepted in the United States of America (“U.S. GAAP”) and applicable rules and regulations of the U.S. Securities and Exchange Commission (“SEC”) regarding interim financial reporting.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The accompanying interim condensed financial statements and related disclosures are unaudited, have been prepared on the same basis as the annual financial statements and, in the opinion of management, reflect all adjustments, which include only normal recurring adjustments, necessary for a fair statement of the results of operations for the periods presented.</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condensed results of operations for the three months and six months ended June 30, 2023 are not necessarily indicative of the results to be expected for the full year or for any other future year or interim period. The accompanying condensed financial statements should be read in conjunction with the audited financial statements and the related notes thereto included in the Company’s Annual Report on Form 10-K for the year ended December 31, 2022 filed with the SEC.</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preparation of the financial statements in conformity with U.S. GAAP requires management to make estimates and assumptions that affect the reported amounts of assets and liabilities, disclosure of contingent liabilities at the date of the financial statements and reported amounts of revenues and expenses during the reporting periods. Actual results could differ from those estimates.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at the date of purchase to be cash equivalents. Restricted cash represents a standby letter of credit issued pursuant to an office lease.</w:t>
      </w:r>
    </w:p>
    <w:p>
      <w:pPr>
        <w:spacing w:after="0" w:line="1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balance sheets that sum to the total of the amounts shown in the statements of cash flows: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June 30, 2023</w:t>
            </w:r>
          </w:p>
        </w:tc>
        <w:tc>
          <w:tcPr>
            <w:tcW w:w="320" w:type="dxa"/>
            <w:vAlign w:val="bottom"/>
          </w:tcPr>
          <w:p>
            <w:pPr>
              <w:spacing w:after="0"/>
              <w:rPr>
                <w:sz w:val="14"/>
                <w:szCs w:val="14"/>
                <w:color w:val="auto"/>
              </w:rPr>
            </w:pPr>
          </w:p>
        </w:tc>
        <w:tc>
          <w:tcPr>
            <w:tcW w:w="104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w w:val="98"/>
              </w:rPr>
              <w:t>December 31,</w:t>
            </w:r>
          </w:p>
        </w:tc>
        <w:tc>
          <w:tcPr>
            <w:tcW w:w="320" w:type="dxa"/>
            <w:vAlign w:val="bottom"/>
          </w:tcPr>
          <w:p>
            <w:pPr>
              <w:spacing w:after="0"/>
              <w:rPr>
                <w:sz w:val="14"/>
                <w:szCs w:val="14"/>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June 30, 2022</w:t>
            </w:r>
          </w:p>
        </w:tc>
        <w:tc>
          <w:tcPr>
            <w:tcW w:w="320" w:type="dxa"/>
            <w:vAlign w:val="bottom"/>
          </w:tcPr>
          <w:p>
            <w:pPr>
              <w:spacing w:after="0"/>
              <w:rPr>
                <w:sz w:val="14"/>
                <w:szCs w:val="14"/>
                <w:color w:val="auto"/>
              </w:rPr>
            </w:pPr>
          </w:p>
        </w:tc>
        <w:tc>
          <w:tcPr>
            <w:tcW w:w="104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w w:val="98"/>
              </w:rPr>
              <w:t>December 31,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280" w:type="dxa"/>
            <w:vAlign w:val="bottom"/>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ind w:left="580"/>
              <w:spacing w:after="0"/>
              <w:rPr>
                <w:sz w:val="20"/>
                <w:szCs w:val="20"/>
                <w:color w:val="auto"/>
              </w:rPr>
            </w:pPr>
            <w:r>
              <w:rPr>
                <w:rFonts w:ascii="Arial" w:cs="Arial" w:eastAsia="Arial" w:hAnsi="Arial"/>
                <w:sz w:val="13"/>
                <w:szCs w:val="13"/>
                <w:b w:val="1"/>
                <w:bCs w:val="1"/>
                <w:color w:val="auto"/>
                <w:w w:val="87"/>
              </w:rPr>
              <w:t>(in thousands)</w:t>
            </w: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57,536</w:t>
            </w:r>
          </w:p>
        </w:tc>
        <w:tc>
          <w:tcPr>
            <w:tcW w:w="56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193,650</w:t>
            </w:r>
          </w:p>
        </w:tc>
        <w:tc>
          <w:tcPr>
            <w:tcW w:w="58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129,290</w:t>
            </w:r>
          </w:p>
        </w:tc>
        <w:tc>
          <w:tcPr>
            <w:tcW w:w="56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205,530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80" w:type="dxa"/>
            <w:vAlign w:val="bottom"/>
          </w:tcPr>
          <w:p>
            <w:pPr>
              <w:ind w:left="20"/>
              <w:spacing w:after="0"/>
              <w:rPr>
                <w:sz w:val="20"/>
                <w:szCs w:val="20"/>
                <w:color w:val="auto"/>
              </w:rPr>
            </w:pPr>
            <w:r>
              <w:rPr>
                <w:rFonts w:ascii="Arial" w:cs="Arial" w:eastAsia="Arial" w:hAnsi="Arial"/>
                <w:sz w:val="18"/>
                <w:szCs w:val="18"/>
                <w:color w:val="auto"/>
              </w:rPr>
              <w:t>Restricted cash - non-current assets</w:t>
            </w: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58,453</w:t>
            </w:r>
          </w:p>
        </w:tc>
        <w:tc>
          <w:tcPr>
            <w:tcW w:w="3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194,567</w:t>
            </w:r>
          </w:p>
        </w:tc>
        <w:tc>
          <w:tcPr>
            <w:tcW w:w="3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130,207</w:t>
            </w:r>
          </w:p>
        </w:tc>
        <w:tc>
          <w:tcPr>
            <w:tcW w:w="3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206,447</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-24765</wp:posOffset>
            </wp:positionV>
            <wp:extent cx="857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-8255</wp:posOffset>
            </wp:positionV>
            <wp:extent cx="857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85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857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85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857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revenues are primarily derived through its license, research, development and commercialization agreements. The terms of these types of agreements may include (i) licenses for the Company’s technology or programs, (ii) research and development services, and (iii) services or obligations in connection with participation in research or steering committees. Payments to the Company under these arrangements typically include one or more of the following: nonrefundable upfront and license fees, research funding, milestone and other contingent payments to the Company for the achievement of defined collaboration objectives and certain preclinical, clinical, regulatory and sales-based events, as well as royalties on sales of any commercialized products.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00" w:lineRule="exact"/>
        <w:rPr>
          <w:sz w:val="20"/>
          <w:szCs w:val="20"/>
          <w:color w:val="auto"/>
        </w:rPr>
      </w:pPr>
    </w:p>
    <w:p>
      <w:pPr>
        <w:spacing w:after="0" w:line="254"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Company assesses whether the promises in its arrangements with customers are distinct performance obligations that should be accounted for separately. Judgment is required to determine whether the license to the Company’s intellectual property is distinct from the research and development services or participation on steering committees.</w:t>
      </w:r>
    </w:p>
    <w:p>
      <w:pPr>
        <w:spacing w:after="0" w:line="21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Company’s collaboration and license agreements may include contingent payments related to specified research, development and regulatory milestones. Such milestone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or upon receipt of actual marketing approvals of a covered product or for additional indications. Milestone payments that are not within the control of the Company or the licensee, such as regulatory approvals, are not considered probable of being achieved until those approvals are received. At each reporting date, the Company re-evaluates whether the milestones are considered probable of being achieved and estimates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20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Company’s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instead, they are included when the sales or usage occur.</w:t>
      </w:r>
    </w:p>
    <w:p>
      <w:pPr>
        <w:spacing w:after="0" w:line="215"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Due to the early stage of the Company’s licensed technology, the license of such technology is typically combined with research and development services and steering committee participation as one performance obligation. Under the collaboration and license agreements, each collaboration target or program is generally considered to be a separate combined performance obligation. The transaction price in each arrangement is allocated to the identified performance obligations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Variable consideration is allocated to certain performance obligations if it is triggered by the Company’s efforts to satisfy or a specific outcome from satisfying these performance obligations. In the event that the Company receives non-cash consideration such as consideration in the form of a research license and research support services from the counterparty, the transaction price of a non-monetary exchange that has commercial substance is estimated based on the fair value of the non-cash consideration received, which may be determined through a valuation analysis. The Company recognizes revenue from upfront payments over the estimated period of performance under the agreement using an input method for the performance obligation. In applying the input method of revenue recognition, the Company uses actual full-time equivalent (FTE) hours incurred relative to estimated total FTE hours expected to be incurred for each combined performance obligation over the estimated research service period of each collaboration target.</w:t>
      </w:r>
    </w:p>
    <w:p>
      <w:pPr>
        <w:spacing w:after="0" w:line="21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certain cases, the Company’s performance creates an asset that does not have an alternative use to the customer and the Company has an enforceable right to payment at all times for performance completed to date. In these cases,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2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Any consideration payable to the Company’s customers is treated as a reduction to the transaction price and revenue, unless the payment to the customer is in exchange for distinct good and services.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Customer payments are recorded as deferred revenue upon receipt or when due and may require deferral of revenue recognition to a future period until the Company satisfies its performance obligations under these arrangements. Amounts payable to the Company are recorded as accounts receivable when the Company’s right to consideration is unconditional.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Company determines if an arrangement is or contains a lease at inception. Operating leases are recorded as operating lease right-of-use (“ROU”) assets and operating lease liabilities in the Company’s balance sheet. ROU assets represent the Company’s right to use an underlying asset for the lease term and lease liabilities represent its obligation to make lease payments arising from the lease. Operating lease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31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ROU assets and liabilities are recognized at commencement date based on the present value of lease payments over the lease term. The Company uses an implicit rate when readily available, or its incremental borrowing rate based on the information available at lease commencement date in determining the present value of lease payments. The operating lease ROU assets also include any lease prepayments made and reduced by lease incentives. The Company’s lease terms may include options to extend the lease when it is reasonably certain that such option will be exercised. Lease expenses are recognized on a straight-line basis over the lease term. The Company elected the short-term lease recognition exemption. The Company’s operating lease arrangement includes lease and non-lease components which are generally accounted for separately. The Company recognizes sublease income on a straight-line basis over the sublease term and records sublease income on a net basis against rent expense.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12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Basic net loss per share is calculated by dividing the net loss by the weighted-average number of shares of common stock outstanding for the period. Diluted net loss per share is calculated using the weighted-average number of common shares outstanding, plus potential dilutive common stock during the period. Diluted net loss per share is the same as basic net loss per share since the effect of the potentially dilutive securities is anti-dilutive.</w:t>
      </w:r>
    </w:p>
    <w:p>
      <w:pPr>
        <w:spacing w:after="0" w:line="1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weighted-average outstanding shares of potentially dilutive securities are excluded from the computation of diluted net loss per share for the periods presented, because including them would have been anti-dilutive: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80" w:type="dxa"/>
            <w:vAlign w:val="bottom"/>
          </w:tcPr>
          <w:p>
            <w:pPr>
              <w:spacing w:after="0"/>
              <w:rPr>
                <w:sz w:val="15"/>
                <w:szCs w:val="15"/>
                <w:color w:val="auto"/>
              </w:rPr>
            </w:pP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5"/>
                <w:szCs w:val="15"/>
                <w:color w:val="auto"/>
              </w:rPr>
            </w:pPr>
          </w:p>
        </w:tc>
        <w:tc>
          <w:tcPr>
            <w:tcW w:w="2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140" w:type="dxa"/>
            <w:vAlign w:val="bottom"/>
          </w:tcPr>
          <w:p>
            <w:pPr>
              <w:spacing w:after="0"/>
              <w:rPr>
                <w:sz w:val="15"/>
                <w:szCs w:val="15"/>
                <w:color w:val="auto"/>
              </w:rPr>
            </w:pPr>
          </w:p>
        </w:tc>
      </w:tr>
      <w:tr>
        <w:trPr>
          <w:trHeight w:val="185"/>
        </w:trPr>
        <w:tc>
          <w:tcPr>
            <w:tcW w:w="5580" w:type="dxa"/>
            <w:vAlign w:val="bottom"/>
          </w:tcPr>
          <w:p>
            <w:pPr>
              <w:spacing w:after="0"/>
              <w:rPr>
                <w:sz w:val="16"/>
                <w:szCs w:val="16"/>
                <w:color w:val="auto"/>
              </w:rPr>
            </w:pPr>
          </w:p>
        </w:tc>
        <w:tc>
          <w:tcPr>
            <w:tcW w:w="1680" w:type="dxa"/>
            <w:vAlign w:val="bottom"/>
            <w:tcBorders>
              <w:bottom w:val="single" w:sz="8" w:color="auto"/>
            </w:tcBorders>
            <w:gridSpan w:val="3"/>
          </w:tcPr>
          <w:p>
            <w:pPr>
              <w:jc w:val="center"/>
              <w:ind w:left="839"/>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Borders>
              <w:bottom w:val="single" w:sz="8" w:color="auto"/>
            </w:tcBorders>
            <w:gridSpan w:val="3"/>
          </w:tcPr>
          <w:p>
            <w:pPr>
              <w:jc w:val="center"/>
              <w:ind w:left="861"/>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5580" w:type="dxa"/>
            <w:vAlign w:val="bottom"/>
          </w:tcPr>
          <w:p>
            <w:pPr>
              <w:spacing w:after="0"/>
              <w:rPr>
                <w:sz w:val="14"/>
                <w:szCs w:val="14"/>
                <w:color w:val="auto"/>
              </w:rPr>
            </w:pP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11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and ESPP to purchase common stock</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14,091,647</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14,288,092</w:t>
            </w: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14,039,714</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14,023,590</w:t>
            </w:r>
          </w:p>
        </w:tc>
        <w:tc>
          <w:tcPr>
            <w:tcW w:w="140" w:type="dxa"/>
            <w:vAlign w:val="bottom"/>
            <w:shd w:val="clear" w:color="auto" w:fill="CFF0FC"/>
          </w:tcPr>
          <w:p>
            <w:pPr>
              <w:spacing w:after="0"/>
              <w:rPr>
                <w:sz w:val="20"/>
                <w:szCs w:val="20"/>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TRSUs</w:t>
            </w:r>
          </w:p>
        </w:tc>
        <w:tc>
          <w:tcPr>
            <w:tcW w:w="1160" w:type="dxa"/>
            <w:vAlign w:val="bottom"/>
          </w:tcPr>
          <w:p>
            <w:pPr>
              <w:jc w:val="right"/>
              <w:spacing w:after="0"/>
              <w:rPr>
                <w:sz w:val="20"/>
                <w:szCs w:val="20"/>
                <w:color w:val="auto"/>
              </w:rPr>
            </w:pPr>
            <w:r>
              <w:rPr>
                <w:rFonts w:ascii="Arial" w:cs="Arial" w:eastAsia="Arial" w:hAnsi="Arial"/>
                <w:sz w:val="18"/>
                <w:szCs w:val="18"/>
                <w:color w:val="auto"/>
              </w:rPr>
              <w:t>1,594,493</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938,728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1,566,926</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864,762</w:t>
            </w:r>
          </w:p>
        </w:tc>
        <w:tc>
          <w:tcPr>
            <w:tcW w:w="140" w:type="dxa"/>
            <w:vAlign w:val="bottom"/>
          </w:tcPr>
          <w:p>
            <w:pPr>
              <w:spacing w:after="0"/>
              <w:rPr>
                <w:sz w:val="21"/>
                <w:szCs w:val="21"/>
                <w:color w:val="auto"/>
              </w:rPr>
            </w:pPr>
          </w:p>
        </w:tc>
      </w:tr>
      <w:tr>
        <w:trPr>
          <w:trHeight w:val="270"/>
        </w:trPr>
        <w:tc>
          <w:tcPr>
            <w:tcW w:w="5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15,686,140</w:t>
            </w:r>
          </w:p>
        </w:tc>
        <w:tc>
          <w:tcPr>
            <w:tcW w:w="2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spacing w:after="0"/>
              <w:rPr>
                <w:sz w:val="23"/>
                <w:szCs w:val="23"/>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15,226,820</w:t>
            </w:r>
          </w:p>
        </w:tc>
        <w:tc>
          <w:tcPr>
            <w:tcW w:w="28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15,606,640</w:t>
            </w:r>
          </w:p>
        </w:tc>
        <w:tc>
          <w:tcPr>
            <w:tcW w:w="26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top w:val="single" w:sz="8" w:color="auto"/>
              <w:bottom w:val="single" w:sz="8" w:color="auto"/>
            </w:tcBorders>
            <w:shd w:val="clear" w:color="auto" w:fill="CFF0FC"/>
          </w:tcPr>
          <w:p>
            <w:pPr>
              <w:spacing w:after="0"/>
              <w:rPr>
                <w:sz w:val="23"/>
                <w:szCs w:val="23"/>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14,888,352</w:t>
            </w:r>
          </w:p>
        </w:tc>
        <w:tc>
          <w:tcPr>
            <w:tcW w:w="14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-25400</wp:posOffset>
            </wp:positionV>
            <wp:extent cx="85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85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-25400</wp:posOffset>
            </wp:positionV>
            <wp:extent cx="85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857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857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857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 and Investments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accordance with Accounting Standards Codification (“ASC”) 820-10, Fair Value Measurements and Disclosures, the Company determines the fair value of financial and non-financial assets and liabilities using the fair value hierarchy, which establishes three levels of inputs that may be used to measure fair value, as follows:</w:t>
      </w:r>
    </w:p>
    <w:p>
      <w:pPr>
        <w:spacing w:after="0" w:line="76" w:lineRule="exact"/>
        <w:rPr>
          <w:sz w:val="20"/>
          <w:szCs w:val="20"/>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117" w:lineRule="exact"/>
        <w:rPr>
          <w:rFonts w:ascii="Arial" w:cs="Arial" w:eastAsia="Arial" w:hAnsi="Arial"/>
          <w:sz w:val="18"/>
          <w:szCs w:val="18"/>
          <w:color w:val="auto"/>
        </w:rPr>
      </w:pPr>
    </w:p>
    <w:p>
      <w:pPr>
        <w:ind w:left="1020" w:right="500" w:hanging="503"/>
        <w:spacing w:after="0" w:line="26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5" w:lineRule="exact"/>
        <w:rPr>
          <w:rFonts w:ascii="Arial" w:cs="Arial" w:eastAsia="Arial" w:hAnsi="Arial"/>
          <w:sz w:val="18"/>
          <w:szCs w:val="18"/>
          <w:color w:val="auto"/>
        </w:rPr>
      </w:pPr>
    </w:p>
    <w:p>
      <w:pPr>
        <w:ind w:left="1020" w:right="54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and that are significant to the fair value of the assets or liabilities.</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carrying amounts of the Company’s financial instruments, including restricted cash, accounts receivable, accounts payable and accrued liabilities approximate fair value due to their relatively short maturities. The Company’s financial instruments consist of Level I assets which consist primarily of highly liquid money market funds, some of which are included in restricted cash and U.S. Treasury securities that are included in cash equivalents or short-term investments.</w:t>
      </w:r>
    </w:p>
    <w:p>
      <w:pPr>
        <w:spacing w:after="0" w:line="22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tables set forth the fair value of the Company’s investments subject to fair value measurements on a recurring basis and the level of inputs used in such measurements:</w:t>
      </w:r>
    </w:p>
    <w:p>
      <w:pPr>
        <w:spacing w:after="0" w:line="202" w:lineRule="exact"/>
        <w:rPr>
          <w:sz w:val="20"/>
          <w:szCs w:val="20"/>
          <w:color w:val="auto"/>
        </w:rPr>
      </w:pPr>
    </w:p>
    <w:tbl>
      <w:tblPr>
        <w:tblLayout w:type="fixed"/>
        <w:tblInd w:w="4380" w:type="dxa"/>
        <w:tblCellMar>
          <w:top w:w="0" w:type="dxa"/>
          <w:left w:w="0" w:type="dxa"/>
          <w:bottom w:w="0" w:type="dxa"/>
          <w:right w:w="0" w:type="dxa"/>
        </w:tblCellMar>
      </w:tblPr>
      <w:tr>
        <w:trPr>
          <w:trHeight w:val="185"/>
        </w:trPr>
        <w:tc>
          <w:tcPr>
            <w:tcW w:w="10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2"/>
          </w:tcPr>
          <w:p>
            <w:pPr>
              <w:ind w:left="1080"/>
              <w:spacing w:after="0"/>
              <w:rPr>
                <w:sz w:val="20"/>
                <w:szCs w:val="20"/>
                <w:color w:val="auto"/>
              </w:rPr>
            </w:pPr>
            <w:r>
              <w:rPr>
                <w:rFonts w:ascii="Arial" w:cs="Arial" w:eastAsia="Arial" w:hAnsi="Arial"/>
                <w:sz w:val="14"/>
                <w:szCs w:val="14"/>
                <w:b w:val="1"/>
                <w:bCs w:val="1"/>
                <w:color w:val="auto"/>
              </w:rPr>
              <w:t>June 30, 2023</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Valuation</w:t>
            </w:r>
          </w:p>
        </w:tc>
        <w:tc>
          <w:tcPr>
            <w:tcW w:w="13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3"/>
              </w:rPr>
              <w:t>Amortized</w:t>
            </w:r>
          </w:p>
        </w:tc>
        <w:tc>
          <w:tcPr>
            <w:tcW w:w="15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Gross</w:t>
            </w:r>
          </w:p>
        </w:tc>
        <w:tc>
          <w:tcPr>
            <w:tcW w:w="15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3"/>
              </w:rPr>
              <w:t>Gross</w:t>
            </w:r>
          </w:p>
        </w:tc>
        <w:tc>
          <w:tcPr>
            <w:tcW w:w="13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40" w:type="dxa"/>
            <w:vAlign w:val="bottom"/>
          </w:tcPr>
          <w:p>
            <w:pPr>
              <w:spacing w:after="0"/>
              <w:rPr>
                <w:sz w:val="20"/>
                <w:szCs w:val="20"/>
                <w:color w:val="auto"/>
              </w:rPr>
            </w:pPr>
            <w:r>
              <w:rPr>
                <w:rFonts w:ascii="Arial" w:cs="Arial" w:eastAsia="Arial" w:hAnsi="Arial"/>
                <w:sz w:val="14"/>
                <w:szCs w:val="14"/>
                <w:b w:val="1"/>
                <w:bCs w:val="1"/>
                <w:color w:val="auto"/>
              </w:rPr>
              <w:t>Hierarchy</w:t>
            </w:r>
          </w:p>
        </w:tc>
        <w:tc>
          <w:tcPr>
            <w:tcW w:w="134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Cost</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Gains</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78"/>
              </w:rPr>
              <w:t>Losses</w:t>
            </w:r>
          </w:p>
        </w:tc>
        <w:tc>
          <w:tcPr>
            <w:tcW w:w="1340" w:type="dxa"/>
            <w:vAlign w:val="bottom"/>
          </w:tcPr>
          <w:p>
            <w:pPr>
              <w:ind w:left="4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-635</wp:posOffset>
            </wp:positionV>
            <wp:extent cx="44323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432300" cy="8255"/>
                    </a:xfrm>
                    <a:prstGeom prst="rect">
                      <a:avLst/>
                    </a:prstGeom>
                    <a:noFill/>
                  </pic:spPr>
                </pic:pic>
              </a:graphicData>
            </a:graphic>
          </wp:anchor>
        </w:drawing>
      </w:r>
    </w:p>
    <w:p>
      <w:pPr>
        <w:ind w:left="78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4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780" w:type="dxa"/>
            <w:vAlign w:val="bottom"/>
          </w:tcPr>
          <w:p>
            <w:pPr>
              <w:ind w:left="800"/>
              <w:spacing w:after="0"/>
              <w:rPr>
                <w:sz w:val="20"/>
                <w:szCs w:val="20"/>
                <w:color w:val="auto"/>
              </w:rPr>
            </w:pPr>
            <w:r>
              <w:rPr>
                <w:rFonts w:ascii="Arial" w:cs="Arial" w:eastAsia="Arial" w:hAnsi="Arial"/>
                <w:sz w:val="18"/>
                <w:szCs w:val="18"/>
                <w:color w:val="auto"/>
              </w:rPr>
              <w:t>Level I</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33,435</w:t>
            </w:r>
          </w:p>
        </w:tc>
        <w:tc>
          <w:tcPr>
            <w:tcW w:w="8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8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33,435</w:t>
            </w:r>
          </w:p>
        </w:tc>
        <w:tc>
          <w:tcPr>
            <w:tcW w:w="140" w:type="dxa"/>
            <w:vAlign w:val="bottom"/>
          </w:tcPr>
          <w:p>
            <w:pPr>
              <w:spacing w:after="0"/>
              <w:rPr>
                <w:sz w:val="20"/>
                <w:szCs w:val="20"/>
                <w:color w:val="auto"/>
              </w:rPr>
            </w:pPr>
          </w:p>
        </w:tc>
      </w:tr>
      <w:tr>
        <w:trPr>
          <w:trHeight w:val="250"/>
        </w:trPr>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Restricted cash (money market funds)</w:t>
            </w:r>
          </w:p>
        </w:tc>
        <w:tc>
          <w:tcPr>
            <w:tcW w:w="1780" w:type="dxa"/>
            <w:vAlign w:val="bottom"/>
            <w:shd w:val="clear" w:color="auto" w:fill="CFF0FC"/>
          </w:tcPr>
          <w:p>
            <w:pPr>
              <w:ind w:left="800"/>
              <w:spacing w:after="0"/>
              <w:rPr>
                <w:sz w:val="20"/>
                <w:szCs w:val="20"/>
                <w:color w:val="auto"/>
              </w:rPr>
            </w:pPr>
            <w:r>
              <w:rPr>
                <w:rFonts w:ascii="Arial" w:cs="Arial" w:eastAsia="Arial" w:hAnsi="Arial"/>
                <w:sz w:val="18"/>
                <w:szCs w:val="18"/>
                <w:color w:val="auto"/>
              </w:rPr>
              <w:t>Level I</w:t>
            </w:r>
          </w:p>
        </w:tc>
        <w:tc>
          <w:tcPr>
            <w:tcW w:w="3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40" w:type="dxa"/>
            <w:vAlign w:val="bottom"/>
            <w:shd w:val="clear" w:color="auto" w:fill="CFF0FC"/>
          </w:tcPr>
          <w:p>
            <w:pPr>
              <w:spacing w:after="0"/>
              <w:rPr>
                <w:sz w:val="21"/>
                <w:szCs w:val="21"/>
                <w:color w:val="auto"/>
              </w:rPr>
            </w:pPr>
          </w:p>
        </w:tc>
      </w:tr>
      <w:tr>
        <w:trPr>
          <w:trHeight w:val="237"/>
        </w:trPr>
        <w:tc>
          <w:tcPr>
            <w:tcW w:w="3640" w:type="dxa"/>
            <w:vAlign w:val="bottom"/>
          </w:tcPr>
          <w:p>
            <w:pPr>
              <w:ind w:left="120"/>
              <w:spacing w:after="0"/>
              <w:rPr>
                <w:sz w:val="20"/>
                <w:szCs w:val="20"/>
                <w:color w:val="auto"/>
              </w:rPr>
            </w:pPr>
            <w:r>
              <w:rPr>
                <w:rFonts w:ascii="Arial" w:cs="Arial" w:eastAsia="Arial" w:hAnsi="Arial"/>
                <w:sz w:val="18"/>
                <w:szCs w:val="18"/>
                <w:color w:val="auto"/>
              </w:rPr>
              <w:t>U.S. Treasury Securities</w:t>
            </w:r>
          </w:p>
        </w:tc>
        <w:tc>
          <w:tcPr>
            <w:tcW w:w="1780" w:type="dxa"/>
            <w:vAlign w:val="bottom"/>
          </w:tcPr>
          <w:p>
            <w:pPr>
              <w:ind w:left="800"/>
              <w:spacing w:after="0"/>
              <w:rPr>
                <w:sz w:val="20"/>
                <w:szCs w:val="20"/>
                <w:color w:val="auto"/>
              </w:rPr>
            </w:pPr>
            <w:r>
              <w:rPr>
                <w:rFonts w:ascii="Arial" w:cs="Arial" w:eastAsia="Arial" w:hAnsi="Arial"/>
                <w:sz w:val="18"/>
                <w:szCs w:val="18"/>
                <w:color w:val="auto"/>
              </w:rPr>
              <w:t>Level I</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147,975</w:t>
            </w:r>
          </w:p>
        </w:tc>
        <w:tc>
          <w:tcPr>
            <w:tcW w:w="3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79"/>
              </w:rPr>
              <w:t>35</w:t>
            </w:r>
          </w:p>
        </w:tc>
        <w:tc>
          <w:tcPr>
            <w:tcW w:w="3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148,010</w:t>
            </w:r>
          </w:p>
        </w:tc>
        <w:tc>
          <w:tcPr>
            <w:tcW w:w="140" w:type="dxa"/>
            <w:vAlign w:val="bottom"/>
          </w:tcPr>
          <w:p>
            <w:pPr>
              <w:spacing w:after="0"/>
              <w:rPr>
                <w:sz w:val="20"/>
                <w:szCs w:val="20"/>
                <w:color w:val="auto"/>
              </w:rPr>
            </w:pPr>
          </w:p>
        </w:tc>
      </w:tr>
      <w:tr>
        <w:trPr>
          <w:trHeight w:val="277"/>
        </w:trPr>
        <w:tc>
          <w:tcPr>
            <w:tcW w:w="3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182,327</w:t>
            </w:r>
          </w:p>
        </w:tc>
        <w:tc>
          <w:tcPr>
            <w:tcW w:w="30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ind w:left="460"/>
              <w:spacing w:after="0"/>
              <w:rPr>
                <w:sz w:val="20"/>
                <w:szCs w:val="20"/>
                <w:color w:val="auto"/>
              </w:rPr>
            </w:pPr>
            <w:r>
              <w:rPr>
                <w:rFonts w:ascii="Arial" w:cs="Arial" w:eastAsia="Arial" w:hAnsi="Arial"/>
                <w:sz w:val="18"/>
                <w:szCs w:val="18"/>
                <w:color w:val="auto"/>
                <w:w w:val="79"/>
              </w:rPr>
              <w:t>35</w:t>
            </w:r>
          </w:p>
        </w:tc>
        <w:tc>
          <w:tcPr>
            <w:tcW w:w="30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182,362</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-24765</wp:posOffset>
            </wp:positionV>
            <wp:extent cx="857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-8255</wp:posOffset>
            </wp:positionV>
            <wp:extent cx="857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857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857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857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857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00" w:lineRule="exact"/>
        <w:rPr>
          <w:sz w:val="20"/>
          <w:szCs w:val="20"/>
          <w:color w:val="auto"/>
        </w:rPr>
      </w:pPr>
    </w:p>
    <w:p>
      <w:pPr>
        <w:spacing w:after="0" w:line="340" w:lineRule="exact"/>
        <w:rPr>
          <w:sz w:val="20"/>
          <w:szCs w:val="20"/>
          <w:color w:val="auto"/>
        </w:rPr>
      </w:pPr>
    </w:p>
    <w:tbl>
      <w:tblPr>
        <w:tblLayout w:type="fixed"/>
        <w:tblInd w:w="4380" w:type="dxa"/>
        <w:tblCellMar>
          <w:top w:w="0" w:type="dxa"/>
          <w:left w:w="0" w:type="dxa"/>
          <w:bottom w:w="0" w:type="dxa"/>
          <w:right w:w="0" w:type="dxa"/>
        </w:tblCellMar>
      </w:tblPr>
      <w:tr>
        <w:trPr>
          <w:trHeight w:val="185"/>
        </w:trPr>
        <w:tc>
          <w:tcPr>
            <w:tcW w:w="10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rPr>
              <w:t>December 31, 2022</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Valuation</w:t>
            </w:r>
          </w:p>
        </w:tc>
        <w:tc>
          <w:tcPr>
            <w:tcW w:w="13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3"/>
              </w:rPr>
              <w:t>Amortized</w:t>
            </w:r>
          </w:p>
        </w:tc>
        <w:tc>
          <w:tcPr>
            <w:tcW w:w="15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Gross</w:t>
            </w:r>
          </w:p>
        </w:tc>
        <w:tc>
          <w:tcPr>
            <w:tcW w:w="15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3"/>
              </w:rPr>
              <w:t>Gross</w:t>
            </w:r>
          </w:p>
        </w:tc>
        <w:tc>
          <w:tcPr>
            <w:tcW w:w="13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40" w:type="dxa"/>
            <w:vAlign w:val="bottom"/>
          </w:tcPr>
          <w:p>
            <w:pPr>
              <w:spacing w:after="0"/>
              <w:rPr>
                <w:sz w:val="20"/>
                <w:szCs w:val="20"/>
                <w:color w:val="auto"/>
              </w:rPr>
            </w:pPr>
            <w:r>
              <w:rPr>
                <w:rFonts w:ascii="Arial" w:cs="Arial" w:eastAsia="Arial" w:hAnsi="Arial"/>
                <w:sz w:val="14"/>
                <w:szCs w:val="14"/>
                <w:b w:val="1"/>
                <w:bCs w:val="1"/>
                <w:color w:val="auto"/>
              </w:rPr>
              <w:t>Hierarchy</w:t>
            </w:r>
          </w:p>
        </w:tc>
        <w:tc>
          <w:tcPr>
            <w:tcW w:w="134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Cost</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Gains</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78"/>
              </w:rPr>
              <w:t>Losses</w:t>
            </w:r>
          </w:p>
        </w:tc>
        <w:tc>
          <w:tcPr>
            <w:tcW w:w="1340" w:type="dxa"/>
            <w:vAlign w:val="bottom"/>
          </w:tcPr>
          <w:p>
            <w:pPr>
              <w:ind w:left="4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-635</wp:posOffset>
            </wp:positionV>
            <wp:extent cx="44323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432300" cy="8890"/>
                    </a:xfrm>
                    <a:prstGeom prst="rect">
                      <a:avLst/>
                    </a:prstGeom>
                    <a:noFill/>
                  </pic:spPr>
                </pic:pic>
              </a:graphicData>
            </a:graphic>
          </wp:anchor>
        </w:drawing>
      </w:r>
    </w:p>
    <w:p>
      <w:pPr>
        <w:ind w:left="78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4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780" w:type="dxa"/>
            <w:vAlign w:val="bottom"/>
          </w:tcPr>
          <w:p>
            <w:pPr>
              <w:ind w:left="800"/>
              <w:spacing w:after="0"/>
              <w:rPr>
                <w:sz w:val="20"/>
                <w:szCs w:val="20"/>
                <w:color w:val="auto"/>
              </w:rPr>
            </w:pPr>
            <w:r>
              <w:rPr>
                <w:rFonts w:ascii="Arial" w:cs="Arial" w:eastAsia="Arial" w:hAnsi="Arial"/>
                <w:sz w:val="18"/>
                <w:szCs w:val="18"/>
                <w:color w:val="auto"/>
              </w:rPr>
              <w:t>Level I</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64,706</w:t>
            </w:r>
          </w:p>
        </w:tc>
        <w:tc>
          <w:tcPr>
            <w:tcW w:w="8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8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7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64,706</w:t>
            </w:r>
          </w:p>
        </w:tc>
        <w:tc>
          <w:tcPr>
            <w:tcW w:w="140" w:type="dxa"/>
            <w:vAlign w:val="bottom"/>
          </w:tcPr>
          <w:p>
            <w:pPr>
              <w:spacing w:after="0"/>
              <w:rPr>
                <w:sz w:val="20"/>
                <w:szCs w:val="20"/>
                <w:color w:val="auto"/>
              </w:rPr>
            </w:pPr>
          </w:p>
        </w:tc>
      </w:tr>
      <w:tr>
        <w:trPr>
          <w:trHeight w:val="250"/>
        </w:trPr>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Restricted cash (money market funds)</w:t>
            </w:r>
          </w:p>
        </w:tc>
        <w:tc>
          <w:tcPr>
            <w:tcW w:w="1780" w:type="dxa"/>
            <w:vAlign w:val="bottom"/>
            <w:shd w:val="clear" w:color="auto" w:fill="CFF0FC"/>
          </w:tcPr>
          <w:p>
            <w:pPr>
              <w:ind w:left="800"/>
              <w:spacing w:after="0"/>
              <w:rPr>
                <w:sz w:val="20"/>
                <w:szCs w:val="20"/>
                <w:color w:val="auto"/>
              </w:rPr>
            </w:pPr>
            <w:r>
              <w:rPr>
                <w:rFonts w:ascii="Arial" w:cs="Arial" w:eastAsia="Arial" w:hAnsi="Arial"/>
                <w:sz w:val="18"/>
                <w:szCs w:val="18"/>
                <w:color w:val="auto"/>
              </w:rPr>
              <w:t>Level I</w:t>
            </w: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40" w:type="dxa"/>
            <w:vAlign w:val="bottom"/>
            <w:shd w:val="clear" w:color="auto" w:fill="CFF0FC"/>
          </w:tcPr>
          <w:p>
            <w:pPr>
              <w:spacing w:after="0"/>
              <w:rPr>
                <w:sz w:val="21"/>
                <w:szCs w:val="21"/>
                <w:color w:val="auto"/>
              </w:rPr>
            </w:pPr>
          </w:p>
        </w:tc>
      </w:tr>
      <w:tr>
        <w:trPr>
          <w:trHeight w:val="237"/>
        </w:trPr>
        <w:tc>
          <w:tcPr>
            <w:tcW w:w="3640" w:type="dxa"/>
            <w:vAlign w:val="bottom"/>
          </w:tcPr>
          <w:p>
            <w:pPr>
              <w:ind w:left="120"/>
              <w:spacing w:after="0"/>
              <w:rPr>
                <w:sz w:val="20"/>
                <w:szCs w:val="20"/>
                <w:color w:val="auto"/>
              </w:rPr>
            </w:pPr>
            <w:r>
              <w:rPr>
                <w:rFonts w:ascii="Arial" w:cs="Arial" w:eastAsia="Arial" w:hAnsi="Arial"/>
                <w:sz w:val="18"/>
                <w:szCs w:val="18"/>
                <w:color w:val="auto"/>
              </w:rPr>
              <w:t>U.S. Treasury Securities</w:t>
            </w:r>
          </w:p>
        </w:tc>
        <w:tc>
          <w:tcPr>
            <w:tcW w:w="1780" w:type="dxa"/>
            <w:vAlign w:val="bottom"/>
          </w:tcPr>
          <w:p>
            <w:pPr>
              <w:ind w:left="800"/>
              <w:spacing w:after="0"/>
              <w:rPr>
                <w:sz w:val="20"/>
                <w:szCs w:val="20"/>
                <w:color w:val="auto"/>
              </w:rPr>
            </w:pPr>
            <w:r>
              <w:rPr>
                <w:rFonts w:ascii="Arial" w:cs="Arial" w:eastAsia="Arial" w:hAnsi="Arial"/>
                <w:sz w:val="18"/>
                <w:szCs w:val="18"/>
                <w:color w:val="auto"/>
              </w:rPr>
              <w:t>Level I</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29,941</w:t>
            </w:r>
          </w:p>
        </w:tc>
        <w:tc>
          <w:tcPr>
            <w:tcW w:w="3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79"/>
              </w:rPr>
              <w:t>10</w:t>
            </w:r>
          </w:p>
        </w:tc>
        <w:tc>
          <w:tcPr>
            <w:tcW w:w="3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29,951</w:t>
            </w:r>
          </w:p>
        </w:tc>
        <w:tc>
          <w:tcPr>
            <w:tcW w:w="140" w:type="dxa"/>
            <w:vAlign w:val="bottom"/>
          </w:tcPr>
          <w:p>
            <w:pPr>
              <w:spacing w:after="0"/>
              <w:rPr>
                <w:sz w:val="20"/>
                <w:szCs w:val="20"/>
                <w:color w:val="auto"/>
              </w:rPr>
            </w:pPr>
          </w:p>
        </w:tc>
      </w:tr>
      <w:tr>
        <w:trPr>
          <w:trHeight w:val="276"/>
        </w:trPr>
        <w:tc>
          <w:tcPr>
            <w:tcW w:w="3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95,564</w:t>
            </w:r>
          </w:p>
        </w:tc>
        <w:tc>
          <w:tcPr>
            <w:tcW w:w="30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ind w:left="460"/>
              <w:spacing w:after="0"/>
              <w:rPr>
                <w:sz w:val="20"/>
                <w:szCs w:val="20"/>
                <w:color w:val="auto"/>
              </w:rPr>
            </w:pPr>
            <w:r>
              <w:rPr>
                <w:rFonts w:ascii="Arial" w:cs="Arial" w:eastAsia="Arial" w:hAnsi="Arial"/>
                <w:sz w:val="18"/>
                <w:szCs w:val="18"/>
                <w:color w:val="auto"/>
                <w:w w:val="79"/>
              </w:rPr>
              <w:t>10</w:t>
            </w:r>
          </w:p>
        </w:tc>
        <w:tc>
          <w:tcPr>
            <w:tcW w:w="30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95,574</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-25400</wp:posOffset>
            </wp:positionV>
            <wp:extent cx="857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857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-25400</wp:posOffset>
            </wp:positionV>
            <wp:extent cx="857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857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the remaining contractual terms of those investments are less than a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274"/>
              <w:spacing w:after="0"/>
              <w:rPr>
                <w:sz w:val="20"/>
                <w:szCs w:val="20"/>
                <w:color w:val="auto"/>
              </w:rPr>
            </w:pPr>
            <w:r>
              <w:rPr>
                <w:rFonts w:ascii="Arial" w:cs="Arial" w:eastAsia="Arial" w:hAnsi="Arial"/>
                <w:sz w:val="14"/>
                <w:szCs w:val="14"/>
                <w:b w:val="1"/>
                <w:bCs w:val="1"/>
                <w:color w:val="auto"/>
                <w:w w:val="96"/>
              </w:rPr>
              <w:t>December 31,</w:t>
            </w:r>
          </w:p>
        </w:tc>
        <w:tc>
          <w:tcPr>
            <w:tcW w:w="140" w:type="dxa"/>
            <w:vAlign w:val="bottom"/>
          </w:tcPr>
          <w:p>
            <w:pPr>
              <w:spacing w:after="0"/>
              <w:rPr>
                <w:sz w:val="15"/>
                <w:szCs w:val="15"/>
                <w:color w:val="auto"/>
              </w:rPr>
            </w:pPr>
          </w:p>
        </w:tc>
      </w:tr>
      <w:tr>
        <w:trPr>
          <w:trHeight w:val="185"/>
        </w:trPr>
        <w:tc>
          <w:tcPr>
            <w:tcW w:w="7600" w:type="dxa"/>
            <w:vAlign w:val="bottom"/>
          </w:tcPr>
          <w:p>
            <w:pPr>
              <w:spacing w:after="0"/>
              <w:rPr>
                <w:sz w:val="16"/>
                <w:szCs w:val="16"/>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169"/>
        </w:trPr>
        <w:tc>
          <w:tcPr>
            <w:tcW w:w="7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79"/>
              </w:rPr>
              <w:t>thousands)</w:t>
            </w: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clinical expenses</w:t>
            </w:r>
          </w:p>
        </w:tc>
        <w:tc>
          <w:tcPr>
            <w:tcW w:w="106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9,251</w:t>
            </w:r>
          </w:p>
        </w:tc>
        <w:tc>
          <w:tcPr>
            <w:tcW w:w="6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13,089</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Payroll and related expenses</w:t>
            </w: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5,441</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8,060</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Legal and professional expenses</w:t>
            </w:r>
          </w:p>
        </w:tc>
        <w:tc>
          <w:tcPr>
            <w:tcW w:w="10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1,413</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Operating lease liabilities - short term</w:t>
            </w: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4,330</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4,082</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Restructuring expenses</w:t>
            </w:r>
          </w:p>
        </w:tc>
        <w:tc>
          <w:tcPr>
            <w:tcW w:w="10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1,627</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Other accrued expenses</w:t>
            </w:r>
          </w:p>
        </w:tc>
        <w:tc>
          <w:tcPr>
            <w:tcW w:w="10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40" w:type="dxa"/>
            <w:vAlign w:val="bottom"/>
          </w:tcPr>
          <w:p>
            <w:pPr>
              <w:spacing w:after="0"/>
              <w:rPr>
                <w:sz w:val="20"/>
                <w:szCs w:val="20"/>
                <w:color w:val="auto"/>
              </w:rPr>
            </w:pPr>
          </w:p>
        </w:tc>
      </w:tr>
      <w:tr>
        <w:trPr>
          <w:trHeight w:val="276"/>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20,068</w:t>
            </w:r>
          </w:p>
        </w:tc>
        <w:tc>
          <w:tcPr>
            <w:tcW w:w="3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28,532</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-24765</wp:posOffset>
            </wp:positionV>
            <wp:extent cx="857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Collaboration and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revenue by collaboration partner:</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5"/>
        </w:trPr>
        <w:tc>
          <w:tcPr>
            <w:tcW w:w="4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49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83"/>
              </w:rPr>
              <w:t>2022</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169"/>
        </w:trPr>
        <w:tc>
          <w:tcPr>
            <w:tcW w:w="4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37"/>
              <w:spacing w:after="0"/>
              <w:rPr>
                <w:sz w:val="20"/>
                <w:szCs w:val="20"/>
                <w:color w:val="auto"/>
              </w:rPr>
            </w:pPr>
            <w:r>
              <w:rPr>
                <w:rFonts w:ascii="Arial" w:cs="Arial" w:eastAsia="Arial" w:hAnsi="Arial"/>
                <w:sz w:val="14"/>
                <w:szCs w:val="14"/>
                <w:b w:val="1"/>
                <w:bCs w:val="1"/>
                <w:color w:val="auto"/>
              </w:rPr>
              <w:t>(in</w:t>
            </w:r>
          </w:p>
        </w:tc>
        <w:tc>
          <w:tcPr>
            <w:tcW w:w="82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74"/>
              </w:rPr>
              <w:t>thousands)</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37"/>
              <w:spacing w:after="0"/>
              <w:rPr>
                <w:sz w:val="20"/>
                <w:szCs w:val="20"/>
                <w:color w:val="auto"/>
              </w:rPr>
            </w:pPr>
            <w:r>
              <w:rPr>
                <w:rFonts w:ascii="Arial" w:cs="Arial" w:eastAsia="Arial" w:hAnsi="Arial"/>
                <w:sz w:val="14"/>
                <w:szCs w:val="14"/>
                <w:b w:val="1"/>
                <w:bCs w:val="1"/>
                <w:color w:val="auto"/>
              </w:rPr>
              <w:t>(in</w:t>
            </w:r>
          </w:p>
        </w:tc>
        <w:tc>
          <w:tcPr>
            <w:tcW w:w="7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74"/>
              </w:rPr>
              <w:t>thousands)</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4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AbbVie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6,775</w:t>
            </w:r>
          </w:p>
        </w:tc>
        <w:tc>
          <w:tcPr>
            <w:tcW w:w="6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3,988</w:t>
            </w:r>
          </w:p>
        </w:tc>
        <w:tc>
          <w:tcPr>
            <w:tcW w:w="76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8,526</w:t>
            </w:r>
          </w:p>
        </w:tc>
        <w:tc>
          <w:tcPr>
            <w:tcW w:w="140" w:type="dxa"/>
            <w:vAlign w:val="bottom"/>
            <w:shd w:val="clear" w:color="auto" w:fill="CFF0FC"/>
          </w:tcPr>
          <w:p>
            <w:pPr>
              <w:spacing w:after="0"/>
              <w:rPr>
                <w:sz w:val="21"/>
                <w:szCs w:val="21"/>
                <w:color w:val="auto"/>
              </w:rPr>
            </w:pPr>
          </w:p>
        </w:tc>
      </w:tr>
      <w:tr>
        <w:trPr>
          <w:trHeight w:val="237"/>
        </w:trPr>
        <w:tc>
          <w:tcPr>
            <w:tcW w:w="4900" w:type="dxa"/>
            <w:vAlign w:val="bottom"/>
          </w:tcPr>
          <w:p>
            <w:pPr>
              <w:ind w:left="200"/>
              <w:spacing w:after="0"/>
              <w:rPr>
                <w:sz w:val="20"/>
                <w:szCs w:val="20"/>
                <w:color w:val="auto"/>
              </w:rPr>
            </w:pPr>
            <w:r>
              <w:rPr>
                <w:rFonts w:ascii="Arial" w:cs="Arial" w:eastAsia="Arial" w:hAnsi="Arial"/>
                <w:sz w:val="18"/>
                <w:szCs w:val="18"/>
                <w:color w:val="auto"/>
              </w:rPr>
              <w:t>Amgen</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1,720</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357</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3,496</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2,594</w:t>
            </w:r>
          </w:p>
        </w:tc>
        <w:tc>
          <w:tcPr>
            <w:tcW w:w="140" w:type="dxa"/>
            <w:vAlign w:val="bottom"/>
          </w:tcPr>
          <w:p>
            <w:pPr>
              <w:spacing w:after="0"/>
              <w:rPr>
                <w:sz w:val="20"/>
                <w:szCs w:val="20"/>
                <w:color w:val="auto"/>
              </w:rPr>
            </w:pPr>
          </w:p>
        </w:tc>
      </w:tr>
      <w:tr>
        <w:trPr>
          <w:trHeight w:val="249"/>
        </w:trPr>
        <w:tc>
          <w:tcPr>
            <w:tcW w:w="4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Astellas</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5,350</w:t>
            </w:r>
          </w:p>
        </w:tc>
        <w:tc>
          <w:tcPr>
            <w:tcW w:w="3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4,657</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14,055</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9,423</w:t>
            </w:r>
          </w:p>
        </w:tc>
        <w:tc>
          <w:tcPr>
            <w:tcW w:w="140" w:type="dxa"/>
            <w:vAlign w:val="bottom"/>
            <w:shd w:val="clear" w:color="auto" w:fill="CFF0FC"/>
          </w:tcPr>
          <w:p>
            <w:pPr>
              <w:spacing w:after="0"/>
              <w:rPr>
                <w:sz w:val="21"/>
                <w:szCs w:val="21"/>
                <w:color w:val="auto"/>
              </w:rPr>
            </w:pPr>
          </w:p>
        </w:tc>
      </w:tr>
      <w:tr>
        <w:trPr>
          <w:trHeight w:val="237"/>
        </w:trPr>
        <w:tc>
          <w:tcPr>
            <w:tcW w:w="4900" w:type="dxa"/>
            <w:vAlign w:val="bottom"/>
          </w:tcPr>
          <w:p>
            <w:pPr>
              <w:ind w:left="200"/>
              <w:spacing w:after="0"/>
              <w:rPr>
                <w:sz w:val="20"/>
                <w:szCs w:val="20"/>
                <w:color w:val="auto"/>
              </w:rPr>
            </w:pPr>
            <w:r>
              <w:rPr>
                <w:rFonts w:ascii="Arial" w:cs="Arial" w:eastAsia="Arial" w:hAnsi="Arial"/>
                <w:sz w:val="18"/>
                <w:szCs w:val="18"/>
                <w:color w:val="auto"/>
              </w:rPr>
              <w:t>Bristol Myers Squibb</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13,879</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1,064</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21,603</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1,350</w:t>
            </w:r>
          </w:p>
        </w:tc>
        <w:tc>
          <w:tcPr>
            <w:tcW w:w="140" w:type="dxa"/>
            <w:vAlign w:val="bottom"/>
          </w:tcPr>
          <w:p>
            <w:pPr>
              <w:spacing w:after="0"/>
              <w:rPr>
                <w:sz w:val="20"/>
                <w:szCs w:val="20"/>
                <w:color w:val="auto"/>
              </w:rPr>
            </w:pPr>
          </w:p>
        </w:tc>
      </w:tr>
      <w:tr>
        <w:trPr>
          <w:trHeight w:val="249"/>
        </w:trPr>
        <w:tc>
          <w:tcPr>
            <w:tcW w:w="4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Regeneron</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w:t>
            </w:r>
          </w:p>
        </w:tc>
        <w:tc>
          <w:tcPr>
            <w:tcW w:w="3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2,335</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7"/>
        </w:trPr>
        <w:tc>
          <w:tcPr>
            <w:tcW w:w="4900" w:type="dxa"/>
            <w:vAlign w:val="bottom"/>
          </w:tcPr>
          <w:p>
            <w:pPr>
              <w:ind w:left="200"/>
              <w:spacing w:after="0"/>
              <w:rPr>
                <w:sz w:val="20"/>
                <w:szCs w:val="20"/>
                <w:color w:val="auto"/>
              </w:rPr>
            </w:pPr>
            <w:r>
              <w:rPr>
                <w:rFonts w:ascii="Arial" w:cs="Arial" w:eastAsia="Arial" w:hAnsi="Arial"/>
                <w:sz w:val="18"/>
                <w:szCs w:val="18"/>
                <w:color w:val="auto"/>
              </w:rPr>
              <w:t>Moderna</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w:t>
            </w: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76"/>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24,724</w:t>
            </w:r>
          </w:p>
        </w:tc>
        <w:tc>
          <w:tcPr>
            <w:tcW w:w="30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12,853</w:t>
            </w: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48,223</w:t>
            </w:r>
          </w:p>
        </w:tc>
        <w:tc>
          <w:tcPr>
            <w:tcW w:w="3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21,893</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-24765</wp:posOffset>
            </wp:positionV>
            <wp:extent cx="857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857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857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857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Ireland Unlimited Company</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April 2016, the Company and AbbVie entered into two agreements, a CD71 Co-Development and Licensing Agreement (the “CD71 Agreement”) and a Discovery Collaboration and Licensing Agreement (as amended and restated in June 2019, the “Discovery Agreement” and together with the CD71 Agreement the “AbbVie Agreements”). Under the terms of the CD71 Agreement, the Company and AbbVie were co-developing a conditionally activated antibody-drug conjugate (“ADC”) against CD71, with the Company being responsible for preclinical and early clinical development. AbbVie was to be responsible for later development and commercialization, with global late-stage development costs shared between the two companies. The Company has received in aggregate $100.0 million in upfront and milestone payments under the CD71 Agreement. In March 2023, the Company announced that it would evaluate the potential next steps for CX-2029 following the decision from AbbVie, to not advance CX-2029 into additional clinical studies. As a result of AbbVie’s decision, the 2016 CD71 License and Collaboration Agreement has been terminated and the Company has an exclusive option to re-acquire full rights to</w:t>
      </w:r>
    </w:p>
    <w:p>
      <w:pPr>
        <w:sectPr>
          <w:pgSz w:w="11900" w:h="16838" w:orient="portrait"/>
          <w:cols w:equalWidth="0" w:num="1">
            <w:col w:w="11240"/>
          </w:cols>
          <w:pgMar w:left="320" w:top="121" w:right="339" w:bottom="1440" w:gutter="0" w:footer="0" w:header="0"/>
        </w:sectPr>
      </w:pP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31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CX-2029. The Company has completed the performance obligation under the CD71 Agreement as of March 31, 2023 and recognized the related remaining deferred revenue of $4.0 million in the first quarter of 2023.</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December 2022, the research on the two discovery targets under the Discovery Agreement has concluded with no plans to advance the discovery targets into clinical studies or to pursue new programs. The Discovery Agreement has also been terminated and all target rights have reverted back to CytomX.</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Amgen, Inc.</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September 29, 2017, the Company and Amgen, Inc. (“Amgen”) entered into a Collaboration and License Agreement (the “Amgen Agreement”). Pursuant to the Amgen Agreement, the Company received an upfront payment of $40.0 million in October 2017. Concurrent with the Amgen Agreement, the Company and Amgen entered into a Share Purchase Agreement pursuant to which Amgen purchased 1,156,069 shares of the Company’s common stock at a price of $17.30 per share for total proceeds of $20.0 million.</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October 2021, CytomX and Amgen executed an amendment to the Amgen Agreement primarily to (1) extend the target selection date for Amgen to select its additional targets for research and development, and (2) reduce the total number of milestone events and increase the total amount of milestone payments for EGFR Products. In May 2023, CytomX and Amgen executed an amendment to the Amgen Agreement to extend the target selection period for Amgen to select its additional targets for research and development as further discussed below.</w:t>
      </w:r>
    </w:p>
    <w:p>
      <w:pPr>
        <w:spacing w:after="0" w:line="19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Under the terms of the Amgen Agreement, as amended, the Company and Amgen will co-develop a conditionally activated T-cell engaging bispecific therapeutic targeting epidermal growth factor receptor (the “EGFR Products”). The Company is responsible for early-stage development of EGFR Products and Amgen will be responsible for late-stage development and commercialization of EGFR Products. Following early-stage development, the Company will have the right to elect to participate financially in the global co-development of EGFR Products with Amgen, during which the Company would bear a certain percentage of the worldwide development costs for EGFR Products and Amgen would bear the rest of such costs (the “EGFR Co-Development Option”). If the Company exercises its EGFR Co-Development Option, the Company will share in somewhat less than 50% of the profit and losses from sales of such EGFR Products in the U.S., subject to certain caps, offsets, and deferrals. If the Company chooses not to exercise its EGFR Co-Development Option, the Company will not bear any costs of later stage development. The Company is also eligible to receive up to $460.0 million in development, regulatory, and commercial milestone payments for EGFR Products, and royalties in the low-double-digit to mid-teen percentage of worldwide commercial sales, provided that if the Company exercises its EGFR Co-Development option, it shall receive a profit and loss split of sales in the United States and royalties in the low-double-digit to mid-teen percentage of commercial sales outside of the United States. In January 2022, the IND for the EGFR product (CX-904) was allowed to proceed by the U.S. Food and Drug Administration (“FDA”).</w:t>
      </w:r>
    </w:p>
    <w:p>
      <w:pPr>
        <w:spacing w:after="0" w:line="19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Amgen also has the right to select a total of up to three targets, including the two additional targets discussed below. The Company and Amgen collaborate in the research and development of conditionally activated T-cell engaging bispecifics products directed against such targets. Amgen has selected one such target (the “Amgen Other Product”). If Amgen exercises its option within a specified period of time, it can select two such additional targets (the “Amgen Option Products” and, together with the Amgen Other Product, the “Amgen Products”). Except with respect to preclinical activities to be conducted by CytomX, Amgen will be responsible, at its expense, for the development, manufacture, and commercialization of all Amgen Products. If Amgen exercises all of its options and advances all three of the Amgen Products, CytomX is eligible to receive up to $950.0 million in upfront, development, regulatory, and commercial milestones and tiered high single-digit to low-teen percentage royalties. The Company concluded that, at the inception of the agreement and subsequent amendments, Amgen’s option to select the two additional targets is not a material right and does not represent a performance obligation of the agreement.</w:t>
      </w:r>
    </w:p>
    <w:p>
      <w:pPr>
        <w:spacing w:after="0" w:line="2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At the initiation of the collaboration, CytomX had the option to select, from programs specified in the Amgen Agreement, an existing preclinical stage T-cell engaging bispecific product from the Amgen preclinical pipeline. In March 2018, CytomX selected the program and this program is currently in preclinical development. CytomX is responsible, at its expense, for converting this program to a conditionally activated T-cell engaging bispecific product, and thereafter, will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spacing w:after="0" w:line="21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As of June 30, 2023 and December 31, 2022, deferred revenue related to the EGFR Products performance obligation was $14.9 million and $18.0 million, respectively. As of June 30, 2023 and December 31, 2022, deferred revenue related to the Amgen Other Products performance obligation was $0.2 million and $0.6 million, respectively.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Astellas Pharma Inc.</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and Astellas Pharma, Inc. (“Astellas”) entered into a Collaboration and License Agreement (the “Astellas Agreement”) on March 23, 2020, the effective date, to collaborate on preclinical research activities to discover and develop certain antibody compounds for the treatment of cancer using the Company’s Probody therapeutic technology.</w:t>
      </w:r>
    </w:p>
    <w:p>
      <w:pPr>
        <w:spacing w:after="0" w:line="18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Under the terms of the Astellas Agreement, the Company granted Astellas an exclusive, worldwide right to develop and commercialize Probody therapeutics for up to four collaboration targets including one initial target and three additional targets (“Additional Targets”). In addition, Astellas had the right to expand the number of Additional Targets from three up to five (the “Expansion Option”) before the third anniversary of the effective date. Furthermore, for a specified number of targets, at a pre-specified time prior to the initiation of the first pivotal study of a product against such target, the Company may elect to participate in certain development costs and share in the profits generated in the United States with respect to such product (“Cost Share Option”). The Cost Share Option, if exercised, will also provide the option for the Company to co-commercialize such product in the United States. The Company does not consider the Cost Share Option as a performance obligation at the inception of the agreement as the participation is at the Company’s discretion.</w:t>
      </w:r>
    </w:p>
    <w:p>
      <w:pPr>
        <w:spacing w:after="0" w:line="192"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Pursuant to the Astellas Agreement, the consideration from Astellas is comprised of an upfront fee of $80.0 million and contingent payments for development, regulatory and sales milestones of up to an aggregate of approximately $1.6 billion. The Company is also entitled to tiered royalties from high-single digit to mid-teen percentage royalties from potential future sales. Astellas is responsible for all preclinical research costs incurred by either party as set forth in the preclinical research plan and the Company will receive research and development service fees based on a prescribed full-time employee ("FTE") rate.</w:t>
      </w:r>
    </w:p>
    <w:p>
      <w:pPr>
        <w:spacing w:after="0" w:line="215"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In January 2023, the Company announced that it achieved a clinical candidate milestone under the Astellas Agreement which triggered a $5.0 million milestone payment to the Company. The $5.0 million milestone payment was fully recognized in the first quarter of 2023 as the Company had completed its related performance obligation of the collaboration target which resulted in the clinical candidate nomination for further development.</w:t>
      </w:r>
    </w:p>
    <w:p>
      <w:pPr>
        <w:spacing w:after="0" w:line="176"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As of June 30, 2023 and December 31, 2022, deferred revenue relating to the Astellas Agreement was $38.0 million and $44.5 million, respectively. The amount due from Astellas under the Astellas Agreement was $1.3 million and $1.0 million as of June 30, 2023 and December 31, 2022,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Bristol Myers Squibb Company</w:t>
      </w:r>
    </w:p>
    <w:p>
      <w:pPr>
        <w:spacing w:after="0" w:line="11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On May 23, 2014, the Company and Bristol Myers Squibb Company (“Bristol Myers Squibb”) entered into a Collaboration and License Agreement (the “BMS Agreement”) to discover and develop compounds for use in human therapeutics aimed at multiple immuno-oncology targets using the Company’s Probody therapeutic technology. The effective date of the BMS Agreement was July 7, 2014.</w:t>
      </w:r>
    </w:p>
    <w:p>
      <w:pPr>
        <w:spacing w:after="0" w:line="21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Under the terms of the BMS Agreement, the Company granted Bristol Myers Squibb exclusive worldwide rights to develop and commercialize Probody therapeutics for up to four oncology targets. Bristol Myers Squibb had additional rights to substitute up to two collaboration targets within three years of the effective date of the BMS Agreement. These rights expired in May 2017. Each collaboration target had a two-year research term and the two additional targets had to be nominated by Bristol Myers Squibb within five years of the effective date of the BMS Agreement. The research term for each collaboration target could be extended in one year increments up to three times.</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 BMS Agreement, the financial consideration from Bristol Myers Squibb was comprised of an upfront payment of $50.0 million and estimated research and development service fees, and the Company was initially entitled to receive contingent payments of up to $25.0 million for additional targets and contingent payments for development, regulatory and sales milestones. In addition, the Company was entitled to royalty payments in the mid-single digits to low double-digit percentages from potential future sales.</w:t>
      </w:r>
    </w:p>
    <w:p>
      <w:pPr>
        <w:spacing w:after="0" w:line="214"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On March 17, 2017, the Company and Bristol Myers Squibb entered into Amendment Number 1 to Extend Collaboration and License Agreement (“Amendment 1”). Amendment 1 granted Bristol Myers Squibb exclusive worldwide rights to develop and commercialize Probody therapeutics for up to eight additional targets. The effective date of Amendment 1 was April 25, 2017 (“Amendment Effective Date”). Under the terms of Amendment 1, the Company continued to have obligations to Bristol Myers Squibb to discover and conduct preclinical development of Probody therapeutics against any targets they chose to select during the research period under the terms of Amendment 1.</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1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Pursuant to Amendment 1, the financial consideration from Bristol Myers Squibb was comprised of an upfront payment of $200.0 million, estimated research and development service fees, and contingent payments for development, regulatory and sales milestones for the eight targets. The Company was also entitled to tiered mid-single to low double-digit percentage royalties from potential future sales. Amendment 1 did not change the term of Bristol Myers Squibb’s royalty obligation under the BMS Agreement. Bristol Myers Squibb’s royalty obligation continues on a licensed-product by licensed-product basis until the later of (i) the expiration of the last claim of the licensed patents covering the licensed products in the country, (ii) the twelfth anniversary of the first commercial sale of a licensed product in a country, or (iii) the expiration of any applicable regulatory, pediatric, orphan drug or data exclusivity with respect to such product.</w:t>
      </w:r>
    </w:p>
    <w:p>
      <w:pPr>
        <w:spacing w:after="0" w:line="22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initial transaction price for the BMS Agreement and Amendment 1, collectively, was $304.7 million consisting of the upfront fees of $250.0 million, target selection fees for the third and fourth targets of $25.0 million, estimated research and development service fees of $17.7 million and milestone payments received up to January 1, 2018, of $12.0 million. The Company determined that the remaining potential milestone payments were probable of significant revenue reversal as their achievement was highly dependent on factors outside the Company’s control. Therefore, these payments were fully constrained and were not included in the transaction price upon the adoption of ASC 606 on January 1, 2018. The initial transaction price for the combined obligation for each collaboration target is recognized using an input measure.</w:t>
      </w:r>
    </w:p>
    <w:p>
      <w:pPr>
        <w:spacing w:after="0" w:line="20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February 2021, the Company and Bristol Myers Squibb entered into Amendment Number 2 to amend the Collaboration and License Agreement (“Amendment 2”), as amended by Amendment 1. Subsequent to Amendment 2, in addition to Bristol Myers Squibb’s ongoing development of the CTLA-4 program, Bristol Myers Squibb also had the exclusive worldwide rights to develop and commercialize Probody therapeutics for up to five oncology targets. Under the terms of Amendment 2, the period for target selection was extended and the Company will continue to collaborate with Bristol Myers Squibb to discover and conduct preclinical development of Probody therapeutics against targets selected by Bristol Myers Squibb over the estimated research period, which is projected to end in April 2025. Pursuant to Amendment 2, the Company was eligible to receive contingent payments for development, regulatory and sales milestones. It is also entitled to tiered mid-single to low double-digit percentage of royalties from potential future sales. The Company accounted for Amendment 2 as a modification and reallocated the remaining unrecognized transaction price to the remaining performance obligations.</w:t>
      </w:r>
    </w:p>
    <w:p>
      <w:pPr>
        <w:spacing w:after="0" w:line="19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October 2022, the Company and Bristol Myers Squibb entered into Amendment Number 3 to amend the Collaboration and License Agreement (“Amendment 3”), as amended by Amendment 1 and Amendment 2, to clarify the rights and restrictions of certain new proprietary antibodies that the parties exchanged. There were no substantive changes to each party's performance obligations. As of June 30, 2023, the Company is eligible for up to approximately $2.1 billion in contingent payments for development, regulatory and sales milestones based on the ongoing collaboration projects, including the CTLA-4 program, with BMS.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reevaluated the remaining potential milestone payments and determined that significant revenue reversal was probable as the achievement of such milestones was highly dependent on factors outside the Company’s control. As a result, these payments continued to be fully constrained and were not included in the transaction price as of June 30, 2023.</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2023 and December 31, 2022, deferred revenue relating to the BMS Agreement was $147.6 million and $169.2 million, respectively.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ModernaTX, Inc.</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and ModernaTX, Inc. (“Moderna”) entered into a Collaboration and License Agreement (the “Moderna Agreement”) on December 30, 2022, the effective date, to collaborate on discovery and preclinical research and development activities to create investigational messenger RNA (mRNA) based conditionally activated therapies using the Company’s Probody therapeutic technology. Moderna is solely responsible for the development (preclinical and clinical), manufacturing, and commercialization of any products under the Moderna Agreement.</w:t>
      </w:r>
    </w:p>
    <w:p>
      <w:pPr>
        <w:spacing w:after="0" w:line="19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the terms of the Moderna Agreement, the Company granted Moderna an exclusive, worldwide right to develop and commercialize Probody therapeutics for the collaboration programs. In exchange, the Company received an upfront payment of $35.0 million in January 2023, including $5.0 million of prepaid research and development service fees. The Company will continue to receive research and development service fees according to the preclinical research work plans based on a prescribed FTE rate and is eligible to receive up to approximately $1.2 billion in future development, regulatory, and commercial milestone payments. The Company is also eligible to receive tiered royalties from high-single digit to low-teen percentage rates of annual global net sales of any products that are commercialized under the Moderna Agreement. The Moderna Agreement also provided Moderna with an option to participate in an equity financing by CytomX at market price, subject to certain terms, conditions and regulatory requirements.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00" w:lineRule="exact"/>
        <w:rPr>
          <w:sz w:val="20"/>
          <w:szCs w:val="20"/>
          <w:color w:val="auto"/>
        </w:rPr>
      </w:pPr>
    </w:p>
    <w:p>
      <w:pPr>
        <w:spacing w:after="0" w:line="22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As of June 30, 2023 and December 31, 2022, deferred revenue relating to the Moderna Agreement was $32.3 million and $35.0 million, respectively. The amount due from Moderna under the Moderna Agreement was $0 and $35.0 million as of June 30, 2023 and December 31, 2022,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Regeneron Pharmaceuticals, Inc.</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and Regeneron Pharmaceuticals Inc. (“Regeneron”) entered into a Collaboration and License Agreement (the “Regeneron Agreement”) on November 16, 2022, to collaborate on creation of conditionally-activated investigational bispecific cancer therapies utilizing the Company’s Probody® therapeutic platform and Regeneron’s Veloci-Bi® bispecific antibody development platform. The Company and Regeneron will collaborate on preclinical research and discovery activities for initially agreed upon collaboration programs (“Collaboration Program”) with an option to expand additional Collaboration Programs (“Additional Collaboration Program Option”).</w:t>
      </w:r>
    </w:p>
    <w:p>
      <w:pPr>
        <w:spacing w:after="0" w:line="21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Under the Collaboration and License Agreement, the Company granted Regeneron an exclusive, worldwide, royalty-bearing license under certain Company intellectual property to develop, manufacture, commercialize and otherwise exploit licensed products (“Licensed Products”) for all human and non-human diagnostic, prophylactic and therapeutic uses in oncology. Regeneron is responsible for funding the cost of preclinical research and discovery activities of both parties for all Licensed Products and for funding the cost of development, manufacturing and commercialization of all Licensed Products worldwide.</w:t>
      </w:r>
    </w:p>
    <w:p>
      <w:pPr>
        <w:spacing w:after="0" w:line="1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Pursuant to the Regeneron Agreement, the consideration from Regeneron is comprised of an upfront fee of $30.0 million, contingent payments for development and regulatory milestones and commercial milestone payments of up to an aggregate of approximately $0.8 billion. If Regeneron exercises its Additional Collaboration Program Option, the Company would be eligible to receive additional upfront and milestone payments aggregating up to approximately $1.2 billion. The Company is also entitled to tiered royalties from high-single digit to low-teen percentage royalties from potential future sales. In addition, the Company will receive research and development service fees based on a prescribed FTE rate.</w:t>
      </w:r>
    </w:p>
    <w:p>
      <w:pPr>
        <w:spacing w:after="0" w:line="203"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As of June 30, 2023 and December 31, 2022, deferred revenue relating to the Regeneron Agreement was $28.2 million and $30.0 million, respectively. The amount due from Regeneron under the Regeneron Agreement was $0.5 million and $30.0 million as of June 30, 2023 and December 31, 2022, respectively.</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Company’s total contract liabilities during the six months ended June 30, 2023 and 2022:</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Balance at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Additions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Arial" w:cs="Arial" w:eastAsia="Arial" w:hAnsi="Arial"/>
                <w:sz w:val="14"/>
                <w:szCs w:val="14"/>
                <w:b w:val="1"/>
                <w:bCs w:val="1"/>
                <w:color w:val="auto"/>
              </w:rPr>
              <w:t>Balance at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12/31/2022</w:t>
            </w:r>
          </w:p>
        </w:tc>
        <w:tc>
          <w:tcPr>
            <w:tcW w:w="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06/30/2023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5"/>
          </w:tcPr>
          <w:p>
            <w:pPr>
              <w:ind w:left="50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ind w:left="280"/>
              <w:spacing w:after="0"/>
              <w:rPr>
                <w:sz w:val="20"/>
                <w:szCs w:val="20"/>
                <w:color w:val="auto"/>
              </w:rPr>
            </w:pPr>
            <w:r>
              <w:rPr>
                <w:rFonts w:ascii="Arial" w:cs="Arial" w:eastAsia="Arial" w:hAnsi="Arial"/>
                <w:sz w:val="18"/>
                <w:szCs w:val="18"/>
                <w:color w:val="auto"/>
                <w:w w:val="89"/>
              </w:rPr>
              <w:t>301,326</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ind w:left="480"/>
              <w:spacing w:after="0"/>
              <w:rPr>
                <w:sz w:val="20"/>
                <w:szCs w:val="20"/>
                <w:color w:val="auto"/>
              </w:rPr>
            </w:pPr>
            <w:r>
              <w:rPr>
                <w:rFonts w:ascii="Arial" w:cs="Arial" w:eastAsia="Arial" w:hAnsi="Arial"/>
                <w:sz w:val="18"/>
                <w:szCs w:val="18"/>
                <w:color w:val="auto"/>
                <w:w w:val="93"/>
              </w:rPr>
              <w:t>2,514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(42,687 )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240"/>
              <w:spacing w:after="0"/>
              <w:rPr>
                <w:sz w:val="20"/>
                <w:szCs w:val="20"/>
                <w:color w:val="auto"/>
              </w:rPr>
            </w:pPr>
            <w:r>
              <w:rPr>
                <w:rFonts w:ascii="Arial" w:cs="Arial" w:eastAsia="Arial" w:hAnsi="Arial"/>
                <w:sz w:val="18"/>
                <w:szCs w:val="18"/>
                <w:color w:val="auto"/>
                <w:w w:val="89"/>
              </w:rPr>
              <w:t>261,153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3"/>
        </w:trPr>
        <w:tc>
          <w:tcPr>
            <w:tcW w:w="6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Balance at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Additions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14"/>
                <w:szCs w:val="14"/>
                <w:b w:val="1"/>
                <w:bCs w:val="1"/>
                <w:color w:val="auto"/>
              </w:rPr>
              <w:t>Balance at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12/31/2021</w:t>
            </w:r>
          </w:p>
        </w:tc>
        <w:tc>
          <w:tcPr>
            <w:tcW w:w="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06/30/2022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5"/>
          </w:tcPr>
          <w:p>
            <w:pPr>
              <w:ind w:left="50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ind w:left="280"/>
              <w:spacing w:after="0"/>
              <w:rPr>
                <w:sz w:val="20"/>
                <w:szCs w:val="20"/>
                <w:color w:val="auto"/>
              </w:rPr>
            </w:pPr>
            <w:r>
              <w:rPr>
                <w:rFonts w:ascii="Arial" w:cs="Arial" w:eastAsia="Arial" w:hAnsi="Arial"/>
                <w:sz w:val="18"/>
                <w:szCs w:val="18"/>
                <w:color w:val="auto"/>
                <w:w w:val="89"/>
              </w:rPr>
              <w:t>284,760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ind w:left="480"/>
              <w:spacing w:after="0"/>
              <w:rPr>
                <w:sz w:val="20"/>
                <w:szCs w:val="20"/>
                <w:color w:val="auto"/>
              </w:rPr>
            </w:pPr>
            <w:r>
              <w:rPr>
                <w:rFonts w:ascii="Arial" w:cs="Arial" w:eastAsia="Arial" w:hAnsi="Arial"/>
                <w:sz w:val="18"/>
                <w:szCs w:val="18"/>
                <w:color w:val="auto"/>
                <w:w w:val="93"/>
              </w:rPr>
              <w:t>2,093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(21,958 )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240"/>
              <w:spacing w:after="0"/>
              <w:rPr>
                <w:sz w:val="20"/>
                <w:szCs w:val="20"/>
                <w:color w:val="auto"/>
              </w:rPr>
            </w:pPr>
            <w:r>
              <w:rPr>
                <w:rFonts w:ascii="Arial" w:cs="Arial" w:eastAsia="Arial" w:hAnsi="Arial"/>
                <w:sz w:val="18"/>
                <w:szCs w:val="18"/>
                <w:color w:val="auto"/>
                <w:w w:val="89"/>
              </w:rPr>
              <w:t>264,895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expects that the $261.2 million of deferred revenue related to the following contracts as of June 30, 2023 will be recognized as revenue based on actual FTE effort and estimated program progress as set forth below. However, the timing of revenue recognition could differ from the estimates depending on facts and circumstances impacting the various contracts, including progress of research and development, resources assigned to the contracts by the Company or its collaboration partners or other factors outside of the Company’s control.</w:t>
      </w:r>
    </w:p>
    <w:p>
      <w:pPr>
        <w:spacing w:after="0" w:line="63"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$14.9 million of deferred revenue related to the Amgen EGFR Products is expected to be recognized until 2026.</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$0.2 million of deferred revenue related to the Amgen Other Products is expected to be recognized within 2023.</w:t>
      </w:r>
    </w:p>
    <w:p>
      <w:pPr>
        <w:spacing w:after="0" w:line="117"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$38.0 million of deferred revenue related to the Astellas Agreement, together with research and development service fees, is expected to be recognized until 2026.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319" w:lineRule="exact"/>
        <w:rPr>
          <w:sz w:val="20"/>
          <w:szCs w:val="20"/>
          <w:color w:val="auto"/>
        </w:rPr>
      </w:pPr>
    </w:p>
    <w:p>
      <w:pPr>
        <w:ind w:left="1020" w:hanging="503"/>
        <w:spacing w:after="0"/>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$147.6 million of deferred revenue related to the BMS Agreement is expected to be recognized until 2025.</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$32.3 million of deferred revenue related to the Moderna Agreement, together with research and development service fees, is expected to be recognized until 2027.</w:t>
      </w:r>
    </w:p>
    <w:p>
      <w:pPr>
        <w:spacing w:after="0" w:line="62" w:lineRule="exact"/>
        <w:rPr>
          <w:rFonts w:ascii="Arial" w:cs="Arial" w:eastAsia="Arial" w:hAnsi="Arial"/>
          <w:sz w:val="18"/>
          <w:szCs w:val="18"/>
          <w:color w:val="auto"/>
        </w:rPr>
      </w:pPr>
    </w:p>
    <w:p>
      <w:pPr>
        <w:ind w:left="1020" w:right="80" w:hanging="503"/>
        <w:spacing w:after="0" w:line="277"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$28.2 million of deferred revenue related to the Regeneron Agreement, together with research and development service fees, is expected to be recognized until 2026.</w:t>
      </w:r>
    </w:p>
    <w:p>
      <w:pPr>
        <w:spacing w:after="0" w:line="274"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Activities for the Company’s stock option plans for the six months ended June 30, 2023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60" w:type="dxa"/>
            <w:vAlign w:val="bottom"/>
          </w:tcPr>
          <w:p>
            <w:pPr>
              <w:spacing w:after="0"/>
              <w:rPr>
                <w:sz w:val="16"/>
                <w:szCs w:val="16"/>
                <w:color w:val="auto"/>
              </w:rPr>
            </w:pPr>
          </w:p>
        </w:tc>
        <w:tc>
          <w:tcPr>
            <w:tcW w:w="3540" w:type="dxa"/>
            <w:vAlign w:val="bottom"/>
            <w:tcBorders>
              <w:bottom w:val="single" w:sz="8" w:color="auto"/>
            </w:tcBorders>
            <w:gridSpan w:val="4"/>
          </w:tcPr>
          <w:p>
            <w:pPr>
              <w:jc w:val="right"/>
              <w:ind w:right="1038"/>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75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center"/>
              <w:ind w:right="118"/>
              <w:spacing w:after="0" w:line="133" w:lineRule="exact"/>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560" w:type="dxa"/>
            <w:vAlign w:val="bottom"/>
          </w:tcPr>
          <w:p>
            <w:pPr>
              <w:spacing w:after="0"/>
              <w:rPr>
                <w:sz w:val="12"/>
                <w:szCs w:val="12"/>
                <w:color w:val="auto"/>
              </w:rPr>
            </w:pPr>
          </w:p>
        </w:tc>
        <w:tc>
          <w:tcPr>
            <w:tcW w:w="196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136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6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560" w:type="dxa"/>
            <w:vAlign w:val="bottom"/>
          </w:tcPr>
          <w:p>
            <w:pPr>
              <w:spacing w:after="0"/>
              <w:rPr>
                <w:sz w:val="16"/>
                <w:szCs w:val="16"/>
                <w:color w:val="auto"/>
              </w:rPr>
            </w:pPr>
          </w:p>
        </w:tc>
        <w:tc>
          <w:tcPr>
            <w:tcW w:w="19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6"/>
                <w:szCs w:val="16"/>
                <w:color w:val="auto"/>
              </w:rPr>
            </w:pPr>
          </w:p>
        </w:tc>
        <w:tc>
          <w:tcPr>
            <w:tcW w:w="136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Per Share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13,289,838</w:t>
            </w:r>
          </w:p>
        </w:tc>
        <w:tc>
          <w:tcPr>
            <w:tcW w:w="3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Options granted</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1,398,673</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Options exercised</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(16,535 )</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Option forfeited/expired</w:t>
            </w:r>
          </w:p>
        </w:tc>
        <w:tc>
          <w:tcPr>
            <w:tcW w:w="1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(851,515 )</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13,820,461</w:t>
            </w:r>
          </w:p>
        </w:tc>
        <w:tc>
          <w:tcPr>
            <w:tcW w:w="34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7.24</w:t>
            </w: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-187960</wp:posOffset>
            </wp:positionV>
            <wp:extent cx="85725"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recorded $1.7 million and $2.8 million of stock-based compensation expense related to the stock options for the three months ended June 30, 2023 and 2022, respectively.</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recorded $3.6 million and $5.7 million of stock-based compensation expense related to the stock options for the six months ended June 30, 2023 and 2022,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Time-based RSUs ("TRSU")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Activities for the Company’s TRSUs for the six months ended June 30, 2023 were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21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Number of</w:t>
            </w:r>
          </w:p>
        </w:tc>
        <w:tc>
          <w:tcPr>
            <w:tcW w:w="17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5"/>
              </w:rPr>
              <w:t>Weighted Average Grant</w:t>
            </w:r>
          </w:p>
        </w:tc>
        <w:tc>
          <w:tcPr>
            <w:tcW w:w="140" w:type="dxa"/>
            <w:vAlign w:val="bottom"/>
          </w:tcPr>
          <w:p>
            <w:pPr>
              <w:spacing w:after="0"/>
              <w:rPr>
                <w:sz w:val="14"/>
                <w:szCs w:val="14"/>
                <w:color w:val="auto"/>
              </w:rPr>
            </w:pPr>
          </w:p>
        </w:tc>
      </w:tr>
      <w:tr>
        <w:trPr>
          <w:trHeight w:val="185"/>
        </w:trPr>
        <w:tc>
          <w:tcPr>
            <w:tcW w:w="7260" w:type="dxa"/>
            <w:vAlign w:val="bottom"/>
          </w:tcPr>
          <w:p>
            <w:pPr>
              <w:spacing w:after="0"/>
              <w:rPr>
                <w:sz w:val="16"/>
                <w:szCs w:val="16"/>
                <w:color w:val="auto"/>
              </w:rPr>
            </w:pPr>
          </w:p>
        </w:tc>
        <w:tc>
          <w:tcPr>
            <w:tcW w:w="214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Shares</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Date Fair Value Per Share</w:t>
            </w:r>
          </w:p>
        </w:tc>
        <w:tc>
          <w:tcPr>
            <w:tcW w:w="140" w:type="dxa"/>
            <w:vAlign w:val="bottom"/>
          </w:tcPr>
          <w:p>
            <w:pPr>
              <w:spacing w:after="0"/>
              <w:rPr>
                <w:sz w:val="16"/>
                <w:szCs w:val="16"/>
                <w:color w:val="auto"/>
              </w:rPr>
            </w:pPr>
          </w:p>
        </w:tc>
      </w:tr>
      <w:tr>
        <w:trPr>
          <w:trHeight w:val="405"/>
        </w:trPr>
        <w:tc>
          <w:tcPr>
            <w:tcW w:w="726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1,212,884</w:t>
            </w:r>
          </w:p>
        </w:tc>
        <w:tc>
          <w:tcPr>
            <w:tcW w:w="380" w:type="dxa"/>
            <w:vAlign w:val="bottom"/>
          </w:tcPr>
          <w:p>
            <w:pPr>
              <w:spacing w:after="0"/>
              <w:rPr>
                <w:sz w:val="24"/>
                <w:szCs w:val="24"/>
                <w:color w:val="auto"/>
              </w:rPr>
            </w:pPr>
          </w:p>
        </w:tc>
        <w:tc>
          <w:tcPr>
            <w:tcW w:w="740" w:type="dxa"/>
            <w:vAlign w:val="bottom"/>
            <w:tcBorders>
              <w:top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40" w:type="dxa"/>
            <w:vAlign w:val="bottom"/>
          </w:tcPr>
          <w:p>
            <w:pPr>
              <w:spacing w:after="0"/>
              <w:rPr>
                <w:sz w:val="24"/>
                <w:szCs w:val="24"/>
                <w:color w:val="auto"/>
              </w:rPr>
            </w:pPr>
          </w:p>
        </w:tc>
      </w:tr>
      <w:tr>
        <w:trPr>
          <w:trHeight w:val="250"/>
        </w:trPr>
        <w:tc>
          <w:tcPr>
            <w:tcW w:w="7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TRSUs awarded</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643,892</w:t>
            </w:r>
          </w:p>
        </w:tc>
        <w:tc>
          <w:tcPr>
            <w:tcW w:w="3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40" w:type="dxa"/>
            <w:vAlign w:val="bottom"/>
            <w:shd w:val="clear" w:color="auto" w:fill="CFF0FC"/>
          </w:tcPr>
          <w:p>
            <w:pPr>
              <w:spacing w:after="0"/>
              <w:rPr>
                <w:sz w:val="21"/>
                <w:szCs w:val="21"/>
                <w:color w:val="auto"/>
              </w:rPr>
            </w:pPr>
          </w:p>
        </w:tc>
      </w:tr>
      <w:tr>
        <w:trPr>
          <w:trHeight w:val="237"/>
        </w:trPr>
        <w:tc>
          <w:tcPr>
            <w:tcW w:w="7260" w:type="dxa"/>
            <w:vAlign w:val="bottom"/>
          </w:tcPr>
          <w:p>
            <w:pPr>
              <w:ind w:left="200"/>
              <w:spacing w:after="0"/>
              <w:rPr>
                <w:sz w:val="20"/>
                <w:szCs w:val="20"/>
                <w:color w:val="auto"/>
              </w:rPr>
            </w:pPr>
            <w:r>
              <w:rPr>
                <w:rFonts w:ascii="Arial" w:cs="Arial" w:eastAsia="Arial" w:hAnsi="Arial"/>
                <w:sz w:val="18"/>
                <w:szCs w:val="18"/>
                <w:color w:val="auto"/>
              </w:rPr>
              <w:t>TRSUs vested</w:t>
            </w:r>
          </w:p>
        </w:tc>
        <w:tc>
          <w:tcPr>
            <w:tcW w:w="2140" w:type="dxa"/>
            <w:vAlign w:val="bottom"/>
            <w:gridSpan w:val="2"/>
          </w:tcPr>
          <w:p>
            <w:pPr>
              <w:jc w:val="right"/>
              <w:ind w:right="300"/>
              <w:spacing w:after="0"/>
              <w:rPr>
                <w:sz w:val="20"/>
                <w:szCs w:val="20"/>
                <w:color w:val="auto"/>
              </w:rPr>
            </w:pPr>
            <w:r>
              <w:rPr>
                <w:rFonts w:ascii="Arial" w:cs="Arial" w:eastAsia="Arial" w:hAnsi="Arial"/>
                <w:sz w:val="18"/>
                <w:szCs w:val="18"/>
                <w:color w:val="auto"/>
              </w:rPr>
              <w:t>(323,204 )</w:t>
            </w:r>
          </w:p>
        </w:tc>
        <w:tc>
          <w:tcPr>
            <w:tcW w:w="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w:t>
            </w:r>
          </w:p>
        </w:tc>
        <w:tc>
          <w:tcPr>
            <w:tcW w:w="140" w:type="dxa"/>
            <w:vAlign w:val="bottom"/>
          </w:tcPr>
          <w:p>
            <w:pPr>
              <w:spacing w:after="0"/>
              <w:rPr>
                <w:sz w:val="20"/>
                <w:szCs w:val="20"/>
                <w:color w:val="auto"/>
              </w:rPr>
            </w:pPr>
          </w:p>
        </w:tc>
      </w:tr>
      <w:tr>
        <w:trPr>
          <w:trHeight w:val="249"/>
        </w:trPr>
        <w:tc>
          <w:tcPr>
            <w:tcW w:w="7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TRSUs cancelled</w:t>
            </w:r>
          </w:p>
        </w:tc>
        <w:tc>
          <w:tcPr>
            <w:tcW w:w="21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(42,638 )</w:t>
            </w:r>
          </w:p>
        </w:tc>
        <w:tc>
          <w:tcPr>
            <w:tcW w:w="7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140" w:type="dxa"/>
            <w:vAlign w:val="bottom"/>
            <w:shd w:val="clear" w:color="auto" w:fill="CFF0FC"/>
          </w:tcPr>
          <w:p>
            <w:pPr>
              <w:spacing w:after="0"/>
              <w:rPr>
                <w:sz w:val="21"/>
                <w:szCs w:val="21"/>
                <w:color w:val="auto"/>
              </w:rPr>
            </w:pPr>
          </w:p>
        </w:tc>
      </w:tr>
      <w:tr>
        <w:trPr>
          <w:trHeight w:val="237"/>
        </w:trPr>
        <w:tc>
          <w:tcPr>
            <w:tcW w:w="72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1,490,934</w:t>
            </w:r>
          </w:p>
        </w:tc>
        <w:tc>
          <w:tcPr>
            <w:tcW w:w="380" w:type="dxa"/>
            <w:vAlign w:val="bottom"/>
            <w:tcBorders>
              <w:top w:val="single" w:sz="8" w:color="CFF0FC"/>
            </w:tcBorders>
          </w:tcPr>
          <w:p>
            <w:pPr>
              <w:spacing w:after="0"/>
              <w:rPr>
                <w:sz w:val="20"/>
                <w:szCs w:val="20"/>
                <w:color w:val="auto"/>
              </w:rPr>
            </w:pPr>
          </w:p>
        </w:tc>
        <w:tc>
          <w:tcPr>
            <w:tcW w:w="740" w:type="dxa"/>
            <w:vAlign w:val="bottom"/>
            <w:tcBorders>
              <w:top w:val="single" w:sz="8" w:color="CFF0FC"/>
            </w:tcBorders>
          </w:tcPr>
          <w:p>
            <w:pPr>
              <w:jc w:val="right"/>
              <w:ind w:right="5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2.72</w:t>
            </w:r>
          </w:p>
        </w:tc>
        <w:tc>
          <w:tcPr>
            <w:tcW w:w="140" w:type="dxa"/>
            <w:vAlign w:val="bottom"/>
            <w:tcBorders>
              <w:top w:val="single" w:sz="8" w:color="CFF0FC"/>
            </w:tcBorders>
          </w:tcPr>
          <w:p>
            <w:pPr>
              <w:spacing w:after="0"/>
              <w:rPr>
                <w:sz w:val="20"/>
                <w:szCs w:val="20"/>
                <w:color w:val="auto"/>
              </w:rPr>
            </w:pPr>
          </w:p>
        </w:tc>
      </w:tr>
      <w:tr>
        <w:trPr>
          <w:trHeight w:val="20"/>
        </w:trPr>
        <w:tc>
          <w:tcPr>
            <w:tcW w:w="72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-187960</wp:posOffset>
            </wp:positionV>
            <wp:extent cx="85725"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recorded $0.5 million and $0.4 million of stock-based compensation expense related to the TRSUs for the three months ended June 30, 2023 and 2022, respectively.</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recorded $1.0 million and $0.7 million of stock-based compensation expense related to the TRSUs for the six months ended June 30, 2023 and 2022,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RSUs ("PSUs")</w:t>
      </w:r>
    </w:p>
    <w:p>
      <w:pPr>
        <w:spacing w:after="0" w:line="117"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 October 2021, the Company granted 435,000 PSUs to executive employees with an aggregated grant date fair value of $2.3 million. Vesting for 50% of the PSUs granted will occur within one year of the grant date upon achievement of certain specific milestones ("2021-Tranche 1") and the remaining 50% will vest within two years of the grant date upon achievement of additional company objectives ("2021-Tranche 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July 2022, the Company determined that the performance condition for 2021-Tranche 1 was met and recorded $1.0 million of stock-based compensation expense for the year ended December 31, 2022. As the achievement of the milestones for Tranche 2 was not considered probable, no compensation cost was recorded for 2021-Tranche 2 of these awards through June 30, 2023.</w:t>
      </w:r>
    </w:p>
    <w:p>
      <w:pPr>
        <w:spacing w:after="0" w:line="21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August 2022, the Company granted 250,000 PSUs to executive employees with an aggregated grant date fair value of approximately $0.4 million. Vesting for 50% of the PSUs granted will occur upon attaining certain specific milestones by December 2023 (“2022-Tranche 1”), and the remaining 50% will vest upon attaining certain specific milestones by December 2024 (“2022-Tranche 2”). As of December 31, 2022, and June 30, 2023, the Company determined that it is probable that the performance conditions for 2022-Tranche 1 will be satisfied and hence recorded $55,000, $33,000 and $62,000 compensation cost, respectively, for those awards for the year ended December 31, 2022 and for the three and six months ended June 30, 2023. As of December 31, 2022 and June 30, 2023, the Company determined that it is not probable that the performance conditions for 2022-Tranche 2 will be satisfied and hence recorded no compensation cost for those awards through June 30, 2023.</w:t>
      </w:r>
    </w:p>
    <w:p>
      <w:pPr>
        <w:spacing w:after="0" w:line="17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 February 2023, the Company granted 710,000 PSUs to executive employees with an aggregated grant date fair value of approximately $1.8 million. Vesting for 50% of the PSUs granted will occur upon attaining certain specific milestones by December 2024 (“2023-Tranche 1”), and the remaining 50% will vest upon attaining certain specific milestones by December 2025 (“2023-Tranche 2”). The Company determined that it is not probable that the performance conditions will be satisfied for each of these tranches and hence no compensation cost was recorded for these awards through June 30,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Activities for the Company’s PSUs for the six months ended June 30, 2023 were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gridSpan w:val="4"/>
          </w:tcPr>
          <w:p>
            <w:pPr>
              <w:ind w:left="2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72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96"/>
              </w:rPr>
              <w:t>Weighted Average Grant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Date Fair Value Per Share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383,750</w:t>
            </w:r>
          </w:p>
        </w:tc>
        <w:tc>
          <w:tcPr>
            <w:tcW w:w="220" w:type="dxa"/>
            <w:vAlign w:val="bottom"/>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PSUs awarded</w:t>
            </w: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710,000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PSUs vested</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PSUs cancelled</w:t>
            </w: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(33,750 )</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720" w:type="dxa"/>
            <w:vAlign w:val="bottom"/>
            <w:tcBorders>
              <w:top w:val="single" w:sz="8" w:color="CFF0FC"/>
            </w:tcBorders>
          </w:tcPr>
          <w:p>
            <w:pPr>
              <w:spacing w:after="0"/>
              <w:rPr>
                <w:sz w:val="20"/>
                <w:szCs w:val="20"/>
                <w:color w:val="auto"/>
              </w:rPr>
            </w:pPr>
          </w:p>
        </w:tc>
        <w:tc>
          <w:tcPr>
            <w:tcW w:w="420" w:type="dxa"/>
            <w:vAlign w:val="bottom"/>
            <w:tcBorders>
              <w:top w:val="single" w:sz="8" w:color="CFF0FC"/>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1,060,000</w:t>
            </w:r>
          </w:p>
        </w:tc>
        <w:tc>
          <w:tcPr>
            <w:tcW w:w="220" w:type="dxa"/>
            <w:vAlign w:val="bottom"/>
            <w:tcBorders>
              <w:top w:val="single" w:sz="8" w:color="CFF0FC"/>
            </w:tcBorders>
          </w:tcPr>
          <w:p>
            <w:pPr>
              <w:spacing w:after="0"/>
              <w:rPr>
                <w:sz w:val="20"/>
                <w:szCs w:val="20"/>
                <w:color w:val="auto"/>
              </w:rPr>
            </w:pPr>
          </w:p>
        </w:tc>
        <w:tc>
          <w:tcPr>
            <w:tcW w:w="420" w:type="dxa"/>
            <w:vAlign w:val="bottom"/>
            <w:tcBorders>
              <w:top w:val="single" w:sz="8" w:color="CFF0FC"/>
            </w:tcBorders>
            <w:gridSpan w:val="2"/>
          </w:tcPr>
          <w:p>
            <w:pPr>
              <w:jc w:val="center"/>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CFF0FC"/>
            </w:tcBorders>
          </w:tcPr>
          <w:p>
            <w:pPr>
              <w:spacing w:after="0"/>
              <w:rPr>
                <w:sz w:val="20"/>
                <w:szCs w:val="20"/>
                <w:color w:val="auto"/>
              </w:rPr>
            </w:pPr>
          </w:p>
        </w:tc>
        <w:tc>
          <w:tcPr>
            <w:tcW w:w="420" w:type="dxa"/>
            <w:vAlign w:val="bottom"/>
            <w:tcBorders>
              <w:top w:val="single" w:sz="8" w:color="CFF0FC"/>
            </w:tcBorders>
          </w:tcPr>
          <w:p>
            <w:pPr>
              <w:spacing w:after="0"/>
              <w:rPr>
                <w:sz w:val="20"/>
                <w:szCs w:val="20"/>
                <w:color w:val="auto"/>
              </w:rPr>
            </w:pPr>
          </w:p>
        </w:tc>
        <w:tc>
          <w:tcPr>
            <w:tcW w:w="7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Stock-based Compensation</w:t>
            </w: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6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40" w:type="dxa"/>
            <w:vAlign w:val="bottom"/>
          </w:tcPr>
          <w:p>
            <w:pPr>
              <w:spacing w:after="0"/>
              <w:rPr>
                <w:sz w:val="20"/>
                <w:szCs w:val="20"/>
                <w:color w:val="auto"/>
              </w:rPr>
            </w:pPr>
            <w:r>
              <w:rPr>
                <w:rFonts w:ascii="Arial" w:cs="Arial" w:eastAsia="Arial" w:hAnsi="Arial"/>
                <w:sz w:val="18"/>
                <w:szCs w:val="18"/>
                <w:color w:val="auto"/>
              </w:rPr>
              <w:t>Total stock-based compensation recorded was as follows:</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5640" w:type="dxa"/>
            <w:vAlign w:val="bottom"/>
          </w:tcPr>
          <w:p>
            <w:pPr>
              <w:spacing w:after="0"/>
              <w:rPr>
                <w:sz w:val="24"/>
                <w:szCs w:val="24"/>
                <w:color w:val="auto"/>
              </w:rPr>
            </w:pPr>
          </w:p>
        </w:tc>
        <w:tc>
          <w:tcPr>
            <w:tcW w:w="21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Six Months Ended</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640" w:type="dxa"/>
            <w:vAlign w:val="bottom"/>
            <w:vMerge w:val="restart"/>
          </w:tcPr>
          <w:p>
            <w:pPr>
              <w:ind w:left="20"/>
              <w:spacing w:after="0"/>
              <w:rPr>
                <w:sz w:val="20"/>
                <w:szCs w:val="20"/>
                <w:color w:val="auto"/>
              </w:rPr>
            </w:pPr>
            <w:r>
              <w:rPr>
                <w:rFonts w:ascii="Arial" w:cs="Arial" w:eastAsia="Arial" w:hAnsi="Arial"/>
                <w:sz w:val="18"/>
                <w:szCs w:val="18"/>
                <w:color w:val="auto"/>
              </w:rPr>
              <w:t>Stock-based compensation expense:</w:t>
            </w: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ind w:left="140"/>
              <w:spacing w:after="0"/>
              <w:rPr>
                <w:sz w:val="20"/>
                <w:szCs w:val="20"/>
                <w:color w:val="auto"/>
              </w:rPr>
            </w:pPr>
            <w:r>
              <w:rPr>
                <w:rFonts w:ascii="Arial" w:cs="Arial" w:eastAsia="Arial" w:hAnsi="Arial"/>
                <w:sz w:val="14"/>
                <w:szCs w:val="14"/>
                <w:b w:val="1"/>
                <w:bCs w:val="1"/>
                <w:color w:val="auto"/>
              </w:rPr>
              <w:t>(in</w:t>
            </w:r>
          </w:p>
        </w:tc>
        <w:tc>
          <w:tcPr>
            <w:tcW w:w="10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76"/>
              </w:rPr>
              <w:t>thousands)</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64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0"/>
                <w:szCs w:val="20"/>
                <w:color w:val="auto"/>
              </w:rPr>
            </w:pPr>
            <w:r>
              <w:rPr>
                <w:rFonts w:ascii="Arial" w:cs="Arial" w:eastAsia="Arial" w:hAnsi="Arial"/>
                <w:sz w:val="18"/>
                <w:szCs w:val="18"/>
                <w:color w:val="auto"/>
                <w:w w:val="88"/>
              </w:rPr>
              <w:t>2,091</w:t>
            </w:r>
          </w:p>
        </w:tc>
        <w:tc>
          <w:tcPr>
            <w:tcW w:w="800" w:type="dxa"/>
            <w:vAlign w:val="bottom"/>
            <w:gridSpan w:val="2"/>
            <w:shd w:val="clear" w:color="auto" w:fill="CFF0FC"/>
          </w:tcPr>
          <w:p>
            <w:pPr>
              <w:jc w:val="right"/>
              <w:ind w:right="3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3"/>
              </w:rPr>
              <w:t>1,875</w:t>
            </w:r>
          </w:p>
        </w:tc>
        <w:tc>
          <w:tcPr>
            <w:tcW w:w="72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3,696</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1,457</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2,399</w:t>
            </w:r>
          </w:p>
        </w:tc>
        <w:tc>
          <w:tcPr>
            <w:tcW w:w="3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2,905</w:t>
            </w:r>
          </w:p>
        </w:tc>
        <w:tc>
          <w:tcPr>
            <w:tcW w:w="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stock-based compensation expense</w:t>
            </w: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2,371</w:t>
            </w:r>
          </w:p>
        </w:tc>
        <w:tc>
          <w:tcPr>
            <w:tcW w:w="3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88"/>
              </w:rPr>
              <w:t>4,490</w:t>
            </w:r>
          </w:p>
        </w:tc>
        <w:tc>
          <w:tcPr>
            <w:tcW w:w="30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316"/>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spacing w:after="0"/>
              <w:rPr>
                <w:sz w:val="24"/>
                <w:szCs w:val="24"/>
                <w:color w:val="auto"/>
              </w:rPr>
            </w:pPr>
          </w:p>
        </w:tc>
        <w:tc>
          <w:tcPr>
            <w:tcW w:w="420" w:type="dxa"/>
            <w:vAlign w:val="bottom"/>
            <w:tcBorders>
              <w:bottom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93"/>
              </w:rPr>
              <w:t>4,780</w:t>
            </w:r>
          </w:p>
        </w:tc>
        <w:tc>
          <w:tcPr>
            <w:tcW w:w="3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7,860</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-2031365</wp:posOffset>
            </wp:positionV>
            <wp:extent cx="93980"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-24765</wp:posOffset>
            </wp:positionV>
            <wp:extent cx="857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3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March 4, 2020, Vytacera Bio, LLC 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In September 2022, the Company filed a motion to dismiss the case and the Court granted the parties’ stipulation to stay all pending case deadlines until that motion is finally resolved. The Company believes that the lawsuit is without merit and intends to vigorously defend itself. The Company does not believe a loss is probable and has not recorded any amount as a contingent liability for claims associated with this lawsuit as of June 30, 2023.</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 maintains a full valuation allowance against its net deferred tax assets due to the Company’s history of losses as of June 30, 2023 and December 31, 2022</w:t>
      </w:r>
      <w:r>
        <w:rPr>
          <w:rFonts w:ascii="Arial" w:cs="Arial" w:eastAsia="Arial" w:hAnsi="Arial"/>
          <w:sz w:val="18"/>
          <w:szCs w:val="18"/>
          <w:i w:val="1"/>
          <w:iCs w:val="1"/>
          <w:color w:val="auto"/>
        </w:rPr>
        <w:t>.</w:t>
      </w:r>
    </w:p>
    <w:p>
      <w:pPr>
        <w:spacing w:after="0" w:line="21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Company files income taxes in the U.S. federal jurisdiction, the state of California and various other U.S. states. The Company is currently under examination by the state of California for the years 2017 and 2018. The examination contests the Company’s tax position on revenue apportionment for upfront and milestone payments resulting from the Company’s collaboration and licensing agreements. As of the date of this filing, the state of California has not proposed adjustments to the tax returns. Due to the ongoing nature of the examination and discussions with the state of California, the Company is unable to estimate a date by which this matter will be resolved or reasonably estimate the potential impact should the tax position be revised. Based on the Company's current expectations and understanding of the reasonably possible outcomes, the Company does not anticipate that the resolution of this matter would result in a material impact on its financial position or results of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Restructuring</w:t>
      </w:r>
    </w:p>
    <w:p>
      <w:pPr>
        <w:spacing w:after="0" w:line="13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On July 13, 2022, the Company announced a restructuring plan to prioritize its resources on its emerging pre-clinical and early clinical pipeline as well as its existing collaboration partnerships. The restructuring plan resulted in a reduction to its workforce of approximately 40%. Restructuring costs of $2.4 million and $5.1 million were recorded in general and administrative expense and research and development expense, respectively, in the third and fourth quarters of 2022. The restructuring was substantially complete as of December 31,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accrued restructuring costs as of June 30, 2023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5"/>
              </w:rPr>
              <w:t>Severance and</w:t>
            </w: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Contract Termination</w:t>
            </w:r>
          </w:p>
        </w:tc>
        <w:tc>
          <w:tcPr>
            <w:tcW w:w="180" w:type="dxa"/>
            <w:vAlign w:val="bottom"/>
          </w:tcPr>
          <w:p>
            <w:pPr>
              <w:spacing w:after="0"/>
              <w:rPr>
                <w:sz w:val="14"/>
                <w:szCs w:val="14"/>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Stock Based</w:t>
            </w:r>
          </w:p>
        </w:tc>
        <w:tc>
          <w:tcPr>
            <w:tcW w:w="320" w:type="dxa"/>
            <w:vAlign w:val="bottom"/>
          </w:tcPr>
          <w:p>
            <w:pPr>
              <w:spacing w:after="0"/>
              <w:rPr>
                <w:sz w:val="14"/>
                <w:szCs w:val="14"/>
                <w:color w:val="auto"/>
              </w:rPr>
            </w:pPr>
          </w:p>
        </w:tc>
        <w:tc>
          <w:tcPr>
            <w:tcW w:w="12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5"/>
              </w:rPr>
              <w:t>Benefits Costs</w:t>
            </w:r>
          </w:p>
        </w:tc>
        <w:tc>
          <w:tcPr>
            <w:tcW w:w="320" w:type="dxa"/>
            <w:vAlign w:val="bottom"/>
          </w:tcPr>
          <w:p>
            <w:pPr>
              <w:spacing w:after="0"/>
              <w:rPr>
                <w:sz w:val="16"/>
                <w:szCs w:val="16"/>
                <w:color w:val="auto"/>
              </w:rPr>
            </w:pPr>
          </w:p>
        </w:tc>
        <w:tc>
          <w:tcPr>
            <w:tcW w:w="14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6"/>
                <w:szCs w:val="16"/>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Compensation</w:t>
            </w:r>
          </w:p>
        </w:tc>
        <w:tc>
          <w:tcPr>
            <w:tcW w:w="3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Total restructuring cost recorded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7,617</w:t>
            </w:r>
          </w:p>
        </w:tc>
        <w:tc>
          <w:tcPr>
            <w:tcW w:w="3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3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3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Cash payment</w:t>
            </w:r>
          </w:p>
        </w:tc>
        <w:tc>
          <w:tcPr>
            <w:tcW w:w="1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(5,812 )</w:t>
            </w:r>
          </w:p>
        </w:tc>
        <w:tc>
          <w:tcPr>
            <w:tcW w:w="3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(5,812 )</w:t>
            </w:r>
          </w:p>
        </w:tc>
        <w:tc>
          <w:tcPr>
            <w:tcW w:w="0" w:type="dxa"/>
            <w:vAlign w:val="bottom"/>
          </w:tcPr>
          <w:p>
            <w:pPr>
              <w:spacing w:after="0"/>
              <w:rPr>
                <w:sz w:val="1"/>
                <w:szCs w:val="1"/>
                <w:color w:val="auto"/>
              </w:rPr>
            </w:pPr>
          </w:p>
        </w:tc>
      </w:tr>
      <w:tr>
        <w:trPr>
          <w:trHeight w:val="237"/>
        </w:trPr>
        <w:tc>
          <w:tcPr>
            <w:tcW w:w="4500" w:type="dxa"/>
            <w:vAlign w:val="bottom"/>
            <w:gridSpan w:val="2"/>
          </w:tcPr>
          <w:p>
            <w:pPr>
              <w:ind w:left="120"/>
              <w:spacing w:after="0"/>
              <w:rPr>
                <w:sz w:val="20"/>
                <w:szCs w:val="20"/>
                <w:color w:val="auto"/>
              </w:rPr>
            </w:pPr>
            <w:r>
              <w:rPr>
                <w:rFonts w:ascii="Arial" w:cs="Arial" w:eastAsia="Arial" w:hAnsi="Arial"/>
                <w:sz w:val="18"/>
                <w:szCs w:val="18"/>
                <w:color w:val="auto"/>
              </w:rPr>
              <w:t>Change in estimates</w:t>
            </w:r>
          </w:p>
        </w:tc>
        <w:tc>
          <w:tcPr>
            <w:tcW w:w="180" w:type="dxa"/>
            <w:vAlign w:val="bottom"/>
          </w:tcPr>
          <w:p>
            <w:pPr>
              <w:spacing w:after="0"/>
              <w:rPr>
                <w:sz w:val="20"/>
                <w:szCs w:val="20"/>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(293 )</w:t>
            </w:r>
          </w:p>
        </w:tc>
        <w:tc>
          <w:tcPr>
            <w:tcW w:w="3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(14 )</w:t>
            </w:r>
          </w:p>
        </w:tc>
        <w:tc>
          <w:tcPr>
            <w:tcW w:w="18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(307 )</w:t>
            </w:r>
          </w:p>
        </w:tc>
        <w:tc>
          <w:tcPr>
            <w:tcW w:w="0" w:type="dxa"/>
            <w:vAlign w:val="bottom"/>
          </w:tcPr>
          <w:p>
            <w:pPr>
              <w:spacing w:after="0"/>
              <w:rPr>
                <w:sz w:val="1"/>
                <w:szCs w:val="1"/>
                <w:color w:val="auto"/>
              </w:rPr>
            </w:pPr>
          </w:p>
        </w:tc>
      </w:tr>
      <w:tr>
        <w:trPr>
          <w:trHeight w:val="243"/>
        </w:trPr>
        <w:tc>
          <w:tcPr>
            <w:tcW w:w="4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Non-cash charges</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(175 )</w:t>
            </w:r>
          </w:p>
        </w:tc>
        <w:tc>
          <w:tcPr>
            <w:tcW w:w="3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(175 )</w:t>
            </w:r>
          </w:p>
        </w:tc>
        <w:tc>
          <w:tcPr>
            <w:tcW w:w="0" w:type="dxa"/>
            <w:vAlign w:val="bottom"/>
          </w:tcPr>
          <w:p>
            <w:pPr>
              <w:spacing w:after="0"/>
              <w:rPr>
                <w:sz w:val="1"/>
                <w:szCs w:val="1"/>
                <w:color w:val="auto"/>
              </w:rPr>
            </w:pPr>
          </w:p>
        </w:tc>
      </w:tr>
      <w:tr>
        <w:trPr>
          <w:trHeight w:val="243"/>
        </w:trPr>
        <w:tc>
          <w:tcPr>
            <w:tcW w:w="43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180" w:type="dxa"/>
            <w:vAlign w:val="bottom"/>
            <w:tcBorders>
              <w:top w:val="single" w:sz="8" w:color="CFF0FC"/>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1,512</w:t>
            </w:r>
          </w:p>
        </w:tc>
        <w:tc>
          <w:tcPr>
            <w:tcW w:w="340" w:type="dxa"/>
            <w:vAlign w:val="bottom"/>
            <w:tcBorders>
              <w:top w:val="single" w:sz="8" w:color="CFF0FC"/>
            </w:tcBorders>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320" w:type="dxa"/>
            <w:vAlign w:val="bottom"/>
            <w:tcBorders>
              <w:top w:val="single" w:sz="8" w:color="CFF0FC"/>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1,676</w:t>
            </w:r>
          </w:p>
        </w:tc>
        <w:tc>
          <w:tcPr>
            <w:tcW w:w="140" w:type="dxa"/>
            <w:vAlign w:val="bottom"/>
            <w:tcBorders>
              <w:top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tcPr>
          <w:p>
            <w:pPr>
              <w:ind w:left="160"/>
              <w:spacing w:after="0"/>
              <w:rPr>
                <w:sz w:val="20"/>
                <w:szCs w:val="20"/>
                <w:color w:val="auto"/>
              </w:rPr>
            </w:pPr>
            <w:r>
              <w:rPr>
                <w:rFonts w:ascii="Arial" w:cs="Arial" w:eastAsia="Arial" w:hAnsi="Arial"/>
                <w:sz w:val="18"/>
                <w:szCs w:val="18"/>
                <w:color w:val="auto"/>
              </w:rPr>
              <w:t>Cash payment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(1,427 )</w:t>
            </w:r>
          </w:p>
        </w:tc>
        <w:tc>
          <w:tcPr>
            <w:tcW w:w="3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(50 )</w:t>
            </w:r>
          </w:p>
        </w:tc>
        <w:tc>
          <w:tcPr>
            <w:tcW w:w="18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(1,477 )</w:t>
            </w:r>
          </w:p>
        </w:tc>
        <w:tc>
          <w:tcPr>
            <w:tcW w:w="0" w:type="dxa"/>
            <w:vAlign w:val="bottom"/>
          </w:tcPr>
          <w:p>
            <w:pPr>
              <w:spacing w:after="0"/>
              <w:rPr>
                <w:sz w:val="1"/>
                <w:szCs w:val="1"/>
                <w:color w:val="auto"/>
              </w:rPr>
            </w:pPr>
          </w:p>
        </w:tc>
      </w:tr>
      <w:tr>
        <w:trPr>
          <w:trHeight w:val="243"/>
        </w:trPr>
        <w:tc>
          <w:tcPr>
            <w:tcW w:w="45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Change in estimates</w:t>
            </w:r>
          </w:p>
        </w:tc>
        <w:tc>
          <w:tcPr>
            <w:tcW w:w="1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(55 )</w:t>
            </w:r>
          </w:p>
        </w:tc>
        <w:tc>
          <w:tcPr>
            <w:tcW w:w="3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(114 )</w:t>
            </w:r>
          </w:p>
        </w:tc>
        <w:tc>
          <w:tcPr>
            <w:tcW w:w="1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(169 )</w:t>
            </w:r>
          </w:p>
        </w:tc>
        <w:tc>
          <w:tcPr>
            <w:tcW w:w="0" w:type="dxa"/>
            <w:vAlign w:val="bottom"/>
          </w:tcPr>
          <w:p>
            <w:pPr>
              <w:spacing w:after="0"/>
              <w:rPr>
                <w:sz w:val="1"/>
                <w:szCs w:val="1"/>
                <w:color w:val="auto"/>
              </w:rPr>
            </w:pPr>
          </w:p>
        </w:tc>
      </w:tr>
      <w:tr>
        <w:trPr>
          <w:trHeight w:val="237"/>
        </w:trPr>
        <w:tc>
          <w:tcPr>
            <w:tcW w:w="450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color w:val="auto"/>
              </w:rPr>
              <w:t>Balance at June 30, 2023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4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-659130</wp:posOffset>
            </wp:positionV>
            <wp:extent cx="857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-659130</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-659130</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-659130</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-187960</wp:posOffset>
            </wp:positionV>
            <wp:extent cx="85725"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-187960</wp:posOffset>
            </wp:positionV>
            <wp:extent cx="85725"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-187960</wp:posOffset>
            </wp:positionV>
            <wp:extent cx="85725"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w:t>
      </w:r>
      <w:r>
        <w:rPr>
          <w:rFonts w:ascii="Arial" w:cs="Arial" w:eastAsia="Arial" w:hAnsi="Arial"/>
          <w:sz w:val="18"/>
          <w:szCs w:val="18"/>
          <w:color w:val="auto"/>
        </w:rPr>
        <w: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Sublease</w:t>
      </w:r>
    </w:p>
    <w:p>
      <w:pPr>
        <w:spacing w:after="0" w:line="13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has a lease of office and laboratory space located in South San Francisco, California for the Company’s corporate headquarters (the “2016 Lease”). The 2016 Lease has an initial term of ten years through 2026 and the Company has an option to extend the initial term for an additional five years at the then fair rental value as determined pursuant to the 2016 Lease.</w:t>
      </w:r>
    </w:p>
    <w:p>
      <w:pPr>
        <w:spacing w:after="0" w:line="22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March 2023, the Company entered into a sublease agreement for a portion of its existing office and laboratory space. The sublease is classified as an operating lease whereby sublease income is recognized on a straight-line basis over the sublease term that expires on September 30, 2026. For the three and six months ended June 30, 2023, sublease income was $0.3 million.</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0" w:type="dxa"/>
            <w:vAlign w:val="bottom"/>
          </w:tcPr>
          <w:p>
            <w:pPr>
              <w:jc w:val="right"/>
              <w:ind w:right="715"/>
              <w:spacing w:after="0"/>
              <w:rPr>
                <w:sz w:val="20"/>
                <w:szCs w:val="20"/>
                <w:color w:val="auto"/>
              </w:rPr>
            </w:pPr>
            <w:r>
              <w:rPr>
                <w:rFonts w:ascii="Arial" w:cs="Arial" w:eastAsia="Arial" w:hAnsi="Arial"/>
                <w:sz w:val="14"/>
                <w:szCs w:val="14"/>
                <w:b w:val="1"/>
                <w:bCs w:val="1"/>
                <w:color w:val="auto"/>
              </w:rPr>
              <w:t>June 30, 2023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08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Future sublease income payments</w:t>
            </w:r>
          </w:p>
        </w:tc>
        <w:tc>
          <w:tcPr>
            <w:tcW w:w="45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0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120"/>
              <w:spacing w:after="0"/>
              <w:rPr>
                <w:sz w:val="20"/>
                <w:szCs w:val="20"/>
                <w:color w:val="auto"/>
              </w:rPr>
            </w:pPr>
            <w:r>
              <w:rPr>
                <w:rFonts w:ascii="Arial" w:cs="Arial" w:eastAsia="Arial" w:hAnsi="Arial"/>
                <w:sz w:val="18"/>
                <w:szCs w:val="18"/>
                <w:color w:val="auto"/>
              </w:rPr>
              <w:t>Remainder of 2023</w:t>
            </w:r>
          </w:p>
        </w:tc>
        <w:tc>
          <w:tcPr>
            <w:tcW w:w="5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649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2024</w:t>
            </w:r>
          </w:p>
        </w:tc>
        <w:tc>
          <w:tcPr>
            <w:tcW w:w="45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120"/>
              <w:spacing w:after="0"/>
              <w:rPr>
                <w:sz w:val="20"/>
                <w:szCs w:val="20"/>
                <w:color w:val="auto"/>
              </w:rPr>
            </w:pPr>
            <w:r>
              <w:rPr>
                <w:rFonts w:ascii="Arial" w:cs="Arial" w:eastAsia="Arial" w:hAnsi="Arial"/>
                <w:sz w:val="18"/>
                <w:szCs w:val="18"/>
                <w:color w:val="auto"/>
              </w:rPr>
              <w:t>2025</w:t>
            </w:r>
          </w:p>
        </w:tc>
        <w:tc>
          <w:tcPr>
            <w:tcW w:w="4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1,379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2026</w:t>
            </w:r>
          </w:p>
        </w:tc>
        <w:tc>
          <w:tcPr>
            <w:tcW w:w="45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80" w:type="dxa"/>
            <w:vAlign w:val="bottom"/>
          </w:tcPr>
          <w:p>
            <w:pPr>
              <w:ind w:left="120"/>
              <w:spacing w:after="0"/>
              <w:rPr>
                <w:sz w:val="20"/>
                <w:szCs w:val="20"/>
                <w:color w:val="auto"/>
              </w:rPr>
            </w:pPr>
            <w:r>
              <w:rPr>
                <w:rFonts w:ascii="Arial" w:cs="Arial" w:eastAsia="Arial" w:hAnsi="Arial"/>
                <w:sz w:val="18"/>
                <w:szCs w:val="18"/>
                <w:color w:val="auto"/>
              </w:rPr>
              <w:t>Total sublease income payments</w:t>
            </w:r>
          </w:p>
        </w:tc>
        <w:tc>
          <w:tcPr>
            <w:tcW w:w="5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4,428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4560" w:type="dxa"/>
            <w:vAlign w:val="bottom"/>
            <w:vMerge w:val="restart"/>
          </w:tcPr>
          <w:p>
            <w:pPr>
              <w:jc w:val="right"/>
              <w:ind w:right="2830"/>
              <w:spacing w:after="0"/>
              <w:rPr>
                <w:sz w:val="20"/>
                <w:szCs w:val="20"/>
                <w:color w:val="auto"/>
              </w:rPr>
            </w:pPr>
            <w:r>
              <w:rPr>
                <w:rFonts w:ascii="Arial" w:cs="Arial" w:eastAsia="Arial" w:hAnsi="Arial"/>
                <w:sz w:val="18"/>
                <w:szCs w:val="18"/>
                <w:color w:val="auto"/>
              </w:rPr>
              <w:t>19</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08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-685165</wp:posOffset>
            </wp:positionV>
            <wp:extent cx="85725"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right="-5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13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July 2023, the Company entered into an agreement with BVF Partners L.P. (“BVF”) for a private placement that resulted in initial gross proceeds of approximately $30.0 million. In the private placement, CytomX issued pre-funded warrants to BVF to purchase up to 14,423,077 shares of common stock, accompanying Tranche 1 warrants to purchase up to 5,769,231 shares of common stock and accompanying Tranche 2 warrants to purchase up to 5,769,231 shares of common stock, at a combined price of $2.08 per share.</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Each pre-funded warrant has an exercise price of $0.00001 per share of common stock, are immediately exercisable and will be exercisable for 20 years. The accompanying Tranche 1 warrants have an exercise price of $4.16 per share of common stock, are immediately exercisable and will expire in July 2025. The accompanying Tranche 2 warrants have an exercise price of $6.24 per share of common stock, are immediately exercisable and will expire in July 2026.</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You should read the following management’s discussion and analysis of our financial condition and results of operations in conjunction with our unaudited condensed financial statements and notes thereto included in Part I, Item 1 of this Quarterly Report on Form 10-Q and with our audited financial statements and notes thereto for the year ended December 31, 2022, included in our Annual Report on Form 10-K as filed with the U.S. Securities and Exchange Commission (“SEC”) on March 27, 2023. This discussion and other parts of this report contain forward-looking statements that involve risks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titled “Risk Factors.” Except as may be required by law, we assume no obligation to update these forward-looking statements or the reasons that results could differ from these forward-looking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are a clinical-stage, oncology-focused biopharmaceutical company focused on developing novel conditionally activated, biologics localized to the tumor microenvironment. We aim to build a commercial enterprise to maximize our impact on the treatment of cancer. By pioneering a novel class of localized biologic drug candidates, powered by our Probody® therapeutic technology platform, we lead the field of conditionally activated oncology therapeutics and have established biologics localization as a strategic area of research and development. Our goal is to transcend the limits of current cancer treatments by successfully leveraging therapeutic targets and strategies that were once thought to be inaccessible.</w:t>
      </w:r>
    </w:p>
    <w:p>
      <w:pPr>
        <w:spacing w:after="0" w:line="2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proprietary and versatile Probody technology platform is designed to enable conditional activation of biologic therapeutic candidates within the tumor microenvironment, while minimizing drug activity in healthy tissues and circulation. Our industry-leading platform is built on a strong foundation of tumor biology expertise, including deep knowledge of tumor-associated enzymes known as proteases. Proteases are tightly controlled in normal tissues but often poorly regulated and active in tumor microenvironments where they play important roles in cancer cell migration, invasion and metastasis. Leveraging our deep scientific knowledge, we conceived of and constructed our Probody therapeutic platform which allows us to genetically engineer biologic therapeutic candidates to contain protease-cleavable masks. Our masking strategy is designed to reduce binding of biologic therapeutics to their targets until the mask is removed by proteases in the tumor microenvironment, providing more selective targeting of the tumor. We believe this innovative approach has the potential to improve cancer treatment in three ways:</w:t>
      </w:r>
    </w:p>
    <w:p>
      <w:pPr>
        <w:spacing w:after="0" w:line="70" w:lineRule="exact"/>
        <w:rPr>
          <w:sz w:val="20"/>
          <w:szCs w:val="20"/>
          <w:color w:val="auto"/>
        </w:rPr>
      </w:pPr>
    </w:p>
    <w:p>
      <w:pPr>
        <w:ind w:left="1020" w:right="26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Allowing the pursuit of high potential targets that were previously considered “undruggable” due to their ubiquitous expression on normal tissues;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Enhancing a potential product’s “therapeutic window,” the balance between tolerability and anti-tumor activity;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Enabling the development of new combination therapies, including immunotherapies, by improving tolerability.</w:t>
      </w:r>
    </w:p>
    <w:p>
      <w:pPr>
        <w:spacing w:after="0" w:line="252" w:lineRule="exact"/>
        <w:rPr>
          <w:sz w:val="20"/>
          <w:szCs w:val="20"/>
          <w:color w:val="auto"/>
        </w:rPr>
      </w:pPr>
    </w:p>
    <w:p>
      <w:pPr>
        <w:jc w:val="both"/>
        <w:ind w:right="180"/>
        <w:spacing w:after="0" w:line="301" w:lineRule="auto"/>
        <w:rPr>
          <w:sz w:val="20"/>
          <w:szCs w:val="20"/>
          <w:color w:val="auto"/>
        </w:rPr>
      </w:pPr>
      <w:r>
        <w:rPr>
          <w:rFonts w:ascii="Arial" w:cs="Arial" w:eastAsia="Arial" w:hAnsi="Arial"/>
          <w:sz w:val="16"/>
          <w:szCs w:val="16"/>
          <w:color w:val="auto"/>
        </w:rPr>
        <w:t>We are employing our leading, conditional activation platform technology to address some of the biggest challenges today in oncology biologics research and development. These include the validation of potential new targets for antibody-drug conjugates (“ADCs”), opening solid tumor opportunities for T-cell engaging bispecific antibodies (“TCBs”), and increasing the therapeutic window for immune modulators such as cytokines and checkpoint inhibitors (“CPIs”). Additionally, we have recently initiated a research collaboration with our Probody platform beyond cancer into other therapeutic areas.</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utilized our multi-modality Probody platform to build a promising, broad pipeline of potential first-in-class and best-in-class therapeutics that includes molecules in clinical testing including: CX-2029, a Probody ADC targeting CD71; CX-904, a conditionally activated TCB, targeting the epidermal growth factor receptor (“EGFR”) on tumor cells and the CD3 receptor on T cells and BMS-986288, a Probody version of a non-fucosylated anti-CTLA-4 antibody.</w:t>
      </w:r>
    </w:p>
    <w:p>
      <w:pPr>
        <w:spacing w:after="0" w:line="22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We also have a broad pre-clinical pipeline across our collaborations and internally, including two wholly-owned next-generation molecules in investigational new drug application (“IND”) enabling studies. For our next generation molecules, we have selected the previously validated anti-cancer targets, the epithelial cell adhesion molecule (EpCAM) and interferon alpha-2b (IFNa2b), that have been limited in their potential due to systemic toxicities. In the molecular design of CX-2051, an ADC, and CX-801, a masked cytokine, we have incorporated our platform expertise and clinical learnings to optimize predicted therapeutic index in order to potentially broaden the clinical utility of these promising targets through tumor localized conditional activation.</w:t>
      </w:r>
    </w:p>
    <w:p>
      <w:pPr>
        <w:spacing w:after="0" w:line="219"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CX-2029, which was partnered with Abbvie until March 2023, is a conditionally activated ADC directed toward the previously undruggable target CD71. Having demonstrated favorable tolerability and encouraging anti-tumor activity in Phase 1 studies, CX-2029 entered into a four-cohort Phase 2 expansion study initially designed to enroll twenty-five efficacy evaluable patients per cohort in the following malignancies: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8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squamous non-small cell lung cancer (“sqNSCLC”), head and neck squamous cell carcinoma (“HNSCC”), esophageal and gastro-esophageal junction (“E/GEJ”) cancers, and diffuse large B-cell lymphoma (“DLBCL”). The DLBCL cohort was later deprioritized due to strategic and competitive reasons and did not enroll any patients. In January 2023, a data update for the Phase 2 expansion was disclosed which included data across all fully enrolled cohorts. The study results reflected an August 5, 2022 full data cut-off and an October 4, 2022 data snapshot for efficacy. The data demonstrated encouraging clinical activity in unselected, heavily pre-treated patients with tumors of squamous histology including a 21% objective response rate (ORR) in squamous esophageal cancer and a 10% ORR in squamous non-small cell lung cancer (sqNSCLC). The adverse event (AE) profile was consistent with Phase 1 observations with anemia (82.6%) being the most common treatment related adverse event (TRAE). Anemia was managed with transfusions, dose delays, and dose reductions. The treatment discontinuation rate due to AEs was 3.3% as a result of anemia. In March 2023, CytomX announced that it would evaluate potential next steps for CX-2029 following the decision from its collaboration partner, AbbVie, Inc., to not advance CX-2029 into additional clinical studies. As a result of AbbVie’s decision, the 2016 CD71 License and Collaboration Agreement has been terminated and CytomX has an exclusive option to re-acquire full rights to CX-2029.</w:t>
      </w:r>
    </w:p>
    <w:p>
      <w:pPr>
        <w:spacing w:after="0" w:line="20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partner, Bristol Myers Squibb, is conducting a randomized Phase 2 study evaluating BMS-986249, a Probody version of ipilimumab, the anti-CTLA-4 antibody, in combination with nivolumab, the anti-PD-1 antibody, in patients with metastatic melanoma. In addition, BMS-986249 is being studied in combination with nivolumab in three additional indications: advanced hepatocellular carcinoma, metastatic castration-resistant prostate cancer and advanced TNBC. Bristol Myers Squibb also continues to evaluate BMS-986288, a Probody version of non-fucosylated ipilimumab, as monotherapy or in combination with nivolumab in a Phase 1 / 2 clinical study. In February 2023, BMS prioritized BMS-986288 as its lead next-generation anti-CTLA-4 program over two other anti-CTLA-4 programs including BMS-986249.</w:t>
      </w:r>
    </w:p>
    <w:p>
      <w:pPr>
        <w:spacing w:after="0" w:line="23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Reinforcing our leadership in the field of conditional activation, in 2022 we advanced our first T-cell engaging bispecific antibody (TCB) into the clinic. CX-904, partnered with Amgen, is a conditionally activated TCB against EGFR and CD3. In preclinical studies, CytomX’s Probody EGFRxCD3 bispecific therapeutics demonstrated anti-tumor activity and better tolerability when compared to EGFRxCD3 bispecifics without Probody masking. In May 2022, the first patient was dosed in a Phase 1 study evaluating CX-904 as a treatment for patients with advanced solid tumors. Patient enrollment in the Phase 1 dose escalation portion of the study continues to progress. We reported in January 2023 that the initial single patient cohort phase of the study was complete and that the “3+3” patient cohort phase had been initiated. The Company anticipates initial CX-904 Phase 1 dose escalation data in the first half of 2024.</w:t>
      </w:r>
    </w:p>
    <w:p>
      <w:pPr>
        <w:spacing w:after="0" w:line="2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pipeline also includes CX-2051, a wholly-owned conditionally activated ADC paired with a next-generation camptothecin payload and directed toward the epithelial cellular adhesion molecule (EpCAM). CX-2051 has been tailored to optimize the therapeutic index for the systemic treatment of EpCAM-expressing epithelial cancers where previous industry efforts targeting EpCAM have not been successful due to dose-limiting toxicities. CX-2051 has demonstrated a wide predicted therapeutic index and strong preclinical activity and tolerability in multiple preclinical models, including colorectal cancer. We plan to submit an IND for this program in the fourth quarter of 2023.</w:t>
      </w:r>
    </w:p>
    <w:p>
      <w:pPr>
        <w:spacing w:after="0" w:line="21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Praluzatamab ravtansine is our conditionally activated ADC directed toward CD166 which has been evaluated in a three-arm study in patients with advanced human epidermal growth factor receptor 2 (“HER2”)-non-amplified breast cancer. Arms A and B examined praluzatamab ravtansine monotherapy in patients with hormone receptor-positive/HER2-non-amplified breast cancer and triple-negative breast cancer (“TNBC”), respectively. Arm C studied praluzatamab ravtansine in combination with pacmilimab (CX-072), our wholly-owned PD-L1 inhibitor, in patients with TNBC. In July 2022, Phase 2 topline results were disclosed for Arms A and B. Based on the reported results, the Company deprioritized further investment.</w:t>
      </w:r>
    </w:p>
    <w:p>
      <w:pPr>
        <w:spacing w:after="0" w:line="25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Another wholly-owned emerging product candidate is CX-801, an interferon ("IFN") alpha-2b Probody. IFNa2b provides a potentially superior approach to activating anti-tumor immune responses than other cytokines. CX-801 is a dually masked, conditionally activated version of IFNa2b that has the potential to become a unique centerpiece of combination therapy for a wide range of tumor types. An IND submission for CX-801 is planned in the fourth quarter of 2023.</w:t>
      </w:r>
    </w:p>
    <w:p>
      <w:pPr>
        <w:spacing w:after="0" w:line="214"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We are also continuously engaged in drug discovery efforts towards the generation of new clinical candidates across multiple modalities for the treatment of cancer, including additional ADCs, Cytokines, TCBs, and most recently, mRNAs reflecting the versatility of our Probody platform. We currently have more than 15 active drug discovery and/or development programs.</w:t>
      </w:r>
    </w:p>
    <w:p>
      <w:pPr>
        <w:spacing w:after="0" w:line="2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do not have any products approved for sale, and we continue to incur significant research and development and general administrative expenses related to our operations. We are not profitable and have incurred losses in each year since our founding in 2008. Our net loss was $1.1 million and $4.4 million for the three and six months ended June 30, 2023. As of June 30, 2023 and December 31, 2022, we had an accumulated deficit of $727.3 million and $722.9 million, respectively. We expect to continue to incur significant losses for the foreseeable future.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8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Global health authorities, including the FDA, regulate many aspects of a product candidate’s life cycle, including research and development and preclinical and clinical testing. We will need to commit significant time, resources, and funding to develop our wholly-owned and partnered product candidates in clinical trials. We are unable to provide the nature, timing, and estimated costs of the efforts necessary to complete the development of our product candidates because, among other reasons, of regulatory uncertainty, manufacturing limitations, and the pace of enrollment of our clinical trials, which is a function of many factors, including the availability and proximity of patients with the relevant condition.</w:t>
      </w:r>
    </w:p>
    <w:p>
      <w:pPr>
        <w:spacing w:after="0" w:line="20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currently have no manufacturing capabilities and do not intend to establish any such capabilities in the near term. As such, we are dependent on third parties to supply our product candidates according to our specifications, in sufficient quantities, on time, in compliance with appropriate regulatory standards and at competitive prices.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COVID-19 pandemic previously impacted our ongoing operations, including clinical trials, however, any resulting financial impact cannot be reasonably estimated. The extent to which the COVID-19 pandemic may continue to impact our business, financial condition and results of operations will depend on future developments, which are highly uncertain and cannot be predicted, including new information which may emerge concerning the severity of COVID-19 and the actions necessary to contain the virus or treat its impact, among others. We will continue to monitor the COVID-19 situation closely and operate in accordance with all relevant health and safety guidelines as they evolve in response to changing public health conditions.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preparation of our Condensed Financial Statements requires us to make estimates and judgments that affect the reported amounts in the financial statements and related disclosures. On an ongoing basis, management evaluates its significant accounting policies and estimates.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 Estimates are assessed each period and updated to reflect current information. There are no material changes to our critical accounting policies and estimates as presented in Part II, Item 7 of our Annual Report on Form 10-K for the year ended December 31, 2022.</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revenue to date has been primarily derived from non-refundable license payments, milestone payments and reimbursements for research and development expenses under our research, collaboration, and license agreements. We recognize revenue from upfront payments over the term of our estimated period of performance under the agreement using an input method for the entire performance obligation. In applying the input method of revenue recognition, we use actual full-time equivalent (FTE) hours incurred relative to estimated total FTE hours expected to be incurred for each combined performance obligation over the estimated research service period of each collaboration target. In addition to receiving upfront payments, we are entitled to variable payments related to research and development services provided and may be entitled to milestone and other contingent payments upon achieving predefined objectives. Revenue from variable payments related to research and development or milestones and other contingent payments, when it is probable that there will not be a significant revenue reversal, are also recognized over the performance period based on a similar method.</w:t>
      </w:r>
    </w:p>
    <w:p>
      <w:pPr>
        <w:spacing w:after="0" w:line="192" w:lineRule="exact"/>
        <w:rPr>
          <w:sz w:val="20"/>
          <w:szCs w:val="20"/>
          <w:color w:val="auto"/>
        </w:rPr>
      </w:pPr>
    </w:p>
    <w:p>
      <w:pPr>
        <w:jc w:val="both"/>
        <w:ind w:right="180"/>
        <w:spacing w:after="0" w:line="275" w:lineRule="auto"/>
        <w:rPr>
          <w:sz w:val="20"/>
          <w:szCs w:val="20"/>
          <w:color w:val="auto"/>
        </w:rPr>
      </w:pPr>
      <w:r>
        <w:rPr>
          <w:rFonts w:ascii="Arial" w:cs="Arial" w:eastAsia="Arial" w:hAnsi="Arial"/>
          <w:sz w:val="17"/>
          <w:szCs w:val="17"/>
          <w:color w:val="auto"/>
        </w:rPr>
        <w:t>For the foreseeable future, we do not expect to generate any revenue from the sale of products unless and until such time as our product candidates have advanced through clinical development and obtained regulatory approval. We expect that any revenue we generate in the foreseeable future will fluctuate from year to year as a result of the timing and amount of milestones and other payments from our collaboration agreements with Amgen, Astellas, Bristol Myers Squibb, Regeneron, Moderna and any other collaboration partners, and as a result of the fluctuations in the research and development expenses we incur in the performance of assigned activities under these agreements.</w:t>
      </w:r>
    </w:p>
    <w:p>
      <w:pPr>
        <w:spacing w:after="0" w:line="217"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AbbVie, one of our previous collaboration partners, entered into a license agreement with Seagen Inc. (“SGEN”) to license certain intellectual property rights. As part of the collaboration agreement with AbbVie, we received a sublicense to these intellectual property rights and therefore paid SGEN sublicense fees. These sublicense fees were treated as reductions to the transaction price and combined with the performance obligation to which they relate. Milestone payments, when considered probable of being reached and when a significant revenue reversal would not be probable of occurring, are also recorded net of the associated sublicense fees and included in the transaction price.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Our research and development expenses consist primarily of costs incurred to conduct research, such as the discovery and development of our product candidates, clinical development, including activities with third parties, such as contract research organizations (“CRO”) and contract development and manufacturing organizations (“CMO”), and the manufacture of drug products used in clinical trials, as well as the development of product candidates pursuant to our research, collaboration and license agreements. Research and development expenses include personnel costs, including stock-based compensation expense, contractor services, laboratory materials and supplies, depreciation and maintenance of research equipment, and an allocation of related facilities costs. We expense research and development costs as incurred.</w:t>
      </w:r>
    </w:p>
    <w:p>
      <w:pPr>
        <w:spacing w:after="0" w:line="21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expect our research and development expenses could vary substantially in the future as we prioritize our pipeline opportunities, advance our product candidates through clinical trials, initiate additional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 or when and to what extent we will generate revenue from the commercialization and sale of our product candidates.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General and administrative expenses include personnel costs, expenses for outside professional services and other allocated expenses. Personnel costs consist of salaries, bonuses, benefits and stock-based compensation. Outside professional services consist of accounting and audit services, legal and other consulting fees. Allocated expenses primarily consist of rent expense related to our office and information technology related costs.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Interest income primarily consists of interest income from our cash equivalents and investments, and accretion of discounts or amortization of premiums on our investments.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primarily of gains and losses resulting from changes to currency exchange rates.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by collaboration partner during the respective periods: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5"/>
        </w:trPr>
        <w:tc>
          <w:tcPr>
            <w:tcW w:w="3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3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2022</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2022</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r>
      <w:tr>
        <w:trPr>
          <w:trHeight w:val="169"/>
        </w:trPr>
        <w:tc>
          <w:tcPr>
            <w:tcW w:w="3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3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AbbVie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6,775</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(6,775 )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3,988</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(4,538 )</w:t>
            </w:r>
          </w:p>
        </w:tc>
      </w:tr>
      <w:tr>
        <w:trPr>
          <w:trHeight w:val="237"/>
        </w:trPr>
        <w:tc>
          <w:tcPr>
            <w:tcW w:w="3820" w:type="dxa"/>
            <w:vAlign w:val="bottom"/>
          </w:tcPr>
          <w:p>
            <w:pPr>
              <w:ind w:left="200"/>
              <w:spacing w:after="0"/>
              <w:rPr>
                <w:sz w:val="20"/>
                <w:szCs w:val="20"/>
                <w:color w:val="auto"/>
              </w:rPr>
            </w:pPr>
            <w:r>
              <w:rPr>
                <w:rFonts w:ascii="Arial" w:cs="Arial" w:eastAsia="Arial" w:hAnsi="Arial"/>
                <w:sz w:val="18"/>
                <w:szCs w:val="18"/>
                <w:color w:val="auto"/>
              </w:rPr>
              <w:t>Amgen</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3,496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902</w:t>
            </w:r>
          </w:p>
        </w:tc>
        <w:tc>
          <w:tcPr>
            <w:tcW w:w="140" w:type="dxa"/>
            <w:vAlign w:val="bottom"/>
          </w:tcPr>
          <w:p>
            <w:pPr>
              <w:spacing w:after="0"/>
              <w:rPr>
                <w:sz w:val="20"/>
                <w:szCs w:val="20"/>
                <w:color w:val="auto"/>
              </w:rPr>
            </w:pPr>
          </w:p>
        </w:tc>
      </w:tr>
      <w:tr>
        <w:trPr>
          <w:trHeight w:val="249"/>
        </w:trPr>
        <w:tc>
          <w:tcPr>
            <w:tcW w:w="3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Astellas</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4,632</w:t>
            </w:r>
          </w:p>
        </w:tc>
        <w:tc>
          <w:tcPr>
            <w:tcW w:w="140" w:type="dxa"/>
            <w:vAlign w:val="bottom"/>
            <w:shd w:val="clear" w:color="auto" w:fill="CFF0FC"/>
          </w:tcPr>
          <w:p>
            <w:pPr>
              <w:spacing w:after="0"/>
              <w:rPr>
                <w:sz w:val="21"/>
                <w:szCs w:val="21"/>
                <w:color w:val="auto"/>
              </w:rPr>
            </w:pPr>
          </w:p>
        </w:tc>
      </w:tr>
      <w:tr>
        <w:trPr>
          <w:trHeight w:val="237"/>
        </w:trPr>
        <w:tc>
          <w:tcPr>
            <w:tcW w:w="3820" w:type="dxa"/>
            <w:vAlign w:val="bottom"/>
          </w:tcPr>
          <w:p>
            <w:pPr>
              <w:ind w:left="200"/>
              <w:spacing w:after="0"/>
              <w:rPr>
                <w:sz w:val="20"/>
                <w:szCs w:val="20"/>
                <w:color w:val="auto"/>
              </w:rPr>
            </w:pPr>
            <w:r>
              <w:rPr>
                <w:rFonts w:ascii="Arial" w:cs="Arial" w:eastAsia="Arial" w:hAnsi="Arial"/>
                <w:sz w:val="18"/>
                <w:szCs w:val="18"/>
                <w:color w:val="auto"/>
              </w:rPr>
              <w:t>Bristol Myers Squibb</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13,879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12,815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21,603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20,253</w:t>
            </w:r>
          </w:p>
        </w:tc>
        <w:tc>
          <w:tcPr>
            <w:tcW w:w="140" w:type="dxa"/>
            <w:vAlign w:val="bottom"/>
          </w:tcPr>
          <w:p>
            <w:pPr>
              <w:spacing w:after="0"/>
              <w:rPr>
                <w:sz w:val="20"/>
                <w:szCs w:val="20"/>
                <w:color w:val="auto"/>
              </w:rPr>
            </w:pPr>
          </w:p>
        </w:tc>
      </w:tr>
      <w:tr>
        <w:trPr>
          <w:trHeight w:val="249"/>
        </w:trPr>
        <w:tc>
          <w:tcPr>
            <w:tcW w:w="3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Regeneron</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2,335</w:t>
            </w:r>
          </w:p>
        </w:tc>
        <w:tc>
          <w:tcPr>
            <w:tcW w:w="140" w:type="dxa"/>
            <w:vAlign w:val="bottom"/>
            <w:shd w:val="clear" w:color="auto" w:fill="CFF0FC"/>
          </w:tcPr>
          <w:p>
            <w:pPr>
              <w:spacing w:after="0"/>
              <w:rPr>
                <w:sz w:val="21"/>
                <w:szCs w:val="21"/>
                <w:color w:val="auto"/>
              </w:rPr>
            </w:pPr>
          </w:p>
        </w:tc>
      </w:tr>
      <w:tr>
        <w:trPr>
          <w:trHeight w:val="237"/>
        </w:trPr>
        <w:tc>
          <w:tcPr>
            <w:tcW w:w="3820" w:type="dxa"/>
            <w:vAlign w:val="bottom"/>
          </w:tcPr>
          <w:p>
            <w:pPr>
              <w:ind w:left="200"/>
              <w:spacing w:after="0"/>
              <w:rPr>
                <w:sz w:val="20"/>
                <w:szCs w:val="20"/>
                <w:color w:val="auto"/>
              </w:rPr>
            </w:pPr>
            <w:r>
              <w:rPr>
                <w:rFonts w:ascii="Arial" w:cs="Arial" w:eastAsia="Arial" w:hAnsi="Arial"/>
                <w:sz w:val="18"/>
                <w:szCs w:val="18"/>
                <w:color w:val="auto"/>
              </w:rPr>
              <w:t>Moderna</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2,746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2,746</w:t>
            </w:r>
          </w:p>
        </w:tc>
        <w:tc>
          <w:tcPr>
            <w:tcW w:w="140" w:type="dxa"/>
            <w:vAlign w:val="bottom"/>
          </w:tcPr>
          <w:p>
            <w:pPr>
              <w:spacing w:after="0"/>
              <w:rPr>
                <w:sz w:val="20"/>
                <w:szCs w:val="20"/>
                <w:color w:val="auto"/>
              </w:rPr>
            </w:pPr>
          </w:p>
        </w:tc>
      </w:tr>
      <w:tr>
        <w:trPr>
          <w:trHeight w:val="276"/>
        </w:trPr>
        <w:tc>
          <w:tcPr>
            <w:tcW w:w="3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24,724</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12,853</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11,871</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48,223</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21,893</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26,330</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729"/>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254"/>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3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-582295</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-565150</wp:posOffset>
            </wp:positionV>
            <wp:extent cx="857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-582295</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-565150</wp:posOffset>
            </wp:positionV>
            <wp:extent cx="857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-582295</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-565150</wp:posOffset>
            </wp:positionV>
            <wp:extent cx="857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-582295</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-565150</wp:posOffset>
            </wp:positionV>
            <wp:extent cx="774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-582295</wp:posOffset>
            </wp:positionV>
            <wp:extent cx="857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-565150</wp:posOffset>
            </wp:positionV>
            <wp:extent cx="857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-582295</wp:posOffset>
            </wp:positionV>
            <wp:extent cx="8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-565150</wp:posOffset>
            </wp:positionV>
            <wp:extent cx="857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revenue of $11.9 million for the three months ended June 30, 2023 compared to the corresponding period of 2022 was primarily due to:</w:t>
      </w:r>
    </w:p>
    <w:p>
      <w:pPr>
        <w:spacing w:after="0" w:line="154" w:lineRule="exact"/>
        <w:rPr>
          <w:sz w:val="20"/>
          <w:szCs w:val="20"/>
          <w:color w:val="auto"/>
        </w:rPr>
      </w:pPr>
    </w:p>
    <w:p>
      <w:pPr>
        <w:ind w:left="1020" w:right="42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revenue under the BMS Agreement driven by higher percentage of completion of the existing and new targets selected in 2022;</w:t>
      </w:r>
    </w:p>
    <w:p>
      <w:pPr>
        <w:spacing w:after="0" w:line="62"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revenue under the Regeneron Agreement and Moderna Agreement due to new preclinical studies that commenced during the current period;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revenue under the AbbVie Agreement due to termination of the agreement in March 2023.</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revenue of $26.3 million for the six months ended June 30, 2023 compared to the corresponding period of 2022 was primarily due to:</w:t>
      </w:r>
    </w:p>
    <w:p>
      <w:pPr>
        <w:spacing w:after="0" w:line="142" w:lineRule="exact"/>
        <w:rPr>
          <w:sz w:val="20"/>
          <w:szCs w:val="20"/>
          <w:color w:val="auto"/>
        </w:rPr>
      </w:pPr>
    </w:p>
    <w:p>
      <w:pPr>
        <w:ind w:left="1020" w:right="42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revenue under the BMS Agreement driven by higher percentage of completion of the existing and new targets selected in 2022;</w:t>
      </w:r>
    </w:p>
    <w:p>
      <w:pPr>
        <w:spacing w:after="0" w:line="62" w:lineRule="exact"/>
        <w:rPr>
          <w:rFonts w:ascii="Arial" w:cs="Arial" w:eastAsia="Arial" w:hAnsi="Arial"/>
          <w:sz w:val="18"/>
          <w:szCs w:val="18"/>
          <w:color w:val="auto"/>
        </w:rPr>
      </w:pPr>
    </w:p>
    <w:p>
      <w:pPr>
        <w:ind w:left="1020" w:right="38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revenue under the Astellas Agreement primarily driven by a $5.0 million clinical candidate milestone achieved in January 2023;</w:t>
      </w:r>
    </w:p>
    <w:p>
      <w:pPr>
        <w:spacing w:after="0" w:line="62"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in revenue under the AbbVie Agreement due to termination of the agreement in March 2023, partially offset by an increase from the the remaining deferred revenue of $4.0 million was recognized in full in the first quarter of 2023;</w:t>
      </w:r>
    </w:p>
    <w:p>
      <w:pPr>
        <w:spacing w:after="0" w:line="62"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revenue under the Regeneron Agreement and Moderna Agreement due to new preclinical studies that commenced during the current period.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by program incurred during the respective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5"/>
        </w:trPr>
        <w:tc>
          <w:tcPr>
            <w:tcW w:w="4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4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2022</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7"/>
              </w:rPr>
              <w:t>Change</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2022</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7"/>
              </w:rPr>
              <w:t>Change</w:t>
            </w:r>
          </w:p>
        </w:tc>
        <w:tc>
          <w:tcPr>
            <w:tcW w:w="140" w:type="dxa"/>
            <w:vAlign w:val="bottom"/>
          </w:tcPr>
          <w:p>
            <w:pPr>
              <w:spacing w:after="0"/>
              <w:rPr>
                <w:sz w:val="14"/>
                <w:szCs w:val="14"/>
                <w:color w:val="auto"/>
              </w:rPr>
            </w:pPr>
          </w:p>
        </w:tc>
      </w:tr>
      <w:tr>
        <w:trPr>
          <w:trHeight w:val="236"/>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w w:val="95"/>
              </w:rPr>
              <w:t>External costs incurred by product candidate (target):</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Praluzatamab ravtansine, CX-2009 (CD166)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1,166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3,746</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(2,580 )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1,818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8,619</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(6,801 )</w:t>
            </w:r>
          </w:p>
        </w:tc>
      </w:tr>
      <w:tr>
        <w:trPr>
          <w:trHeight w:val="250"/>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CX-2029 (CD71)</w:t>
            </w: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3,001</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(2,648 )</w:t>
            </w: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5,079</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(4,019 )</w:t>
            </w: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Pacmilimab, CX-072 (PD-L1)</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(942 )</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(712 )</w:t>
            </w:r>
          </w:p>
        </w:tc>
      </w:tr>
      <w:tr>
        <w:trPr>
          <w:trHeight w:val="249"/>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CX-904</w:t>
            </w: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(439 )</w:t>
            </w: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(670 )</w:t>
            </w: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Other wholly owned and partnered programs</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7,924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4,566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3,358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14,669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8,029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6,640</w:t>
            </w:r>
          </w:p>
        </w:tc>
        <w:tc>
          <w:tcPr>
            <w:tcW w:w="140" w:type="dxa"/>
            <w:vAlign w:val="bottom"/>
          </w:tcPr>
          <w:p>
            <w:pPr>
              <w:spacing w:after="0"/>
              <w:rPr>
                <w:sz w:val="20"/>
                <w:szCs w:val="20"/>
                <w:color w:val="auto"/>
              </w:rPr>
            </w:pPr>
          </w:p>
        </w:tc>
      </w:tr>
      <w:tr>
        <w:trPr>
          <w:trHeight w:val="243"/>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research and development expenses</w:t>
            </w: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1,891</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3,471</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(1,580 )</w:t>
            </w: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5,257</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7,723</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(2,466 )</w:t>
            </w:r>
          </w:p>
        </w:tc>
      </w:tr>
      <w:tr>
        <w:trPr>
          <w:trHeight w:val="20"/>
        </w:trPr>
        <w:tc>
          <w:tcPr>
            <w:tcW w:w="44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4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11,835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16,666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 xml:space="preserve">(4,831 </w:t>
            </w:r>
            <w:r>
              <w:rPr>
                <w:rFonts w:ascii="Arial" w:cs="Arial" w:eastAsia="Arial" w:hAnsi="Arial"/>
                <w:sz w:val="18"/>
                <w:szCs w:val="18"/>
                <w:color w:val="auto"/>
                <w:highlight w:val="white"/>
              </w:rPr>
              <w:t>)</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23,970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31,998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(8,028 )</w:t>
            </w:r>
          </w:p>
        </w:tc>
      </w:tr>
      <w:tr>
        <w:trPr>
          <w:trHeight w:val="249"/>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Internal costs</w:t>
            </w: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8,836</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(5,657 )</w:t>
            </w: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17,876</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29,720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(11,844 )</w:t>
            </w:r>
          </w:p>
        </w:tc>
      </w:tr>
      <w:tr>
        <w:trPr>
          <w:trHeight w:val="20"/>
        </w:trPr>
        <w:tc>
          <w:tcPr>
            <w:tcW w:w="44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6"/>
        </w:trPr>
        <w:tc>
          <w:tcPr>
            <w:tcW w:w="4440" w:type="dxa"/>
            <w:vAlign w:val="bottom"/>
          </w:tcPr>
          <w:p>
            <w:pPr>
              <w:ind w:left="200"/>
              <w:spacing w:after="0"/>
              <w:rPr>
                <w:sz w:val="20"/>
                <w:szCs w:val="20"/>
                <w:color w:val="auto"/>
              </w:rPr>
            </w:pPr>
            <w:r>
              <w:rPr>
                <w:rFonts w:ascii="Arial" w:cs="Arial" w:eastAsia="Arial" w:hAnsi="Arial"/>
                <w:sz w:val="18"/>
                <w:szCs w:val="18"/>
                <w:b w:val="1"/>
                <w:bCs w:val="1"/>
                <w:color w:val="auto"/>
              </w:rPr>
              <w:t>Total research and development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20,671</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31,159</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 xml:space="preserve">(10,488 </w:t>
            </w:r>
            <w:r>
              <w:rPr>
                <w:rFonts w:ascii="Arial" w:cs="Arial" w:eastAsia="Arial" w:hAnsi="Arial"/>
                <w:sz w:val="18"/>
                <w:szCs w:val="18"/>
                <w:color w:val="auto"/>
                <w:highlight w:val="white"/>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41,846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61,718</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(19,872 )</w:t>
            </w:r>
          </w:p>
        </w:tc>
      </w:tr>
      <w:tr>
        <w:trPr>
          <w:trHeight w:val="20"/>
        </w:trPr>
        <w:tc>
          <w:tcPr>
            <w:tcW w:w="4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-505460</wp:posOffset>
            </wp:positionV>
            <wp:extent cx="85725" cy="1631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-505460</wp:posOffset>
            </wp:positionV>
            <wp:extent cx="85725" cy="1631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-505460</wp:posOffset>
            </wp:positionV>
            <wp:extent cx="85725" cy="1631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-505460</wp:posOffset>
            </wp:positionV>
            <wp:extent cx="85725" cy="1631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-505460</wp:posOffset>
            </wp:positionV>
            <wp:extent cx="85725" cy="1631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-187960</wp:posOffset>
            </wp:positionV>
            <wp:extent cx="85725"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-187960</wp:posOffset>
            </wp:positionV>
            <wp:extent cx="85725" cy="188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-187960</wp:posOffset>
            </wp:positionV>
            <wp:extent cx="85725"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-187960</wp:posOffset>
            </wp:positionV>
            <wp:extent cx="85725"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Research and development expenses decreased by $10.5 million and $19.9 million for the three months and six months ended June 30, 2023, respectively, compared to the corresponding periods of 2022. This was primarily due to a decrease in personnel related expenses, as well as winding down of laboratory contract services and clinical study activities related to the CX-2009 and CX-2029 programs, partially offset by an increase in laboratory contract services related to IND enabling activities.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5"/>
        </w:trPr>
        <w:tc>
          <w:tcPr>
            <w:tcW w:w="4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4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2022</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6"/>
              </w:rPr>
              <w:t>2022</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r>
      <w:tr>
        <w:trPr>
          <w:trHeight w:val="169"/>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7,401</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11,748</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(4,347 )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15,378</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22,291</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(6,913 )</w:t>
            </w:r>
          </w:p>
        </w:tc>
      </w:tr>
      <w:tr>
        <w:trPr>
          <w:trHeight w:val="743"/>
        </w:trPr>
        <w:tc>
          <w:tcPr>
            <w:tcW w:w="4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4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General and administrative expenses decreased by $4.3 million and $6.9 million for the three months and six months ended June 30, 2023, respectively, compared to the corresponding periods of 2022 primarily due to a decrease in personnel related expenses as a result of the workforce reduction in 2022 and patent related legal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Income (Expense)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5"/>
        </w:trPr>
        <w:tc>
          <w:tcPr>
            <w:tcW w:w="4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4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7"/>
              </w:rPr>
              <w:t>Change</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7"/>
              </w:rPr>
              <w:t>Change</w:t>
            </w:r>
          </w:p>
        </w:tc>
        <w:tc>
          <w:tcPr>
            <w:tcW w:w="140" w:type="dxa"/>
            <w:vAlign w:val="bottom"/>
          </w:tcPr>
          <w:p>
            <w:pPr>
              <w:spacing w:after="0"/>
              <w:rPr>
                <w:sz w:val="14"/>
                <w:szCs w:val="14"/>
                <w:color w:val="auto"/>
              </w:rPr>
            </w:pPr>
          </w:p>
        </w:tc>
      </w:tr>
      <w:tr>
        <w:trPr>
          <w:trHeight w:val="169"/>
        </w:trPr>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(in thousands)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4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2,308</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2,046</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4,635</w:t>
            </w:r>
          </w:p>
        </w:tc>
        <w:tc>
          <w:tcPr>
            <w:tcW w:w="10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4,305</w:t>
            </w:r>
          </w:p>
        </w:tc>
        <w:tc>
          <w:tcPr>
            <w:tcW w:w="140" w:type="dxa"/>
            <w:vAlign w:val="bottom"/>
            <w:shd w:val="clear" w:color="auto" w:fill="CFF0FC"/>
          </w:tcPr>
          <w:p>
            <w:pPr>
              <w:spacing w:after="0"/>
              <w:rPr>
                <w:sz w:val="21"/>
                <w:szCs w:val="21"/>
                <w:color w:val="auto"/>
              </w:rPr>
            </w:pPr>
          </w:p>
        </w:tc>
      </w:tr>
      <w:tr>
        <w:trPr>
          <w:trHeight w:val="237"/>
        </w:trPr>
        <w:tc>
          <w:tcPr>
            <w:tcW w:w="4440" w:type="dxa"/>
            <w:vAlign w:val="bottom"/>
          </w:tcPr>
          <w:p>
            <w:pPr>
              <w:ind w:left="200"/>
              <w:spacing w:after="0"/>
              <w:rPr>
                <w:sz w:val="20"/>
                <w:szCs w:val="20"/>
                <w:color w:val="auto"/>
              </w:rPr>
            </w:pPr>
            <w:r>
              <w:rPr>
                <w:rFonts w:ascii="Arial" w:cs="Arial" w:eastAsia="Arial" w:hAnsi="Arial"/>
                <w:sz w:val="17"/>
                <w:szCs w:val="17"/>
                <w:color w:val="auto"/>
              </w:rPr>
              <w:t>Other income (expense), net</w:t>
            </w:r>
          </w:p>
        </w:tc>
        <w:tc>
          <w:tcPr>
            <w:tcW w:w="220" w:type="dxa"/>
            <w:vAlign w:val="bottom"/>
          </w:tcPr>
          <w:p>
            <w:pPr>
              <w:spacing w:after="0"/>
              <w:rPr>
                <w:sz w:val="20"/>
                <w:szCs w:val="20"/>
                <w:color w:val="auto"/>
              </w:rPr>
            </w:pPr>
          </w:p>
        </w:tc>
        <w:tc>
          <w:tcPr>
            <w:tcW w:w="960" w:type="dxa"/>
            <w:vAlign w:val="bottom"/>
            <w:gridSpan w:val="2"/>
          </w:tcPr>
          <w:p>
            <w:pPr>
              <w:jc w:val="right"/>
              <w:ind w:right="128"/>
              <w:spacing w:after="0"/>
              <w:rPr>
                <w:sz w:val="20"/>
                <w:szCs w:val="20"/>
                <w:color w:val="auto"/>
              </w:rPr>
            </w:pPr>
            <w:r>
              <w:rPr>
                <w:rFonts w:ascii="Arial" w:cs="Arial" w:eastAsia="Arial" w:hAnsi="Arial"/>
                <w:sz w:val="18"/>
                <w:szCs w:val="18"/>
                <w:color w:val="auto"/>
              </w:rPr>
              <w:t>(47 )</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(343 )</w:t>
            </w:r>
          </w:p>
        </w:tc>
        <w:tc>
          <w:tcPr>
            <w:tcW w:w="2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(32 )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(341 )</w:t>
            </w:r>
          </w:p>
        </w:tc>
      </w:tr>
      <w:tr>
        <w:trPr>
          <w:trHeight w:val="277"/>
        </w:trPr>
        <w:tc>
          <w:tcPr>
            <w:tcW w:w="4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interest and other income</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2,261</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4,603</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3,964</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-25400</wp:posOffset>
            </wp:positionV>
            <wp:extent cx="857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-7620</wp:posOffset>
            </wp:positionV>
            <wp:extent cx="857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-25400</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-7620</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-25400</wp:posOffset>
            </wp:positionV>
            <wp:extent cx="857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857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857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857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-25400</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-7620</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increased by $2.0 million and $4.3 million for the three months and six months ended June 30, 2023 compared to the corresponding periods of 2022 was primarily driven by higher interest rates in 2023.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Expenditures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of June 30, 2023, we had cash, cash equivalents and investments of $180.9 million and an accumulated deficit of $727.3 million, compared to cash, cash equivalents and investments of $193.7 million and an accumulated deficit of $722.9 million as of December 31, 2022. To date, we have financed our operations primarily through sales of our common stock in conjunction with the IPO, subsequent stock offerings and through our at-the-market offering, sales of our convertible preferred securities prior to our IPO and payments received under our collaboration agreements. In November 2022, we entered into a Collaboration and License Agreement with Regeneron Pharmaceuticals, Inc. (the “Regeneron Agreement”) to collaborate on preclinical research activities to discover and develop certain antibody compounds for the treatment of cancer using the Company’s Probody therapeutic technology. Pursuant to the Regeneron Agreement, we collected an upfront fee of $30.0 million. In December 2022, we entered into a Collaboration and License Agreement with ModernaTX, Inc. (the “Moderna Agreement”) to collaborate on discovery and preclinical research and development activities to create investigational messenger RNA (mRNA) based conditionally activated therapies using the Company’s Probody therapeutic technology. Pursuant to the Moderna Agreement, we collected an upfront fee and prepaid research funding of $35.0 million in January 2023. In July 2023, we completed a private placement that resulted in initial gross proceeds of approximately $30.0 million.</w:t>
      </w:r>
    </w:p>
    <w:p>
      <w:pPr>
        <w:spacing w:after="0" w:line="23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On July 13, 2022, we announced a restructuring plan to prioritize resources on our emerging pre-clinical and early clinical pipeline as well as our existing collaboration partnerships. The restructuring plan resulted in a reduction to our workforce by approximately 40%, and was substantially completed by the fourth quarter of 2022. We incurred aggregate restructuring charges of approximately $7.5 million, primarily related to one-time severance payments and other employee-related costs.</w:t>
      </w:r>
    </w:p>
    <w:p>
      <w:pPr>
        <w:spacing w:after="0" w:line="2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Based upon our current operating plan, we expect our existing capital resources will be sufficient to fund operations into the second half of 2025. However, if the anticipated operating results and future financing are not achieved in future periods, our planned expenditures may need to be reduced in order to extend the time period over which the then-available resources would be able to fund the operations. The amounts and timing of our actual expenditures depend on numerous factors, including the progress of our preclinical and clinical development efforts, the results of any clinical trials and other studies, our operating costs and expenditures and other factors described under the caption “Risk Factors” in this Quarterly Report on Form 10-Q. The cost and timing of developing our product candidates is highly uncertain and subject to substantial risks and changes. As such, we may alter our expenditures as a result of contingencies such as the failure of one or all of our product candidates currently in clinical development, the acceleration of one or all of our product candidates in clinical development, the initiating of clinical trials for additional product candidates, the identification of more promising product candidates in our research efforts or unexpected operating costs and expenditures. We will need to raise additional funds in the future. There can be no assurance, however, that such efforts will be successful; or if they are successful, that the terms and conditions of such financing will be favorable to us.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Statement of Cash Flows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5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59"/>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74"/>
              </w:rPr>
              <w:t>thousands)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(15,829 )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(75,550 )</w:t>
            </w: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20"/>
                <w:szCs w:val="20"/>
                <w:color w:val="auto"/>
              </w:rPr>
            </w:pPr>
          </w:p>
        </w:tc>
        <w:tc>
          <w:tcPr>
            <w:tcW w:w="1100" w:type="dxa"/>
            <w:vAlign w:val="bottom"/>
            <w:gridSpan w:val="2"/>
          </w:tcPr>
          <w:p>
            <w:pPr>
              <w:jc w:val="right"/>
              <w:ind w:right="108"/>
              <w:spacing w:after="0"/>
              <w:rPr>
                <w:sz w:val="20"/>
                <w:szCs w:val="20"/>
                <w:color w:val="auto"/>
              </w:rPr>
            </w:pPr>
            <w:r>
              <w:rPr>
                <w:rFonts w:ascii="Arial" w:cs="Arial" w:eastAsia="Arial" w:hAnsi="Arial"/>
                <w:sz w:val="18"/>
                <w:szCs w:val="18"/>
                <w:color w:val="auto"/>
              </w:rPr>
              <w:t>(120,602 )</w:t>
            </w:r>
          </w:p>
        </w:tc>
        <w:tc>
          <w:tcPr>
            <w:tcW w:w="3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(1,148 )</w:t>
            </w:r>
          </w:p>
        </w:tc>
      </w:tr>
      <w:tr>
        <w:trPr>
          <w:trHeight w:val="243"/>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2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8"/>
              <w:spacing w:after="0"/>
              <w:rPr>
                <w:sz w:val="20"/>
                <w:szCs w:val="20"/>
                <w:color w:val="auto"/>
              </w:rPr>
            </w:pPr>
            <w:r>
              <w:rPr>
                <w:rFonts w:ascii="Arial" w:cs="Arial" w:eastAsia="Arial" w:hAnsi="Arial"/>
                <w:sz w:val="18"/>
                <w:szCs w:val="18"/>
                <w:color w:val="auto"/>
              </w:rPr>
              <w:t>(136,114 )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(76,240 </w:t>
            </w:r>
            <w:r>
              <w:rPr>
                <w:rFonts w:ascii="Arial" w:cs="Arial" w:eastAsia="Arial" w:hAnsi="Arial"/>
                <w:sz w:val="18"/>
                <w:szCs w:val="18"/>
                <w:color w:val="auto"/>
                <w:highlight w:val="white"/>
              </w:rPr>
              <w:t>)</w:t>
            </w:r>
          </w:p>
        </w:tc>
      </w:tr>
      <w:tr>
        <w:trPr>
          <w:trHeight w:val="20"/>
        </w:trPr>
        <w:tc>
          <w:tcPr>
            <w:tcW w:w="5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-187960</wp:posOffset>
            </wp:positionV>
            <wp:extent cx="68580" cy="1885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six months ended June 30, 2023, cash used in operating activities was $15.8 million, which consisted of a net loss of $4.4 million, adjusted by non-cash charges of $4.6 million and a net decrease of $16.0 million relating to the change of our net operating assets and liabilities. The non-cash charges primarily consisted of $4.8 million in stock-based compensation, $1.8 million in non-cash lease expense, $1.2 million in depreciation and amortization, partially offset by $3.2 million in accretion of discounts on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change in our net operating assets and liabilities was primarily due to:</w:t>
      </w:r>
    </w:p>
    <w:p>
      <w:pPr>
        <w:spacing w:after="0" w:line="117" w:lineRule="exact"/>
        <w:rPr>
          <w:sz w:val="20"/>
          <w:szCs w:val="20"/>
          <w:color w:val="auto"/>
        </w:rPr>
      </w:pPr>
    </w:p>
    <w:p>
      <w:pPr>
        <w:ind w:left="1020" w:right="48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net decrease of $40.2 million in deferred revenue resulting from the continued recognition of deferred revenue from existing and new customers;</w:t>
      </w:r>
    </w:p>
    <w:p>
      <w:pPr>
        <w:spacing w:after="0" w:line="62"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of $12.3 million in accounts payable, accrued and other long-term liabilities primarily due to decrease of payroll-related expenses and restructuring related expenses as well as timing of other payments; offset by</w:t>
      </w:r>
    </w:p>
    <w:p>
      <w:pPr>
        <w:spacing w:after="0" w:line="62"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$34.1 million in cash flows from accounts receivable primarily related to the receipt of the $35.0 million upfront payment and prepaid research under the Moderna agreement entered into in December 2022.</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$2.4 million in cashflows from prepaid and other current assets primarily due to a decrease in advance payments to our third party manufacturing vendors and timing of payments.</w:t>
      </w:r>
    </w:p>
    <w:p>
      <w:pPr>
        <w:spacing w:after="0" w:line="17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During the six months ended June 30, 2022, cash used in operating activities was $75.6 million, which consisted of a net loss of $61.5 million, adjusted by non-cash charges of $10.7 million and a net decrease of $24.8 million relating to the change of our net operating assets and liabilities. The non-cash charges primarily consisted of $7.9 million in stock-based compensation, $1.6 million in non-cash lease expense and $1.2 million in depreciation and amortization.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change in our net operating assets and liabilities was primarily due to:</w:t>
      </w:r>
    </w:p>
    <w:p>
      <w:pPr>
        <w:spacing w:after="0" w:line="117"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net decrease of $19.9 million in deferred revenue resulting from the continued recognition of deferred revenue from existing customers;</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of $5.3 million in accounts payable, accrued and other long-term liabilities primarily due to timing of payment; and</w:t>
      </w:r>
    </w:p>
    <w:p>
      <w:pPr>
        <w:spacing w:after="0" w:line="117" w:lineRule="exact"/>
        <w:rPr>
          <w:rFonts w:ascii="Arial" w:cs="Arial" w:eastAsia="Arial" w:hAnsi="Arial"/>
          <w:sz w:val="18"/>
          <w:szCs w:val="18"/>
          <w:color w:val="auto"/>
        </w:rPr>
      </w:pPr>
    </w:p>
    <w:p>
      <w:pPr>
        <w:ind w:left="1020" w:right="2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$0.4 million in cash flows from accounts receivable and prepaid and other current assets primarily due to decreased advance payments to our third party manufacturing vendors and timing of payments.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the six months ended June 30, 2023, cash used in investing activities was $120.6 million, which consisted of $220.0 million used in the purchase of short-term investments and $0.6 million of capital expenditures used to purchase property and equipment, partially offset by $100.0 million in proceeds received upon the maturity of marketable securities.</w:t>
      </w:r>
    </w:p>
    <w:p>
      <w:pPr>
        <w:spacing w:after="0" w:line="18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During the six months ended June 30, 2022, cash used in investing activities was $1.1 million of capital expenditures used to purchase property and equipment.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six months ended June 30, 2023, cash provided by financing activities consisted of $0.3 million of proceeds from the exercise of stock options and employee stock purchases under the employee stock purchase plan.</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six months ended June 30, 2022, cash provided by financing activities consisted of $0.5 million of proceeds from the exercise of stock options and employee stock purchases under the employee stock purchase plan.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3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six months ended June 30, 2023, there were no material changes in contractual obligations from the amounts disclosed in our Annual Report on Form 10-K for the year ended December 31, 2022.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term “disclosure controls and procedures,” as defined in Rules 13a-15(e) and 15d-15(e) under the Exchange Act of 1934, as amended (the “Exchange Act”) refers to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management, with the participation of our Principal Executive and Principal Financial Officers, has evaluated the effectiveness of our disclosure controls and procedures as of June 30, 2023, the end of the period covered by this Quarterly Report on Form 10-Q. Based on their evaluation and subject to the foregoing, the Principal Executive and Principal Financial Officers concluded that our disclosure controls and procedures were effective as of June 30,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of Material Weakness</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connection with preparing our financial statements for the year ending December 31, 2022 and evaluating new collaboration and license agreements initiated in the fourth quarter of 2022, we re-evaluated our previous application of ASC 606 for our collaboration and license agreements and identified an error. Upon reassessment, we have determined that certain revenue should be recognized over time using an input method as an appropriate measure of progress, rather than ratably over the estimated research period. The Company’s internal control to perform a technical accounting analysis for collaboration and license agreements failed to operate as designed. As a result, we concluded that the Company’s internal control over financial reporting was not effective as of December 31, 2022. The Company identified a material weakness in internal control over financial reporting related to its application of ASC 606 for license and collaboration agreements.</w:t>
      </w:r>
    </w:p>
    <w:p>
      <w:pPr>
        <w:spacing w:after="0" w:line="6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To remediate this material weakness, during the six months ended June 30, 2023, we have implemented and improved the operation of our controls related to the application of ASC 606 to our collaboration and license agreements and the related controls to measure the progress in satisfying the performance obligations. Management has determined that the material weakness was remediated during the three months ended June 30, 2023, due to enhancements made to our related technical accounting analysis processes and internal controls during the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jc w:val="center"/>
        <w:ind w:right="-45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3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as discussed above, there was no change in our internal control over financial reporting (as defined in Rules 13a-15(f) and 15d-15(f) under the Exchange Act) that occurred during our fiscal quarter ended June 30, 2023 that has materially affected, or is reasonably likely to materially affect, our internal control over financial reporting.</w:t>
      </w:r>
    </w:p>
    <w:p>
      <w:pPr>
        <w:spacing w:after="0" w:line="18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are subject to claims and assessments from time to time in the ordinary course of business but are not aware of any such matters, individually or in the aggregate, that will have a material adverse effect on our financial position, results of operations or cash flows.</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March 4, 2020, Vytacera Bio, LLC filed a patent infringement lawsuit against us in the U.S. District Court for the District of Delaware. The lawsuit alleges that our use, offers to sell, and/or sales of the Probody® technology platform for basic research applications constitutes infringement. The complaint seeks unspecified monetary damages. In September 2022, we filed a motion to dismiss the case and the Court granted the parties’ stipulation to stay all pending case deadlines until that motion is finally resolved. We believe that the lawsuit is without merit and intend to vigorously defend ourselves. Accordingly, we cannot reasonably estimate any range of potential future charges, and we have not recorded any accrual for a contingent liability associated with these legal proceedings.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are providing the following summary of risk factors contained in this Quarterly Report on Form 10-Q to enhance the readability and accessibility of our risk factor disclosures in accordance with SEC rules. Please carefully review the full risk factors pertaining to this summary and to additional general risk factors contained in this Quarterly Report on Form 10-Q in their entirety for additional information regarding the material factors that make an investment in our securities speculative or risky. These risks and uncertainties include, but are not limited to, the following:</w:t>
      </w:r>
    </w:p>
    <w:p>
      <w:pPr>
        <w:spacing w:after="0" w:line="63"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are a clinical-stage biopharmaceutical company with a limited operating history and have not generated any revenue from product sales.</w:t>
      </w:r>
    </w:p>
    <w:p>
      <w:pPr>
        <w:spacing w:after="0" w:line="140" w:lineRule="exact"/>
        <w:rPr>
          <w:rFonts w:ascii="Arial" w:cs="Arial" w:eastAsia="Arial" w:hAnsi="Arial"/>
          <w:sz w:val="16"/>
          <w:szCs w:val="16"/>
          <w:color w:val="auto"/>
        </w:rPr>
      </w:pPr>
    </w:p>
    <w:p>
      <w:pPr>
        <w:ind w:left="1020" w:right="10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expect that we will need to raise substantial additional funds to advance development of our product candidates and we cannot guarantee that this additional funding will be available on acceptable terms or at all.</w:t>
      </w:r>
    </w:p>
    <w:p>
      <w:pPr>
        <w:spacing w:after="0" w:line="62"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development involves a lengthy and expensive process with an uncertain outcome, and results of earlier studies and trials may not be predictive of future trial results.</w:t>
      </w:r>
    </w:p>
    <w:p>
      <w:pPr>
        <w:spacing w:after="0" w:line="62"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product candidates are in early stages of development and may fail or suffer delays that materially and adversely affect their commercial viability.</w:t>
      </w:r>
    </w:p>
    <w:p>
      <w:pPr>
        <w:spacing w:after="0" w:line="62" w:lineRule="exact"/>
        <w:rPr>
          <w:rFonts w:ascii="Arial" w:cs="Arial" w:eastAsia="Arial" w:hAnsi="Arial"/>
          <w:sz w:val="18"/>
          <w:szCs w:val="18"/>
          <w:color w:val="auto"/>
        </w:rPr>
      </w:pPr>
    </w:p>
    <w:p>
      <w:pPr>
        <w:ind w:left="1020" w:right="200" w:hanging="503"/>
        <w:spacing w:after="0" w:line="342"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 w:lineRule="exact"/>
        <w:rPr>
          <w:rFonts w:ascii="Arial" w:cs="Arial" w:eastAsia="Arial" w:hAnsi="Arial"/>
          <w:sz w:val="16"/>
          <w:szCs w:val="16"/>
          <w:color w:val="auto"/>
        </w:rPr>
      </w:pPr>
    </w:p>
    <w:p>
      <w:pPr>
        <w:ind w:left="1020" w:right="340" w:hanging="503"/>
        <w:spacing w:after="0" w:line="26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75"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clinical trials, our receipt of necessary regulatory approvals could be delayed or prevented.</w:t>
      </w:r>
    </w:p>
    <w:p>
      <w:pPr>
        <w:spacing w:after="0" w:line="62"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approach to the discovery and development of our therapeutic treatments is based on novel technologies that are unproven and may not result in marketable products.</w:t>
      </w:r>
    </w:p>
    <w:p>
      <w:pPr>
        <w:spacing w:after="0" w:line="62" w:lineRule="exact"/>
        <w:rPr>
          <w:rFonts w:ascii="Arial" w:cs="Arial" w:eastAsia="Arial" w:hAnsi="Arial"/>
          <w:sz w:val="18"/>
          <w:szCs w:val="18"/>
          <w:color w:val="auto"/>
        </w:rPr>
      </w:pPr>
    </w:p>
    <w:p>
      <w:pPr>
        <w:ind w:left="1020" w:right="54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market may not be receptive to our product candidates based on a novel therapeutic modality, and we may not generate any future revenue from the sale or licensing of product candidates.</w:t>
      </w:r>
    </w:p>
    <w:p>
      <w:pPr>
        <w:spacing w:after="0" w:line="62" w:lineRule="exact"/>
        <w:rPr>
          <w:rFonts w:ascii="Arial" w:cs="Arial" w:eastAsia="Arial" w:hAnsi="Arial"/>
          <w:sz w:val="18"/>
          <w:szCs w:val="18"/>
          <w:color w:val="auto"/>
        </w:rPr>
      </w:pPr>
    </w:p>
    <w:p>
      <w:pPr>
        <w:jc w:val="both"/>
        <w:ind w:left="1020" w:right="60" w:hanging="503"/>
        <w:spacing w:after="0" w:line="286"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57" w:lineRule="exact"/>
        <w:rPr>
          <w:rFonts w:ascii="Arial" w:cs="Arial" w:eastAsia="Arial" w:hAnsi="Arial"/>
          <w:sz w:val="17"/>
          <w:szCs w:val="17"/>
          <w:color w:val="auto"/>
        </w:rPr>
      </w:pPr>
    </w:p>
    <w:p>
      <w:pPr>
        <w:ind w:left="1020" w:right="1240" w:hanging="503"/>
        <w:spacing w:after="0" w:line="342"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we do not achieve our projected development and commercialization goals in the timeframes we announce and expect, the commercialization of any of our product candidates may be delayed, or never attained, and our business will be harmed.</w:t>
      </w:r>
    </w:p>
    <w:p>
      <w:pPr>
        <w:spacing w:after="0" w:line="15" w:lineRule="exact"/>
        <w:rPr>
          <w:rFonts w:ascii="Arial" w:cs="Arial" w:eastAsia="Arial" w:hAnsi="Arial"/>
          <w:sz w:val="16"/>
          <w:szCs w:val="16"/>
          <w:color w:val="auto"/>
        </w:rPr>
      </w:pPr>
    </w:p>
    <w:p>
      <w:pPr>
        <w:jc w:val="both"/>
        <w:ind w:left="1020" w:right="160" w:hanging="503"/>
        <w:spacing w:after="0" w:line="26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353" w:lineRule="exact"/>
        <w:rPr>
          <w:sz w:val="20"/>
          <w:szCs w:val="20"/>
          <w:color w:val="auto"/>
        </w:rPr>
      </w:pPr>
    </w:p>
    <w:p>
      <w:pPr>
        <w:ind w:left="1020" w:right="200" w:hanging="503"/>
        <w:spacing w:after="0" w:line="259"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78" w:lineRule="exact"/>
        <w:rPr>
          <w:rFonts w:ascii="Arial" w:cs="Arial" w:eastAsia="Arial" w:hAnsi="Arial"/>
          <w:sz w:val="18"/>
          <w:szCs w:val="18"/>
          <w:color w:val="auto"/>
        </w:rPr>
      </w:pPr>
    </w:p>
    <w:p>
      <w:pPr>
        <w:ind w:left="1020" w:right="80" w:hanging="503"/>
        <w:spacing w:after="0" w:line="263"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75" w:lineRule="exact"/>
        <w:rPr>
          <w:rFonts w:ascii="Arial" w:cs="Arial" w:eastAsia="Arial" w:hAnsi="Arial"/>
          <w:sz w:val="18"/>
          <w:szCs w:val="18"/>
          <w:color w:val="auto"/>
        </w:rPr>
      </w:pPr>
    </w:p>
    <w:p>
      <w:pPr>
        <w:ind w:left="1020" w:right="200" w:hanging="503"/>
        <w:spacing w:after="0" w:line="342"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15" w:lineRule="exact"/>
        <w:rPr>
          <w:rFonts w:ascii="Arial" w:cs="Arial" w:eastAsia="Arial" w:hAnsi="Arial"/>
          <w:sz w:val="16"/>
          <w:szCs w:val="16"/>
          <w:color w:val="auto"/>
        </w:rPr>
      </w:pPr>
    </w:p>
    <w:p>
      <w:pPr>
        <w:ind w:left="1020" w:right="60" w:hanging="503"/>
        <w:spacing w:after="0" w:line="311"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40" w:lineRule="exact"/>
        <w:rPr>
          <w:rFonts w:ascii="Arial" w:cs="Arial" w:eastAsia="Arial" w:hAnsi="Arial"/>
          <w:sz w:val="16"/>
          <w:szCs w:val="16"/>
          <w:color w:val="auto"/>
        </w:rPr>
      </w:pPr>
    </w:p>
    <w:p>
      <w:pPr>
        <w:ind w:left="1020" w:right="260" w:hanging="503"/>
        <w:spacing w:after="0" w:line="342"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we are not able to comply with the requirements of Section 404 of the Sarbanes-Oxley Act of 2002 in a timely manner or with adequate compliance, we may be subject to a loss of stockholder confidence and sanctions or investigations by regulatory authorities or litigation.</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stock price may be volatile and purchasers of our common stock could incur substantial losses.</w:t>
      </w:r>
    </w:p>
    <w:p>
      <w:pPr>
        <w:spacing w:after="0" w:line="117" w:lineRule="exact"/>
        <w:rPr>
          <w:rFonts w:ascii="Arial" w:cs="Arial" w:eastAsia="Arial" w:hAnsi="Arial"/>
          <w:sz w:val="18"/>
          <w:szCs w:val="18"/>
          <w:color w:val="auto"/>
        </w:rPr>
      </w:pPr>
    </w:p>
    <w:p>
      <w:pPr>
        <w:ind w:left="1020" w:right="46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COVID-19 pandemic or any future pandemic could adversely impact our business, including our research, clinical trials, including clinical trial site initiation and patient enrollment,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i w:val="1"/>
          <w:iCs w:val="1"/>
          <w:color w:val="auto"/>
        </w:rPr>
        <w:t>You should consider carefully the risks and uncertainties described below, together with all of the other information in this Quarterly Report on Form 10-Q, including our financial statements and the related notes and “Management’s Discussion and Analysis of Financial Condition and Results of Operations.” If any of the following risks are realized, our business, financial condition, results of operations and prospects could be materially and adversely affected. The risks described below are not the only risks facing the Company. Risks and uncertainties not currently known to us or that we currently deem to be immaterial also may materially adversely affect our business, financial condition, results of operations and/or prospects.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3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are a clinical-stage biopharmaceutical company with a limited operating history and have not generated any revenue from product sales. We have a history of losses, expect to continue to incur significant losses for the foreseeable future and may never achieve or maintain profitability, which could result in a decline in the market value of our common stock.</w:t>
      </w:r>
    </w:p>
    <w:p>
      <w:pPr>
        <w:spacing w:after="0" w:line="89"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We are a clinical-stage biopharmaceutical company with a limited operating history, developing a novel class of therapeutic antibody product candidates, based on our proprietary biologic Probody technology platform. Since our inception, we have devoted our resources to the development of Probody therapeutics. We have had significant operating losses since our inception. As of June 30, 2023 and December 31, 2022, we had an accumulated deficit of $727.3 million and $722.9 million, respectively. Substantially all of our losses have resulted from expenses incurred in connection with our research and development programs and from general and administrative costs associated with our operations.</w:t>
      </w:r>
    </w:p>
    <w:p>
      <w:pPr>
        <w:spacing w:after="0" w:line="20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Though we have developed our Probody platform, our technologies and product candidates are in early stages of development, and we are subject to the risks of failure inherent in the development of product candidates based on novel technologies. We have not yet demonstrated our ability to successfully complete any mid or late-stage clinical trials, including large-scale, pivotal clinical trials, obtain regulatory approvals, arrange for a third party to manufacture a commercial-scale product candidate, or conduct sales and marketing activities necessary for successful commercialization. Typically, it takes many years to develop one product candidate from the time it enters initial preclinical studies to when it is available for treating patients. Consequently, any predictions made about our future success or viability may not be as accurate as they could be if we had a longer operating history. We will need to transition from a company with a research and development focus to a company capable of supporting commercial activities. We may not be successful in such a transition.</w:t>
      </w:r>
    </w:p>
    <w:p>
      <w:pPr>
        <w:spacing w:after="0" w:line="21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Furthermore, we have never generated any revenue from product sales, and have not obtained regulatory approval for any of our product candidates. We also do not expect to generate any revenue from product sales for the foreseeable future, and we expect to continue to incur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45"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significant operating losses for the foreseeable future due to the cost of research and development, preclinical studies and clinical trials and the regulatory approval process for our product candidates. We expect our net losses to increase substantially over time as we continue the development of our pipeline and advance additional programs into clinical development. However, the amount of our future losses is uncertain. Our ability to achieve profitability, if ever, will depend on, among other things, our,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our technologies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18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b w:val="1"/>
          <w:bCs w:val="1"/>
          <w:i w:val="1"/>
          <w:iCs w:val="1"/>
          <w:color w:val="auto"/>
        </w:rPr>
        <w:t>We expect that we will need to raise substantial additional funds to advance development of our product candidates and we cannot guarantee that this additional funding will be available on acceptable terms or at all. Failure to obtain this necessary capital when needed may force us to delay, limit or terminate our product development and commercialization of our current or future product candidates.</w:t>
      </w:r>
    </w:p>
    <w:p>
      <w:pPr>
        <w:spacing w:after="0" w:line="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development of biopharmaceutical product candidates is capital-intensive. To date, we have used substantial funds to develop our technology and product candidates and will require significant funds to conduct our ongoing clinical trials as well as to further our research and development, preclinical testing and future clinical trials of additional product candidates, to seek regulatory approvals for our product candidates and to manufacture and market any products that are approved for commercial sale. In addition, we have incurred and will continue to incur additional costs associated with operating as a public company. However, financial market conditions, including the public equity markets, and government regulation, including the Inflation Reduction Act of 2022, signed into law by President Biden in August 2022, may make it difficult for biotechnology companies to raise additional funds. We cannot predict when or if market conditions will change.</w:t>
      </w:r>
    </w:p>
    <w:p>
      <w:pPr>
        <w:spacing w:after="0" w:line="20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of June 30, 2023, we had cash, cash equivalents and investments of $180.9 million and subsequently raised approximately $30.0 million in a financing transaction in July 2023. We believe that our existing capital resources will be sufficient to fund our planned operations into the second half of 2025. Our future capital requirements and the period for which we expect our existing resources to support our operations may vary significantly from what we expect and we may not achieve the expected cash flow savings that we anticipate as a result of our recent restructuring. Our monthly spending levels vary based on our ongoing clinical trials, new and ongoing research and development and other corporate activities. For instance, in March 2023, AbbVie terminated the collaboration agreement for CX-2029 and the ongoing discovery agreement we had entered into with them in 2016. We are evaluating the further development of CX-2029 and if we elect to move it forward in further clinical trials without a partner, we will need to allocate additional internal capital resources to the effort. Because the length of time and activities associated with conducting our clinical trials and successfully researching and developing our product candidates is highly uncertain, we are unable to estimate the actual funds we will require for development and, once any product candidate is approved, any subsequent marketing and commercialization activities.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timing and amount of our operating expenditures will depend largely on:</w:t>
      </w:r>
    </w:p>
    <w:p>
      <w:pPr>
        <w:spacing w:after="0" w:line="117" w:lineRule="exact"/>
        <w:rPr>
          <w:sz w:val="20"/>
          <w:szCs w:val="20"/>
          <w:color w:val="auto"/>
        </w:rPr>
      </w:pPr>
    </w:p>
    <w:p>
      <w:pPr>
        <w:ind w:left="1020" w:right="4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timing and progress of our ongoing clinical trials as well as any other preclinical and clinical development activities which may be affected by, among other things, the COVID-19 pandemic;</w:t>
      </w:r>
    </w:p>
    <w:p>
      <w:pPr>
        <w:spacing w:after="0" w:line="62"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size and type of clinical trials and preclinical studies that we may be required to complete for our product candidates, as well as the cost and time of such studies and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scope and prioritization of preclinical and clinical programs we decide to pursue;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time and cost necessary to produce clinical supplies of our product candidates;</w:t>
      </w:r>
    </w:p>
    <w:p>
      <w:pPr>
        <w:spacing w:after="0" w:line="117"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time and cost necessary to scale our manufacturing capabilities prior to or following regulatory approval and commercial launch of any product candidates;</w:t>
      </w:r>
    </w:p>
    <w:p>
      <w:pPr>
        <w:spacing w:after="0" w:line="62"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we have entered or may in the future enter into collaborations and research and development agreements;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timing and amount of payments we may receive or are obligated to pay under our collaboration agreements and license agreements;</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maintain our current licenses and research and development programs and to establish new collaboration arrangements;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353" w:lineRule="exact"/>
        <w:rPr>
          <w:sz w:val="20"/>
          <w:szCs w:val="20"/>
          <w:color w:val="auto"/>
        </w:rPr>
      </w:pPr>
    </w:p>
    <w:p>
      <w:pPr>
        <w:ind w:left="1020" w:right="44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and other intellectual property claims, including the ongoing patent infringement lawsuit brought by Vytacera against us;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any existing or future litigation to which we are or may become a party;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timing of regulatory approvals; and</w:t>
      </w:r>
    </w:p>
    <w:p>
      <w:pPr>
        <w:spacing w:after="0" w:line="117"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including personnel to support development and commercialization of our product candidates and satisfy our obligations as a public company.</w:t>
      </w:r>
    </w:p>
    <w:p>
      <w:pPr>
        <w:spacing w:after="0" w:line="19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If we are unable to obtain funding on a timely basis or on acceptable terms, we may have to delay, reduce or terminate our research and development programs and preclinical studies or clinical trials, limit strategic opportunities or undergo reductions in our workforce or other corporate restructuring activities. We also could be required to seek funds through arrangements with collaborators or others that may require us to relinquish rights to some of our technologies or product candidates that we would otherwise pursue on our own. For example, in July 2022, we announced that we would seek a partner to further develop praluzatamab ravtansine. We have not yet obtained a partner for praluzatamab ravtansine and we may not be able to do so in the future for the development of that product candidate. We do not expect to realize revenue from sales of products or royalties from licensed products in the foreseeable future, if at all, and unless and until our product candidates are clinically tested, approved for commercialization and successfully marketed. To date, we have financed our operations primarily through sales of our common stock, sale of our convertible preferred securities prior to our IPO and payments received under our collaboration agreements, including, more recently, the collaboration and license agreements that we entered into with each of Regeneron and Moderna in November and December 2022, respectively, and funding we received in a private placement announced in June 2023. We will be required to seek additional funding in the future and currently intend to do so through additional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including the COVID-19 pandemic. Additionally, our stock price has declined and our ability to raise adequate funding through equity offerings, if at all, may be limited. Additional funds may not be available to us on acceptable terms or at all. If we raise additional funds by issuing equity securities, our stockholders will suffer dilution and the terms of any financing may adversely affect the rights of our stockholders. For example, when we issue shares of common stock upon exercise of the pre-funded warrants, Tranche 1 warrants and Tranche 2 warrants (collectively, the Tranche 1 warrants and Tranche 2 warrants, the “Tranche Warrants”) issued in our June 2023 private placement, our existing stockholders will suffer dilution.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product candidates.</w:t>
      </w:r>
    </w:p>
    <w:p>
      <w:pPr>
        <w:spacing w:after="0" w:line="89"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As is the case with all oncology drugs, our product candidates in clinical development or preclinical development go through a long process and have a high risk of failure, including termination for strategic reasons. It is impossible to predict when or if any of our or our partner’s product candidates will prove safe, pure and potent (or effective) in humans or will receive regulatory approval. Before obtaining marketing approval from regulatory authorities for the sale of any product candidate, we or our partners must complete extensive clinical trials to demonstrate the safety, purity and potency (or efficacy) of our product candidates in humans. Commencement of initial clinical trials for future programs is subject to finalizing the trial design and submission of an IND or similar submission to the FDA or similar global health authorities. In addition, even if we submit an IND or a comparable submission in other jurisdictions for CX-801 and CX-2051 or other product candidates, the FDA or other regulatory authorities could disagree that we have satisfied their requirements to commence our clinical trials or disagree with our study design, which may require us to complete additional preclinical studies or amend our protocols or impose stricter conditions on the commencement of clinical trials and may delay our ability to begin Phase 1 clinical trials, causing an increase in the amount of time and expense required to develop our product candidates, including CX-801 and CX-2051. As a result of the foregoing, the research and development, preclinical studies and clinical testing of any product candidate is expensive and can take many years to complete, and its outcome is inherently uncertain. Failure can occur at any time during the development process.</w:t>
      </w:r>
    </w:p>
    <w:p>
      <w:pPr>
        <w:spacing w:after="0" w:line="1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Further, we or our collaborators may also experience delays in completing ongoing clinical trials, completing preclinical studies or initiating further clinical trials of our product candidates, including, for example, among other things, as a result of the COVID-19 pandemic. We do not know whether our or our collaborators’ ongoing clinical trials or preclinical studies will be completed on schedule or at all, or whether planned clinical trials or preclinical studies will begin on time, need to be redesigned, enroll patients on time or be completed on schedule, if at all. We or our collaborators may have insufficient internal resources to complete ongoing clinical trials or initiate clinical trials for our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other product candidates. The development programs for our product candidates may also be delayed for a variety of reasons, including delays related to:</w:t>
      </w:r>
    </w:p>
    <w:p>
      <w:pPr>
        <w:spacing w:after="0" w:line="140"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recruiting suitable patients to participate in a clinical trial, particularly in light of the COVID-19 pandemic;</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developing and validating any companion diagnostic to be used in a clinical trial;</w:t>
      </w:r>
    </w:p>
    <w:p>
      <w:pPr>
        <w:spacing w:after="0" w:line="117"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other regulatory authorities requiring us to submit additional data or imposing other requirements before permitting us to initiate a clinical trial;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117"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institutional review board (“IRB”) approval at each clinical trial site;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having patients complete a clinical trial or return for post-treatment follow-up;</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manufacturing our product candidates in sufficient quality and quantity for use in clinical trials;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collaborators electing to not pursue development and commercialization of our product candidates.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safety profiles, notwithstanding promising results in earlier trials.</w:t>
      </w:r>
    </w:p>
    <w:p>
      <w:pPr>
        <w:spacing w:after="0" w:line="18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Our product candidates are in early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spacing w:after="0" w:line="71"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are very early in our development efforts, with only two product candidates, CX-2029 and CX-904, currently continuing in early-stage clinical development. We have no products on the market and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our collaborator must conduct extensive preclinical tests and clinical trials to demonstrate sufficient safety, purity and potency (or efficacy) of our product candidates in patients.</w:t>
      </w:r>
    </w:p>
    <w:p>
      <w:pPr>
        <w:spacing w:after="0" w:line="21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p>
      <w:pPr>
        <w:spacing w:after="0" w:line="16" w:lineRule="exact"/>
        <w:rPr>
          <w:sz w:val="20"/>
          <w:szCs w:val="20"/>
          <w:color w:val="auto"/>
        </w:rPr>
      </w:pPr>
    </w:p>
    <w:p>
      <w:pPr>
        <w:ind w:left="1020" w:right="560" w:hanging="503"/>
        <w:spacing w:after="0" w:line="263"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spacing w:after="0" w:line="75"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product-related side effects experienced by participants in our clinical trials, the clinical trials of our collaborators or by individuals using drugs or therapeutic biologics similar to our product candidates;</w:t>
      </w:r>
    </w:p>
    <w:p>
      <w:pPr>
        <w:spacing w:after="0" w:line="62"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conditions imposed by the FDA or comparable foreign authorities regarding the scope or design of our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17" w:lineRule="exact"/>
        <w:rPr>
          <w:rFonts w:ascii="Arial" w:cs="Arial" w:eastAsia="Arial" w:hAnsi="Arial"/>
          <w:sz w:val="18"/>
          <w:szCs w:val="18"/>
          <w:color w:val="auto"/>
        </w:rPr>
      </w:pPr>
    </w:p>
    <w:p>
      <w:pPr>
        <w:ind w:left="1020" w:right="76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inadequate supply or quality of product candidate components or materials or other supplies necessary for the conduct of our or our collaborators’ clinical trials;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353"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 in the development or approval of companion diagnostic tests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17"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1020" w:right="38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25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could find that the therapeutics we or our collaborators pursue are not safe, pure, potent (or efficacious).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or therapeutic biologic, changes in governmental regulations or administrative actions or lack of adequate funding to continue the clinical trial. Furthermore, we expect to rely on our collaborators, CROs and clinical trial sites to ensure proper and timely conduct of our clinical trials and while we expect to enter into agreements governing their committed activities, we have limited influence over their actual performance.</w:t>
      </w:r>
    </w:p>
    <w:p>
      <w:pPr>
        <w:spacing w:after="0" w:line="2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we or our collaborators experience delays in the completion of, or termination of, any clinical trial of our product candidates, the commercial prospects of our product candidates will be harmed, and our ability to generate product revenues or receive royalties from any of these product candidates will be delayed. In addition, any delays in completing our clinical trials will increase our costs, slow down our product development and approval process and jeopardize our ability to commence product sales and generate revenues. Furthermore, if one or more of our product candidates or our Probody therapeutic technology generally prove to be ineffective, unsafe or commercially unviable, the development of our entire platform and pipeline could be delayed, potentially permanently. For example, in March 2020, we made the strategic decision to terminate our Phase 2 clinical trial evaluating pacmilimab in combination ipilimumab in melanoma. This decision followed a re-evaluation of the evolving clinical, competitive and commercial landscapes in immuno-oncology, taken together with the impact of the COVID-19 pandemic. In July 2022, we announced topline results of our Phase 2 clinical trial evaluating praluzatamab ravtansine in patients with breast cancer and that we do not plan to further advance this program without a partner. This decision followed an evaluation of the clinical trial results, the competitive landscape and our estimate of the resources necessary to continue the development of praluzatamb ravtansine alone. Additionally, in March 2023, AbbVie announced that it would not advance CX-2029 into additional clinical trials and terminated our 2016 CD71 License and Collaboration Agreement for CX-2029. Any similar occurrences may materially and adversely affect our business, financial condition, results of operations and prospects. In addition, many of the factors that cause, or lead to, a delay in the commencement or completion of clinical trials may also ultimately lead to the denial of regulatory approval of our product candidates.</w:t>
      </w:r>
    </w:p>
    <w:p>
      <w:pPr>
        <w:spacing w:after="0" w:line="17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For example, in December 2021 we announced preliminary data on two of the four expansion cohorts for CX-2029. In January 2023, we announced further clinical results on three expansion cohorts for CX-2029 and the updated data provided further understanding and perspective on the drug candidate. We can make no assurances that the ultimate trial results for these three cohorts will be consistent with or better or worse than that reported data.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4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more patient data become available or as patients from our clinical trials continue other treatments for their disease. Adverse differences between preliminary, top-line, or interim data and final data could significantly harm our business prospects.</w:t>
      </w:r>
    </w:p>
    <w:p>
      <w:pPr>
        <w:spacing w:after="0" w:line="19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8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8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Undesirable side effects caused by our product candidates could cause us, our collaborators or regulatory authorities to interrupt, delay or halt clinical trials and could result in a more restrictive label or the delay or denial of regulatory approval by the FDA or other regulatory authorities. As is the case with all oncology drugs, there may be immediate or late side effects associated with the use of our product candidates, including praluzatamab ravtansine (CX-2009), CX-2029 and CX-904. There can be no assurance that unexpected adverse events will not occur in our ongoing trials or in future trials involving our product candidates or the product candidates of our collaborators. Undesirable side effects may appear in later trials that were not observed in our earlier trials or may be more severe in later trials than earlier trials.</w:t>
      </w:r>
    </w:p>
    <w:p>
      <w:pPr>
        <w:spacing w:after="0" w:line="20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Administration of praluzatamab ravtansine has been generally well tolerated with most reported treatment-related adverse events (“TRAEs”) being Grade 1/2. In May 2020, we announced that 34/92 (37%) patients experienced a Grade 3/4 TRAE. The most common adverse event observed was ocular toxicity, an anticipated toxicity associated with the DM4 payload. Other Grade 3/4 TRAEs included liver function test abnormalities, gastrointestinal disorders and nervous system disorders. In July 2022, we elected to discontinue further development of praluzatamab without a collaboration partner.</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May 2020, we announced that CX-2029 was generally well tolerated at doses up to 3 mg/kg with the most common TRAEs being infusion related reactions, anemia and neutropenia/leukopenia. Grade 3 or greater hematologic TRAEs, anemia and neutropenia, were dose dependent, with anemia being managed with transfusions and supportive care. In January 2023, we announced that the safety results for CX-2029 for the three ongoing expansion cohorts were consistent with previous observations, with no new safety signals identified. The most common TRAEs in 10% or more of patients (All Grade, Grade 3+) were anemia (82.6%, 76.1%), infusion related reactions (70.7%, 3.3%), neutropenia (23.9%, 17.4%), fatigue (17.4%, 1.1%), nausea (13.0%, 1.1%), and diarrhea (10.9%, 0%). There was 1 febrile neutropenia event (Grade 3) reported. The etiology of anemia remains under investigation and is likely to be multi-factorial. While the MMAE payload is known to be associated with anemia, preclinical studies have shown that reduction of red blood cell precursors has been observed in response to targeting CD71, which is known to play a role in early erythroid development. Although we believe such incidences of anemia can be managed, we continue to explore strategies for the management and mitigation of anemia but there can be no assurance that anemia can be managed sufficiently for eventual commercial acceptance. Additionally, although we believe the other TRAEs are manageable, there can be no assurance that the rate or severity of any of these side effects will not increase over time with more patients being treated in ongoing or future studies.</w:t>
      </w:r>
    </w:p>
    <w:p>
      <w:pPr>
        <w:spacing w:after="0" w:line="19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results of our or our collaborators’ future clinical trials could reveal a high and unacceptable severity of adverse side effects, including immune system related adverse events or increased toxicity, and it is possible that patients enrolled in such clinical trials could respond in unexpected ways or otherwise have unexpected adverse events. For example, in 2022 we have initiated a first-in-human Phase 1 clinical trial with CX-904 and, while we believe our preclinical studies indicate the potential to reach a favorable therapeutic index, clinical data will be necessary to specify an acceptable dose. We cannot provide assurance that we will reach an acceptable dose for CX-904.</w:t>
      </w:r>
    </w:p>
    <w:p>
      <w:pPr>
        <w:spacing w:after="0" w:line="1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Additionally, the Phase 2 clinical trial of BMS-986249 being conducted by Bristol Myers Squibb includes, and the Phase 2 clinical trial of BMS-986288 may include, the administration of the product candidate at relatively high dosage levels, which could further exacerbate such risks. In our Phase 2 clinical trial with CX-2029, we are targeting CD71, a target that is broadly expressed on normal tissue, which could create unacceptable toxicity or fail to result in anti-tumor activity. For instance, CD71 is a metabolic protein with high levels of expression in healthy tissues, and the consequences of targeting such protein in humans are unknown. Any future clinical trials of our product candidates could face similar or heightened risks depending on the modality. Similarly, the combination of EGFR and CD3 has been shown to induce significant toxicities in preclinical animal studies due to the widespread expression of each target.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center"/>
        <w:ind w:right="-7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4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event that our clinical trials or the clinical trials of our collaborators reveal severe adverse side effects, our or our collaborators’ clinical trials could be suspended or terminated and the FDA or comparable foreign regulatory authorities could impose a clinical hold, order us to cease further development of or deny approval of our product candidates for any or all targeted indications. Such side effects could also affect patient recruitment or the ability of enrolled patients to complete the trial or result in potential product liability claims. For example, in our Phase 1/2 clinical trial of praluzatamab ravtansine, some patients stopped treatment due to ocular toxicity. In addition, any occurrences of side effects with respect to one of our product candidates could negatively affect our or any collaborator’s ability to enroll patients and seek regulatory approval for other product candidates that we have developed using our Probody platform, which could also result in a collaborator terminating any program utilizing our Probody platform and the termination of such collaborative relationship. Any of these occurrences may materially and adversely affect our business, financial condition, results of operations and prospects. 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w:t>
      </w:r>
    </w:p>
    <w:p>
      <w:pPr>
        <w:spacing w:after="0" w:line="20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the event that any of our product candidates receives regulatory approval and we, our collaborators or others identify undesirable side effects caused by such product or any other Probody therapeutics, any of the following adverse events could occur, which could result in the loss of significant revenue to us and materially and adversely affect our results of operations and business:</w:t>
      </w:r>
    </w:p>
    <w:p>
      <w:pPr>
        <w:spacing w:after="0" w:line="76"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or our collaborators may be required to recall the product or change the way the product is administered to patients;</w:t>
      </w:r>
    </w:p>
    <w:p>
      <w:pPr>
        <w:spacing w:after="0" w:line="117" w:lineRule="exact"/>
        <w:rPr>
          <w:rFonts w:ascii="Arial" w:cs="Arial" w:eastAsia="Arial" w:hAnsi="Arial"/>
          <w:sz w:val="18"/>
          <w:szCs w:val="18"/>
          <w:color w:val="auto"/>
        </w:rPr>
      </w:pPr>
    </w:p>
    <w:p>
      <w:pPr>
        <w:ind w:left="1020" w:right="40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In addition, adverse side effects caused by any drugs of other companies utilizing the same or similar antibodies of our product candidates, or that are similar in nature to our product candidates could delay or prevent regulatory approval of our product candidates, limit the commercial profile of an approved label for our product candidates, or result in significant negative consequences following marketing approval.</w:t>
      </w:r>
    </w:p>
    <w:p>
      <w:pPr>
        <w:spacing w:after="0" w:line="16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our product candidates and could substantially increase the costs of commercializing our product candidates, if approved, and significantly impact our ability to successfully commercialize our product candidates and generate revenues.</w:t>
      </w:r>
    </w:p>
    <w:p>
      <w:pPr>
        <w:spacing w:after="0" w:line="184"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76"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Patient enrollment, a significant factor in the timing of clinical trials, is affected by many factors, including:</w:t>
      </w:r>
    </w:p>
    <w:p>
      <w:pPr>
        <w:spacing w:after="0" w:line="76"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size and nature of the target patient population;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353"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pandemics, including the COVID-19 pandemic.</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addition, competing clinical trials and clinicians’ and patients’ perceptions as to the potential advantages of the product candidate being studied in relation to other available therapies, including any new drugs or therapeutic biologics that may be approved for the indications we are investigating, could affect our ability to enroll a sufficient number of eligible patients in our clinical trials. There can be no assurance that new or further trials with our current or future drug candidates will not be adversely affected by a limited patient population. Our clinical trials of praluzatamab ravtansine and CX-2029 study or have studied patients who have one or a select number of specific tumor types rather than patients suffering from any cancer, which limits the rate of enrollment of the trial. In addition, some of our clinical trials seek to treat indications with small population sizes which could be particularly difficult to enroll. The clinical trials for our molecules also compete with thousands of clinical trials with alternative anti-cancer drugs in similar classes (e.g. antibody-drug conjugates), and certain arms of the clinical trials may be difficult to enroll due to the emerging standard of care for such indications in certain jurisdictions, including the United States. Likewise, our clinical trial of CX-904 is also competing with thousands of other anti-cancer clinical trials. Any clinical trials of our product candidates initiated by our collaborators, including Bristol Myers Squibb’s ongoing and planned Phase 2 clinical trials, face similar and additional risks relating to enrollment. We or our collaborators could also encounter delays in the development of any of our product candidates if prescribing physicians encounter unresolved ethical issues associated with enrolling patients in clinical trials of our product candidates in lieu of prescribing existing treatments that have established safety and efficacy profiles. Any delays relating to patient enrollment could cause significant delays in the timing of our or our collaborators’ clinical trials, which may materially and adversely affect our business, financial condition, results of operations and prospects.</w:t>
      </w:r>
    </w:p>
    <w:p>
      <w:pPr>
        <w:spacing w:after="0" w:line="18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approach to the discovery and development of our therapeutic treatments is based on novel technologies that are unproven and may not result in marketable products.</w:t>
      </w:r>
    </w:p>
    <w:p>
      <w:pPr>
        <w:spacing w:after="0" w:line="7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plan to continue to develop a pipeline of product candidates using our proprietary Probody platform. We believe that product candidates (including cancer immunotherapies, conditionally activated ADCs and bispecific antibodies) identified with our product discovery platform may offer an improved therapeutic approach by taking advantage of unique conditions in the tumor microenvironment, thereby reducing the dose-limiting toxic effects associated with traditional antibody products, which can also attack healthy tissue. However, the scientific research that forms the basis of our efforts to develop product candidates based on our Probody platform is ongoing, including the research resulting from our ongoing clinical trials for praluzatamab ravtansine (CX-2009), CX-2029, pacmilimab (CX-072) and CX-904.</w:t>
      </w:r>
    </w:p>
    <w:p>
      <w:pPr>
        <w:spacing w:after="0" w:line="19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may ultimately discover that our Probody platform and any product candidates resulting from it do not possess certain properties required for therapeutic effectiveness or protection from toxicity. For example, when Probody therapeutics are administered to human subjects, protease levels in tumors may not be sufficient and the peptide mask may not be cleaved, which would limit the potential efficacy of the antibody. In addition, if the peptide mask is inappropriately released, for example, due to an inflammatory disease, it may reduce the potential to limit toxicity of the anti-cancer agent or result in unforeseen events when administered in humans. Binding of the peptide mask to the antigen-binding domain of the Probody may not be constant, which could lead to intermittent periods when the antigen-binding domain or antibody portion is unmasked. Furthermore, Probody product candidates may not remain stable in the human body for the period of time required for the drug to reach and to bind to the target tissue. In addition, product candidates based on our Probody platform may demonstrate different chemical and pharmacological properties in patients than they do in laboratory studies. Although our Probody platform and certain product candidates have demonstrated successful results in animal studies, they may not demonstrate the same chemical and pharmacological properties in humans and may interact with human biological systems in unforeseen, ineffective, or harmful ways. Our understanding of the molecular pharmacology of Probody therapeutics, that is, the precise manner and sequence in which they are activated and behave in vivo, is incomplete. Probody therapeutics are complex biological molecules and we are evaluating the performance of this new technology in cancer patients for the first time. Many specific elements of Probody therapeutic function may contribute to their overall safety and efficacy profile including, but not limited to, the removal of only one mask from the dually-masked antibody, the removal of both masks from the dually-masked antibody, the binding strength of masks for the underlying antibody, and the binding strength of the underlying antibody for its target. We have limited structural evidence for how masks interact with antibodies. It may take many years before we develop a full understanding of Probody pharmacology, and we may never know precisely how they function in vivo. As with any new biologic or product developed on a novel platform, we have a limited understanding of the immunogenicity profile of Probody therapeutics. As a result, our Probody product candidates may trigger immune responses, such as anti-drug antibody (“ADA”), that may inhibit the ability of the antibody to reach the target tissue, inhibit the ability of the antibody to bind to its target, cause adverse side effects in humans or cause hypersensitivity reactions. For example, we reported in February 2019 that in our pacmilimab trial at the 10 mg/kg dose, the ADA rate was approximately 62%. We do not believe the ADA rate impacted our ability to reach targeted drug exposures. However, we cannot provide assurance that it will not later limit drug exposure or cause severe adverse events for pacmilimab or our other drug candidates. Problems that are specific to our Probody platform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may have an unfavorable impact on all of our product candidates. As a result, we may never succeed in developing a marketable product and we may never become profitable, which would cause the value of our common stock to decline.</w:t>
      </w:r>
    </w:p>
    <w:p>
      <w:pPr>
        <w:spacing w:after="0" w:line="19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 addition, the scientific evidence to support the feasibility of developing product candidates against novel, difficult to drug targets, is both preliminary and limited. For example, our understanding of the expression of CD166 and CD71 in both healthy and diseased tissues is still developing. As a result, we cannot provide any assurance that we will be able to successfully identify and advance any product candidates to target novel, difficult-to-drug targets.</w:t>
      </w:r>
    </w:p>
    <w:p>
      <w:pPr>
        <w:spacing w:after="0" w:line="1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Additionally, we recently entered into a collaboration with Moderna for the development of mRNA based product candidates. We do not know whether our Probody platform will be able to successfully develop product candidates utilizing this mRNA technology.</w:t>
      </w:r>
    </w:p>
    <w:p>
      <w:pPr>
        <w:spacing w:after="0" w:line="19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believe that the FDA and foreign regulatory authorities have limited experience with conditionally activated therapeutics in oncology, such experience primarily coming from praluzatamab ravtansine, CX-2029, BMS-986249, BMS-986288, and pacmilimab. We believe that such limited experience may increase the complexity, uncertainty and length of the regulatory approval process for our product candidates and may keep us from commencing first-in-human trials in certain countries. As there is limited historical precedent for the regulatory clearance of Probody-based therapeutics in oncology, there is a higher degree of risk that the FDA or other regulatory authorities could disagree that we or our collaborators have satisfied their requirements to commence clinical trials for some product candidates or disagree with our study designs, which may require us to complete additional preclinical studies or amend our protocols or impose stricter conditions on the commencement of clinical trials. In addition, local clinical practice in other countries may affect whether we or our collaborators are able to initiate a clinical trial there. As a result, we and our collaborators may never receive approval to market and commercialize any product candidate. Even if we or our collaborators obtain regulatory approval, the approval may be for targets, disease indications or patient populations that are not as broad as we or they intended or desired or may require labeling that includes significant use or distribution restrictions or safety warnings. We or our collaborators may be required to perform additional or unanticipated clinical trials to obtain approval or be subject to post-marketing testing requirements to maintain regulatory approval. If one or more of our product candidates or our Probody technology generally prove to be ineffective, unsafe or commercially unviable, our entire platform and pipeline may have little, if any, value, which would have a material and adverse effect on our business, financial condition, results of operations and prospects.</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market may not be receptive to our product candidates based on a novel therapeutic modality, and we may not generate any future revenue from the sale or licensing of product candidates.</w:t>
      </w:r>
    </w:p>
    <w:p>
      <w:pPr>
        <w:spacing w:after="0" w:line="7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Even if regulatory approval is obtained for a product candidate, we may not generate or sustain revenue from sales of the product due to factors such as whether the product can be sold at a competitive cost and whether it will otherwise be accepted in the market. The product candidates that we are developing are based on our Probody platform, which is a new technology and therapeutic approach. Market participants with significant influence over acceptance of new treatments, such as physicians and third-party payors, may not adopt a product or treatment based on our Probody platform and technologies, and we may not be able to convince the medical community and third-party payors to accept and use, or to provide favorable reimbursement for, any product candidates developed by us or our collaborators. This may be particularly true for any of our product candidates (including BMS-986288) for which there are existing approved therapies, such as approved agents targeting CTLA-4. Market acceptance of our product candidates will depend on, among other factors:</w:t>
      </w:r>
    </w:p>
    <w:p>
      <w:pPr>
        <w:spacing w:after="0" w:line="84"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our receipt of any marketing and commercialization approvals;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of any approvals and the countries in which approvals are obtained;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safety, purity, potency (or efficacy) of our product candidates, including those being developed by our collaborators;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or warnings contained in any labeling approved by the FDA or other regulatory authority;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effective companion diagnostics;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of patients to accept any new methods of administration;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success of our physician education programs;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from government and third-party payors;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pricing of our products, particularly as compared to alternative treatments;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353" w:lineRule="exact"/>
        <w:rPr>
          <w:sz w:val="20"/>
          <w:szCs w:val="20"/>
          <w:color w:val="auto"/>
        </w:rPr>
      </w:pPr>
    </w:p>
    <w:p>
      <w:pPr>
        <w:ind w:left="1020" w:right="2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alternative effective treatments for the disease indications our product candidates are intended to treat and the relative risks, benefits and costs of those treatments.</w:t>
      </w:r>
    </w:p>
    <w:p>
      <w:pPr>
        <w:spacing w:after="0" w:line="19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If any product candidate we commercialize fails to achieve market acceptance, it could have a material and adverse effect on our business, financial condition, results of operations and prospects.</w:t>
      </w:r>
    </w:p>
    <w:p>
      <w:pPr>
        <w:spacing w:after="0" w:line="17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Since 2013, we have entered into collaborations with AbbVie, Amgen, Astellas, Bristol Myers Squibb, ImmunoGen, Moderna, Pfizer, Regeneron and others to develop certain Probody therapeutics. We may in the future seek third-party collaborators for development and commercialization of other therapeutic technologies or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whether such collaborations pursue the development of our product candidates or the amount and timing of resources that such collaborators dedicate to the development or commercialization of our product candidates. For instance, in March 2023, AbbVie terminated the collaboration agreement for CX-2029 and the ongoing discovery agreement we had entered into with them in 2016. Our partners have chosen multiple targets for research, some of which continue to be advanced and others which do not continue to advance. Our partners will continue to choose early research targets from time to time, some of which will advance into further research and development and some of which will not. For example, in January 2023, Bristol Myers Squibb announced that it would deprioritize the Phase 2 clinical program for BMS 986249 and advance the BMS-986288 into a Phase 2 program. As a result, there can be no assurances that any of the programs covered by our existing or future collaborations will be developed further. Further, our ability to generate revenues from our existing and future arrangements will depend on our collaborators’ abilities to successfully perform the functions assigned to them in these arrangements. Additionally, some of our collaborations may require us to share in certain development and commercialization expenses. If we cannot afford to share such expenses when required, our rights under such collaborations may be adversely affected, including potentially that our collaborators may terminate the relevant agreement. Overall, collaborations involving our product candidates currently pose, and will continue to pose, the following risks to us:</w:t>
      </w:r>
    </w:p>
    <w:p>
      <w:pPr>
        <w:spacing w:after="0" w:line="68" w:lineRule="exact"/>
        <w:rPr>
          <w:sz w:val="20"/>
          <w:szCs w:val="20"/>
          <w:color w:val="auto"/>
        </w:rPr>
      </w:pPr>
    </w:p>
    <w:p>
      <w:pPr>
        <w:ind w:left="1020" w:right="580" w:hanging="503"/>
        <w:spacing w:after="0" w:line="342"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collaborators have significant discretion in determining the amount and timing of efforts and resources that they will apply to these collaborations, including, with respect to Bristol Myers Squibb, BMS-986249 and BMS-986288 and with respect to Amgen, CX-904;</w:t>
      </w:r>
    </w:p>
    <w:p>
      <w:pPr>
        <w:spacing w:after="0" w:line="15" w:lineRule="exact"/>
        <w:rPr>
          <w:rFonts w:ascii="Arial" w:cs="Arial" w:eastAsia="Arial" w:hAnsi="Arial"/>
          <w:sz w:val="16"/>
          <w:szCs w:val="16"/>
          <w:color w:val="auto"/>
        </w:rPr>
      </w:pPr>
    </w:p>
    <w:p>
      <w:pPr>
        <w:ind w:left="1020" w:right="440" w:hanging="503"/>
        <w:spacing w:after="0" w:line="311"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or available funding or resources, or external factors such as an acquisition that diverts resources or creates competing priorities;</w:t>
      </w:r>
    </w:p>
    <w:p>
      <w:pPr>
        <w:spacing w:after="0" w:line="40" w:lineRule="exact"/>
        <w:rPr>
          <w:rFonts w:ascii="Arial" w:cs="Arial" w:eastAsia="Arial" w:hAnsi="Arial"/>
          <w:sz w:val="16"/>
          <w:szCs w:val="16"/>
          <w:color w:val="auto"/>
        </w:rPr>
      </w:pPr>
    </w:p>
    <w:p>
      <w:pPr>
        <w:ind w:left="1020" w:right="180" w:hanging="503"/>
        <w:spacing w:after="0" w:line="286"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collaborators have significant discretion in designing any clinical trials they operate pursuant to our collaboration agreements, including Bristol Myers Squibb’s ongoing Phase 2 cohort expansion of BMS-986249 and its Phase 1/2 clinical trial of BMS-986288, and may release data from such clinical trials, including with respect to our Probody therapeutics, without consulting us;</w:t>
      </w:r>
    </w:p>
    <w:p>
      <w:pPr>
        <w:spacing w:after="0" w:line="57" w:lineRule="exact"/>
        <w:rPr>
          <w:rFonts w:ascii="Arial" w:cs="Arial" w:eastAsia="Arial" w:hAnsi="Arial"/>
          <w:sz w:val="17"/>
          <w:szCs w:val="17"/>
          <w:color w:val="auto"/>
        </w:rPr>
      </w:pPr>
    </w:p>
    <w:p>
      <w:pPr>
        <w:ind w:left="1020" w:right="60" w:hanging="503"/>
        <w:spacing w:after="0" w:line="263"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and are not necessarily required to give us information about their clinical data;</w:t>
      </w:r>
    </w:p>
    <w:p>
      <w:pPr>
        <w:spacing w:after="0" w:line="75" w:lineRule="exact"/>
        <w:rPr>
          <w:rFonts w:ascii="Arial" w:cs="Arial" w:eastAsia="Arial" w:hAnsi="Arial"/>
          <w:sz w:val="18"/>
          <w:szCs w:val="18"/>
          <w:color w:val="auto"/>
        </w:rPr>
      </w:pPr>
    </w:p>
    <w:p>
      <w:pPr>
        <w:ind w:left="1020" w:right="80" w:hanging="503"/>
        <w:spacing w:after="0" w:line="263"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may independently develop, or develop with third parties, products that compete directly or indirectly with our product candidate if the collaborators believe that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1020" w:right="54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1020" w:right="80" w:hanging="503"/>
        <w:spacing w:after="0" w:line="263"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spacing w:after="0" w:line="75" w:lineRule="exact"/>
        <w:rPr>
          <w:rFonts w:ascii="Arial" w:cs="Arial" w:eastAsia="Arial" w:hAnsi="Arial"/>
          <w:sz w:val="18"/>
          <w:szCs w:val="18"/>
          <w:color w:val="auto"/>
        </w:rPr>
      </w:pPr>
    </w:p>
    <w:p>
      <w:pPr>
        <w:ind w:left="1020" w:right="52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rights of third parties, which may expose us to litigation and potential liability;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center"/>
        <w:ind w:right="-7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353" w:lineRule="exact"/>
        <w:rPr>
          <w:sz w:val="20"/>
          <w:szCs w:val="20"/>
          <w:color w:val="auto"/>
        </w:rPr>
      </w:pPr>
    </w:p>
    <w:p>
      <w:pPr>
        <w:ind w:left="1020" w:hanging="503"/>
        <w:spacing w:after="0" w:line="342"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 and</w:t>
      </w:r>
    </w:p>
    <w:p>
      <w:pPr>
        <w:spacing w:after="0" w:line="15" w:lineRule="exact"/>
        <w:rPr>
          <w:rFonts w:ascii="Arial" w:cs="Arial" w:eastAsia="Arial" w:hAnsi="Arial"/>
          <w:sz w:val="16"/>
          <w:szCs w:val="16"/>
          <w:color w:val="auto"/>
        </w:rPr>
      </w:pPr>
    </w:p>
    <w:p>
      <w:pPr>
        <w:ind w:left="1020" w:right="94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9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example, in January 2023, we announced topline results of the Phase 2 expansion cohorts of CX-2029 and in March 2023, AbbVie decided not to continue the future development of CX-2029.</w:t>
      </w:r>
    </w:p>
    <w:p>
      <w:pPr>
        <w:spacing w:after="0" w:line="19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As a result of the foregoing, our current and any future collaboration agreements may not lead to development or commercialization of our product candidates in the most efficient manner or at all and may not result in the realization of the benefits we expected to achieve upon our entry into such agreements.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171"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auto"/>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spacing w:after="0" w:line="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Substantially all of our revenue to date has been derived from our existing collaboration agreements, including, most recently, the agreements that we entered into with Regeneron and Moderna in 2022, and a significant portion of our future revenue and cash resources is expected to be derived from these agreements or other similar agreements we may enter into in the future. Revenue from research and development collaborations depend upon continuation of the collaborations, reimbursement of development costs, the achievement of milestones and royalties, if any, derived from future products developed from our research. If our development partners do not select additional targets and we are unable to successfully advance the development of our product candidates or achieve milestones, revenue and cash resources from milestone payments under our collaboration agreements will be substantially less than expected.</w:t>
      </w:r>
    </w:p>
    <w:p>
      <w:pPr>
        <w:spacing w:after="0" w:line="22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addition, to the extent that any of our collaborators were to terminate a collaboration agreement, we may decide to independently develop these product candidates to the extent we retain development rights. Such development could include funding preclinical or clinical trials, assuming marketing and distribution costs and defending intellectual property rights. Alternatively, in certain instances, we may choose to abandon product candidates altogether. For instance, in March 2018, Pfizer terminated our 2013 collaboration agreement with them, and from time to time some of our research programs have been terminated by our partners. The termination of any of our collaboration agreements or individual programs within a collaboration agreement could result in a change to our business plan and may have a material adverse effect on our business, financial condition, results of operations and prospects. If a collaboration is terminated, we would not be eligible to receive the milestone, royalty or other payments that would have been payable under the collaboration agreement. For example, as a result of ImmunoGen’s decision to out-license the EpCAM program and our licensing of the program from them in 2019, their license for the program from us ended and we will not receive milestone or other payments from them.</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the commercialization of any of our product candidates may be delayed, or never attained, and our business will be harmed.</w:t>
      </w:r>
    </w:p>
    <w:p>
      <w:pPr>
        <w:spacing w:after="0" w:line="7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56"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available capital resources or capital constraints we experience;</w:t>
      </w:r>
    </w:p>
    <w:p>
      <w:pPr>
        <w:spacing w:after="0" w:line="117" w:lineRule="exact"/>
        <w:rPr>
          <w:rFonts w:ascii="Arial" w:cs="Arial" w:eastAsia="Arial" w:hAnsi="Arial"/>
          <w:sz w:val="18"/>
          <w:szCs w:val="18"/>
          <w:color w:val="auto"/>
        </w:rPr>
      </w:pPr>
    </w:p>
    <w:p>
      <w:pPr>
        <w:ind w:left="1020" w:right="58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trial eligibility criteria;</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receipt of approvals by the FDA and other regulatory authorities and the timing thereof;</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actions, decisions or rules issued by regulators;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353"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materials used in the manufacture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manufacture and supply clinical trial materials to our clinical sites on a timely basis;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efforts of our collaborators with respect to the commercialization of our products;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securing of, costs related to, and timing issues associated with, product manufacturing as well as sales and marketing activities.</w:t>
      </w:r>
    </w:p>
    <w:p>
      <w:pPr>
        <w:spacing w:after="0" w:line="26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For example, in March 2020, we announced the temporary pause in new patient enrollment and new site activation in our Phase 2 clinical trial of praluzatamab ravtansine (CX-2009) as a result of the COVID-19 pandemic and the termination of the Phase 2 clinical trial of pacmilimab (CX-072) in combination with ipilimumab after a re-evaluation of the evolving clinical, competitive and commercial landscapes in immuno-oncology, taken together with the impact of the COVID-19 pandemic. Additionally, in July 2022, we announced that we would cease to continue the praluzatamab ravtansine program without a partner.</w:t>
      </w:r>
    </w:p>
    <w:p>
      <w:pPr>
        <w:spacing w:after="0" w:line="21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we fail to achieve announced milestones in the timeframes we expect, the commercialization of any of our product candidates may be delayed or never attained, and our business and results of operations may be harmed.</w:t>
      </w:r>
    </w:p>
    <w:p>
      <w:pPr>
        <w:spacing w:after="0" w:line="170"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Since commencing operations, we have entered into several collaboration agreements. Most recently, in November 2022 and December 2022, we entered into strategic collaborations with Regeneron and Moderna, respectively. From time to time, we may consider additional strategic transactions, such as additional collaborations, acquisitions of companies, asset purchases and out- or in-licensing of product candidates or technologies. In particular, we will evaluate and, if strategically attractive, seek to enter into additional collaborations, including with major biotechnology or biopharmaceutical companies. In July 2022, in connection with our announcement of Phase 2 topline results for praluzatamab ravtansine, we communicated our plans to seek collaborators to advance the program further. The competition for collaborators is intense and there can be no assurances that we will be able to secure any collaboration for praluzatamab ravtansine or any other program. The negotiation process for strategic collaborations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Any such collaboration, or other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and adverse effect on our business, financial condition, results of operations and prospects. The termination by a collaborator of a collaboration may cause a decrease in the price of our stock. Conversely, any failure to enter any additional collaboration or other strategic transaction that would be beneficial to us could delay the development and potential commercialization of our product candidates and have a negative impact on the competitiveness of any product candidate that reaches market.</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develop companion diagnostic tests for certain of our product candidates, or experience significant delays in doing so, we may not realize the full commercial potential of our product candidates.</w:t>
      </w:r>
    </w:p>
    <w:p>
      <w:pPr>
        <w:spacing w:after="0" w:line="6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Because we are focused on precision medicine, in which predictive biomarkers will be used to identify the right patients for our product candidates, we believe that our success may depend, in part, on the development of companion diagnostic tests, including for CX-2029. To successfully develop a companion diagnostic test, we would need to address a number of scientific, technical and logistical challenges. However, we have little experience in the development of companion diagnostic tests and may not be successful in developing appropriate tests to pair with any of our product candidates. Companion diagnostic tests are subject to regulation by the FDA and similar regulatory authorities outside the United States as medical devices and require separate regulatory approval prior to commercialization. Given our limited experience in developing companion diagnostic tests, we could seek to rely on third parties to design, manufacture, and obtain regulatory approval for any companion diagnostic tests for our product candidates. However, we and such collaborators may encounter difficulties in developing and obtaining approval for the companion diagnostic tests, including issues relating to selectivity/specificity,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35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analytical validation, reproducibility, or clinical validation. Any delay or failure by us or our collaborators to develop or obtain regulatory approval of the companion diagnostic tests could delay or prevent approval of our product candidates. As a result, our business would be harmed, possibly materially.</w:t>
      </w:r>
    </w:p>
    <w:p>
      <w:pPr>
        <w:spacing w:after="0" w:line="124"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i w:val="1"/>
          <w:iCs w:val="1"/>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5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do not have the ability to independently conduct clinical trials. As such, we currently rely and intend to continue to rely on third-party clinical investigators, CROs, clinical data management organizations and consultants to help us design, conduct, supervise and monitor clinical trials of our product candidates. As a result, we will have less control over the timing, quality and other aspects of our clinical trials than we would have had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preclinical studies or clinical trials, resulting in the preclinical studies or clinical trials being delayed or unsuccessful. Furthermore, our third-party contractors, including CROs are being and may continue to be impacted in their ability to conduct our work as a result of the COVID-19 pandemic.</w:t>
      </w:r>
    </w:p>
    <w:p>
      <w:pPr>
        <w:spacing w:after="0" w:line="19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will be responsible for ensuring that each of our preclinical studies and clinical trials are conducted in accordance with the general investigational plan and protocols for the trial. The FDA requires preclinical studies to be conducted in accordance with good laboratory practices (“GLPs”) and clinical trials to be conducted in accordance with good clinical practices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will not relieve us of these responsibilities and requirements. Any adverse development or delay in our clinical trials could have a material and adverse effect on our business, financial condition, results of operations and prospects.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currently conducting and will continue to conduct clinical trials and will contract with third-party manufacturers in foreign countries, which could expose us to risks that could have a material adverse effect on the success of our business.</w:t>
      </w:r>
    </w:p>
    <w:p>
      <w:pPr>
        <w:spacing w:after="0" w:line="7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have enrolled or are planning to enroll patients in our clinical trials outside the United States, including in Europe and South Korea. While we generally conduct our clinical trials primarily or partially in the U.S.,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20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currently contract manufacturing operations to third parties, and certain of our product candidates are manufactured by and will in the future be manufactured by third parties outside the U.S., including in China. For example, we have a contract with a third-party manufacturer located in China for our CX-801 product candidate and accordingly we are exposed to the possibility of drug product supply disruption, delay and increased costs in the event of changes in the policies of the U.S. or Chinese governments, political unrest or unstable economic conditions in China.</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4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Conducting clinical trials and contracting with third-party manufacturers outside the United States also exposes us to additional risks, including risks associated with additional foreign regulatory requirements; foreign exchange fluctuations; patient monitoring and compliance; compliance with foreign manufacturing, customs, shipment and storage requirements; the severity of the COVID-19 pandemic in such jurisdictions; and cultural differences in medical practice and clinical research. We are also subject to risks associated with doing business globally, including commercial, political, and financial risks. In addition, we are subject to potential disruption caused by military conflicts; potentially unstable governments or legal systems; civil or political upheaval or unrest; local labor policies and conditions; possible expropriation, nationalization, or confiscation of assets; problems with repatriation of foreign earnings; economic or trade sanctions; closure of markets to imports; anti-American sentiment; terrorism or other types of violence in or outside the United States; health pandemics; and a significant reduction in global travel. For example, pandemics and public health emergencies, such as the COVID-19 pandemic, have disrupted and delayed and could in the future disrupt or delay enrollment in our clinical trials in Europe, South Korea and elsewhere. Our success will depend, in part, on our ability to overcome the challenges we encounter with respect to these risks and other factors affecting U.S. companies with global operations. If our global clinical trials or foreign third-party suppliers were to experience significant disruption due to these risks or for other reasons, it could have a material adverse effect on our business, financial condition, results of operations and prospects.</w:t>
      </w:r>
    </w:p>
    <w:p>
      <w:pPr>
        <w:spacing w:after="0" w:line="16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8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rely on third-party contract manufacturers to manufacture our clinical trial and preclinical study product supplies, some of which are located in foreign countries, which, in addition to having other issues, could be adversely impacted by the COVID-19 pandemic. Most of our clinical trial manufacturing contractors and suppliers are our sole source for their respective manufacturing and supplies. Failure of any of these contractors could put our ability to have clinical trial material available when needed. This could result in a substantial delay of our clinical trials. For each of praluzatamab ravtansine (CX-2009), CX-2029, pacmilimab (CX-072), and CX-904, our manufacturing supply chain includes several contract manufacturers, and failure by any of these manufacturers could result in interruptions of our clinical studies. For example, in November 2019, one of our contract manufacturers that manufactures pacmilimab experienced a production failure. If we had not been able to assure sufficient supplies of clinical trial drug product after the production failure, we may have been required to suspend any ongoing trials and postpone future trials. Although we took sufficient steps to assure our current supply of pacmilimab, there can be no assurance that we will not have future production failures, which could affect our ability to conduct our trials for CX-2029, CX-904 or any other clinical trial drug candidates, including CX-801 and CX-2051, on our planned timeline or at all. We do not own manufacturing facilities for producing such supplies and do not have any long-term contracts and we do not currently have an alternative to any of our third-party contract manufacturers.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 transferring technology to a new third-party manufacturer, and we may encounter regulatory delays if we need to move the manufacturing of our products from one third-party manufacturer to another. For example, we were dependent on ImmunoGen under our collaboration for certain steps in the manufacturing of clinical quantities of praluzatamab ravtansine. At the end of 2018, ImmunoGen closed their clinical manufacturing facility in Norwood, MA. This site provided clinical manufacturing support for the praluzatamab ravtansine program. We completed transfer of the drug substance manufacturing process from ImmunoGen to a CMO, where we have an existing relationship and which has expertise in the manufacture of antibody-drug conjugates at a clinical and commercial scale. While the manufacturing transfer process was completed, there can be no assurance that we will not experience a disruption in the supply of any other drug substance or drug product.</w:t>
      </w:r>
    </w:p>
    <w:p>
      <w:pPr>
        <w:spacing w:after="0" w:line="200" w:lineRule="exact"/>
        <w:rPr>
          <w:sz w:val="20"/>
          <w:szCs w:val="20"/>
          <w:color w:val="auto"/>
        </w:rPr>
      </w:pP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(“cGMPs”). In the event that any of our manufacturers fails to comply with such requirements or to perform its obligations to us in relation to quality, timing or otherwise, such as the pacmilimab manufacturing production failure our contract manufacturer experienced in November 2019, or if our supply of components or other materials becomes limited or interrupted for other reasons, such as one of our manufacturers going out of business,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We may find that our third-party manufacturer is unable to scale up the process in order to produce commercial quantities of our products. Our or a third party’s failure to execute on our manufacturing requirements and comply with cGMPs could adversely affect our business in a number of ways, including:</w:t>
      </w:r>
    </w:p>
    <w:p>
      <w:pPr>
        <w:spacing w:after="0" w:line="87"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23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supply chain for the manufacturing of our product candidates is complicated and can involve many parties. This is especially the case for our clinical-stage conditionally activated ADCs, praluzatamab ravtansine and CX-2029. If we were to experience any supply chain issues, our product supply could be seriously disrupted. In addition, we expect the logistical challenges associated with our supply chain to grow more complex as additional product candidates commence any clinical trials.</w:t>
      </w:r>
    </w:p>
    <w:p>
      <w:pPr>
        <w:spacing w:after="0" w:line="18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5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It may prove more challenging than we anticipate to manufacture products that incorporate our Probody therapeutic technology. In order to conduct clinical trials of our product candidates, including our clinical trials for CX-2029 and CX-904, we will need to manufacture them in large quantities. To date, we have generally been able to successfully manufacture CX-2029, and CX-904 for our ongoing early-stage clinical trials. However, in November 2019, we had a production failure at one of our contract manufacturers that manufactured pacmilimab for our Phase 1/2 clinical trial and for our future trials. If we had not been able to assure sufficient supplies of clinical trial drug product after the production failure, we may have been required to suspend any ongoing trials and postpone future trials. Although we took sufficient steps to assure our current supply of pacmilimab clinical trial drug product for our planned clinical trials, there can be no assurance that we will not have future production failures, which could affect our ability to conduct our trials for CX-2029, CX-904 or any other clinical trial drug candidates, including CX-801 and CX-2051, on our planned timeline or at all. Furthermore, in order to conduct later stage clinical trials of our product candidates, such as our Phase 2 clinical trial for CX-2029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However, we may have to start late-stage trials with our early clinical trial drug product and switch to late-stage or commercial drug product mid trial. In such event, the FDA will require us to complete bridging studies to compare the earlier stage material with late-stage or commercial material to assure comparability between the earlier trial material and the late- stage or commercial material. Changing formulation and scaling up the process is a complicated and difficult task. While we believe we can complete this process successfully, there can be no assurances that the changes we make to the drug product and manufacturing process will be successful or completed in a timely manner or that the FDA will not require additional development steps or studies from those we believe are necessary. If we are not able to scale up our manufacturing capabilities with respect to any of our product candidates, increase the life of drug stability of product candidates, or successfully complete the FDA’s bridging requirements, we may not be able to successfully obtain FDA approval and commercialize product candidates in a timely manner or at all.</w:t>
      </w:r>
    </w:p>
    <w:p>
      <w:pPr>
        <w:spacing w:after="0" w:line="198"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For CX-2029, the manufacturing of additional clinical quantities could be particularly difficult because we are relying on three different parties to manufacture supplies. If we, or any manufacturing partners,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and fail to capitalize on product candidates that may be more profitable or for which there is a greater likelihood of success.</w:t>
      </w:r>
    </w:p>
    <w:p>
      <w:pPr>
        <w:spacing w:after="0" w:line="7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Because we have limited financial and managerial resources, we focus on specific product candidates and indications. For example, in July 2022, we announced that we would not continue the development of pralauzatamab ravtansine without a partner. As a result, we may forgo or delay pursuit of opportunities with those products in other indications or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in managing our growth and expanding when needed.</w:t>
      </w:r>
    </w:p>
    <w:p>
      <w:pPr>
        <w:spacing w:after="0" w:line="13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Over the last few years, we have expanded our workforce and activities to manage our expanding pipeline, including Phase 2 clinical trials. However, in July 2022, we announced we will not advance praluzatamab ravtansine into further clinical trials and will seek a partner for the program. As a result, we announced that we would reduce our workforce, primarily development and general and administrative staff, by approximately 40%. In the future we may need to grow our organization substantially to continue development and pursue the potential commercialization of our product candidates, including CX-801 and CX-2051, as well as function as a public company. As we increase the number of our product candidates entering and advancing through preclinical studies and clinical trials, we will need to expand our development, regulatory and manufacturing capabilities or contract with additional organizations to provide these capabilities for us. In addition, we expect our collaborations to require greater resources as the development of our product candidates under such agreements progresses. In the future, we expect to also have to manage additional relationships with collaborators or partners, including Regeneron and Moderna, suppliers and other organizations. In particular, if the third parties on which we currently rely are not capable of delivering services or supplies in a manner that is sufficient to meet our requirements as we expand our operations, we could be required to contract with new third parties and there can be no assurances that the services or supplies of such third parties will be available on commercially reasonable terms, or at all. Furthermore, our ability to manage our operations and future growth will require us to continue to increase headcount as well as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spacing w:after="0" w:line="17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5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candidates. Competitive therapeutic treatments include those that have already been approved and accepted by the medical community and any new treatments that enter the market. We believe that a significant number of products are currently under development, and may become commercially available in the future, for the treatment of conditions for which we may try to develop product candidates. Additionally, there is intense and rapidly evolving competition in the biotechnology, biopharmaceutical and antibody and immunoregulatory therapeutics fields, and our competitors include larger and better funded biopharmaceutical, biotechnological and therapeutics companies. In addition, these companies compete with us in recruiting scientific and managerial talent.</w:t>
      </w:r>
    </w:p>
    <w:p>
      <w:pPr>
        <w:spacing w:after="0" w:line="22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believe that while our Probody platform, its associated intellectual property and our scientific and technical know-how, give us a competitive advantage in this space, competition from many sources remains. The clinical development pipeline for cancer includes small molecules, antibodies and therapies from a variety of groups. In addition, numerous compounds are in clinical development for cancer treatment. As a result, our success will partially depend on our ability to develop and protect therapeutics that are safer and more effective than competing products. Our commercial opportunity and success will be reduced or eliminated if competing products that are safer, more effective, or less expensive than the therapeutics we develop or if we are unable to utilize our Probody therapeutic technology to differentiate our Probody therapeutics from the products of our competitors. For instance, if any of our product candidates, including, CX-2029, are approved, they will compete with a range of therapeutic treatments that are either in development or currently marketed. A variety of oncology drugs and therapeutic biologics are currently on the market or in clinical development Given the amount of time required to successfully develop and obtain regulatory approval for each of our product candidates, it is therefore possible that by the time we obtain any such approval, if ever, and commence sales, we may no longer be able to differentiate such product candidate from those of our competitors.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face substantial competition from pharmaceutical companies developing products in oncology, including companies such as Amgen, AstraZeneca PLC, Bristol Myers Squibb, GlaxoSmithKline plc, Merck &amp; Co., Inc. Novartis AG, Pfizer, Roche Holding Ltd. and Sanofi SA. Many large and mid-sized biotech companies, including BeiGene, Incyte, Nektar, and Alkermes have ongoing efforts in cancer immunotherapy. Several companies, including Adagene, Amgen, Sanofi, BioAtla, Halozyme, Harpoon Therapeutics, Revitope, Roche, Seagen, Takeda, Werewolf Therapeutics, and Xilio are exploring antibody masking and/or conditional activation strategies, which could compete with our Probody platform. We are also aware of several companies that are developing ADCs, such as AbbVie, ADC Therapeutics, Daiichi Sankyo, Gilead, ImmunoGen, Merck &amp; Co., Mersana Therapeutics, Pfizer, Roche Holding Ltd. Seagen and Takeda. Furthermore, several large pharmaceutical companies, including Amgen, Novartis AG and Roche Holding Ltd., are developing T-cell engaging immunotherapies, and we are aware of several mid-sized biotech companies, such as MacroGenics and Xencor, and small companies with ongoing efforts to develop T-cell engaging immunotherapies. Any of these companies may be well capitalized and may have significant clinical experience. In addition, these companies include our collaborators.</w:t>
      </w:r>
    </w:p>
    <w:p>
      <w:pPr>
        <w:spacing w:after="0" w:line="21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less differentiated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inability to attract and retain qualified key management and technical personnel would impair our ability to implement our business plan.</w:t>
      </w:r>
    </w:p>
    <w:p>
      <w:pPr>
        <w:spacing w:after="0" w:line="15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success largely depends on the continued service of key management, advisors and other specialized personnel, including Sean A. McCarthy, D.Phil., our chief executive officer and chairman. The loss of one or more members of our management team or other key employees or advisors could delay our research and development programs and have a material and adverse effect on our business, financial condition, results of operations and prospects. The relationships that our key managers have cultivated within our industry make us particularly dependent upon their continued employment with us. We are dependent on the continued service of our technical personnel because of the highly technical nature of our product candidates and technologies and the specialized nature of the regulatory approval process. Because our management team and key employees are not obligated to provide us with continued service, they could terminate their employment with us at any time without penalty. In particular, as a result of the COVID-19 pandemic, the ability of employees to engage in a remote working environment has increased the competitive landscape across the country for us in seeking qualified employees. Employees are now able to consider opportunities across the country and it may be more difficult to hire employees. Furthermore, it is more difficult to engage employees in Company culture and build working rapport when they are working remotely. As a result, it may be more difficult to retain employees on a long-term basis. Our future success will depend in large part on our continued ability to attract and retain other highly qualified scientific, technical and management personnel, as well as personnel with expertise in clinical testing, manufacturing, governmental regulation and commercialization. We face competition for personnel from other companies, universities, public and private research institutions, government entities and other organizations, especially as job opportunities in the biotechnology industry have recently increased significantly in the San Francisco Bay Area and across the country.</w:t>
      </w:r>
    </w:p>
    <w:p>
      <w:pPr>
        <w:spacing w:after="0" w:line="17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currently have no sales, marketing or distribution capabilities or experience. If any of our product candidates is approved,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that such third parties will establish adequate sales and distribution capabilities or be successful in gaining market acceptance of any approved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4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product. If we are not successful in commercializing any product approved in the future, either on our own or through third parties, our business, financial condition, results of operations and prospects could be materially and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controls imposed in foreign markets may adversely affect our future profitability.</w:t>
      </w:r>
    </w:p>
    <w:p>
      <w:pPr>
        <w:spacing w:after="0" w:line="13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future collaborators may be required to conduct a clinical trial or other studies that compare the cost-effectiveness of our Probody therapeutic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We currently do not know how the exit of the United Kingdom from the European Union will affect the pricing of prescription drugs, either in the United Kingdom or in the remaining European Union member states.</w:t>
      </w:r>
    </w:p>
    <w:p>
      <w:pPr>
        <w:spacing w:after="0" w:line="16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7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exposed to significant product liability risks inherent in the development, testing, manufacturing and marketing of therapeutic treatments, including as a result of the clinical testing of praluzatamab ravtansine (CX-2009), CX-2029, BMS-986249, BMS-986288, pacmilimab (CX-072) and CX-904 and any of our other product candidates or those of our collaborators. Product liability claims could delay or prevent completion of our development programs. If we succeed in marketing product candidates, such claims could result in an FDA investigation of the safety and effectiveness of our product candidates, our manufacturing processes and facilities (or the manufacturing processes and facilities of our third-party manufacturers)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insurance that we believe is appropriate for our stage of development and may need to obtain higher levels of insurance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17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Our employees and independent contractors may engage in misconduct or other improper activities, including noncompliance with regulatory standards and requirements.</w:t>
      </w:r>
    </w:p>
    <w:p>
      <w:pPr>
        <w:spacing w:after="0" w:line="7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exposed to the risk of fraud or other misconduct by our employees or independent contractors. Misconduct by these parties could include intentional failures to comply with FDA regulations, provide accurate information to the FDA, comply with manufacturing standards we may establish, comply with federal and state data privacy, security, fraud and abuse, and other healthcare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45" w:lineRule="exact"/>
        <w:rPr>
          <w:sz w:val="20"/>
          <w:szCs w:val="20"/>
          <w:color w:val="auto"/>
        </w:rPr>
      </w:pPr>
    </w:p>
    <w:p>
      <w:pPr>
        <w:ind w:right="160"/>
        <w:spacing w:after="0" w:line="381" w:lineRule="auto"/>
        <w:rPr>
          <w:sz w:val="20"/>
          <w:szCs w:val="20"/>
          <w:color w:val="auto"/>
        </w:rPr>
      </w:pPr>
      <w:r>
        <w:rPr>
          <w:rFonts w:ascii="Arial" w:cs="Arial" w:eastAsia="Arial" w:hAnsi="Arial"/>
          <w:sz w:val="15"/>
          <w:szCs w:val="15"/>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w:t>
      </w:r>
    </w:p>
    <w:p>
      <w:pPr>
        <w:spacing w:after="0" w:line="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For example, in March 2020, the COVID-19 pandemic caused us to restrict access to our facility and initiate a work-from-home program limiting onsite activity to a substantially reduced level of laboratory research activities. Although we have gradually increased levels of our laboratory research activities, we continue to operate in a hybrid, work-from-home environment and there can be no assurance that we will be able to continue to increase or maintain current levels of such activity or that the COVID-19 pandemic will not continue to impact our ability to conduct business.</w:t>
      </w:r>
    </w:p>
    <w:p>
      <w:pPr>
        <w:spacing w:after="0" w:line="20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and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U.S.</w:t>
      </w:r>
    </w:p>
    <w:p>
      <w:pPr>
        <w:spacing w:after="0" w:line="13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prepare our financial statements in conformity with accounting principles generally accepted in the U.S. These accounting principles are subject to interpretation by the Financial Accounting Standards Board (“FASB”) and the SEC. A change in these policies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 Additionally, for the purpose of revenue recognition, we are required to estimate the amount of effort to complete, as measured by full-time equivalent hours of our research development programs. Such estimates are inherently uncertain and may result in changes in subsequent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31" w:lineRule="exact"/>
        <w:rPr>
          <w:sz w:val="20"/>
          <w:szCs w:val="20"/>
          <w:color w:val="auto"/>
        </w:rPr>
      </w:pPr>
    </w:p>
    <w:p>
      <w:pPr>
        <w:jc w:val="both"/>
        <w:ind w:right="100"/>
        <w:spacing w:after="0" w:line="287" w:lineRule="auto"/>
        <w:rPr>
          <w:sz w:val="20"/>
          <w:szCs w:val="20"/>
          <w:color w:val="auto"/>
        </w:rPr>
      </w:pPr>
      <w:r>
        <w:rPr>
          <w:rFonts w:ascii="Arial" w:cs="Arial" w:eastAsia="Arial" w:hAnsi="Arial"/>
          <w:sz w:val="16"/>
          <w:szCs w:val="16"/>
          <w:color w:val="auto"/>
        </w:rPr>
        <w:t>Under Sections 382 and 383 of the Internal Revenue Code of 1986, as amended (the “IRC”), if a corporation undergoes an “ownership change” (generally defined as a greater than 50 percentage points change (by value) in the ownership of its equity over a rolling three-year period), the corporation’s ability to use its pre-change net operating loss carryforwards and certain other pre-change tax attributes to offset its post-change income and taxes may be limited.</w:t>
      </w:r>
    </w:p>
    <w:p>
      <w:pPr>
        <w:spacing w:after="0" w:line="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California has similar rules. For example, we performed an IRC Section 382 analysis in 2017 and determined there was an ownership change that resulted in Section 382 limitations. The ownership change limited our ability to utilize net operating losses against taxable income in 2018 for both federal and California tax purposes. The remaining net operating losses and credit will be available in future years before expiration during their respective carryforward periods. We may experience ownership changes in the future as a result of shifts in our stock ownership, some of which are outside our control, and our ability to utilize net operating loss carryforwards could be limited by an “ownership change” as described above, which could result in additional increased tax liability to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3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we are not able to obtain and enforce patent protection for our technologies or product candidates, development and commercialization of our product candidates may be adversely affected.</w:t>
      </w:r>
    </w:p>
    <w:p>
      <w:pPr>
        <w:spacing w:after="0" w:line="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success depends in part on our ability to obtain and maintain patents and other forms of intellectual property rights, including in-licenses of intellectual property rights of others, for our product candidates, methods used to manufacture our product candidates and methods for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4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treating patients using our product candidates, as well as our ability to preserve our trade secrets, to prevent third parties from infringing upon our proprietary rights and to operate without infringing upon the proprietary rights of others. We have a substantial number of issued patents and pending patent applications, some of which are co-owned with a third party, covering our Probody platforms and products as well as methods of use and production thereof; we have exclusively licensed UCSB’s interest in the patent family co-owned with UCSB that covers Probody and other pro-protein technology in the fields of therapeutics,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diagnostics and prophylactics. In addition, we have exclusively licensed a patent portfolio of three patent families from UCSB that includes patents and patent applications that cover compositions and methods related to the screening for and identification of the masks and protease-cleavable linkers that we incorporate into our Probody candidates. We may not be able to apply for patents on certain aspects of our product candidates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 Moreover, the patent position of biotechnology and biopharmaceutical companies can be highly uncertain because it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w:t>
      </w:r>
    </w:p>
    <w:p>
      <w:pPr>
        <w:spacing w:after="0" w:line="19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U.S. Patent and Trademark Office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proprietary products and technology. While we will endeavor to try to protect our product candidates with intellectual property rights such as patents, as appropriate, the process of obtaining patents is time-consuming, expensive and sometimes unpredictable.</w:t>
      </w:r>
    </w:p>
    <w:p>
      <w:pPr>
        <w:spacing w:after="0" w:line="19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 xml:space="preserve">In addition, there are numerous recent changes to the patent laws and proposed changes to the rules of the USPTO that may have a significant impact on our ability to protect our technology and enforce our intellectual property rights. For example, the America Invents Act (“AIA”) enacted within the last several years involves significant changes in patent legislation. The Supreme Court has ruled on several patent cases in recent years, some of which cases either narrow the scope of patent protection available in certain circumstances or weaken the rights of patent owners in certain situations. The recent decision by the Supreme Court in </w:t>
      </w:r>
      <w:r>
        <w:rPr>
          <w:rFonts w:ascii="Arial" w:cs="Arial" w:eastAsia="Arial" w:hAnsi="Arial"/>
          <w:sz w:val="16"/>
          <w:szCs w:val="16"/>
          <w:i w:val="1"/>
          <w:iCs w:val="1"/>
          <w:color w:val="auto"/>
        </w:rPr>
        <w:t>Association for Molecular Pathology v. Myriad Genetics, Inc</w:t>
      </w:r>
      <w:r>
        <w:rPr>
          <w:rFonts w:ascii="Arial" w:cs="Arial" w:eastAsia="Arial" w:hAnsi="Arial"/>
          <w:sz w:val="16"/>
          <w:szCs w:val="16"/>
          <w:color w:val="auto"/>
        </w:rPr>
        <w:t>. precludes a claim to a nucleic acid having a stated nucleotide sequence that is identical to a sequence found in nature and has not been modified. We currently are not aware of an immediate impact of this decision on our patents or patent applications because we are developing product candidates that contain modifications, such as our Probody substrates and masks, that we believe are not found in nature. However, this decision has yet to be clearly interpreted by courts and by the USPTO. We cannot assure you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9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thus attacked, or may lose the allowed or granted claims altogether. In addition, there can be no assurance that:</w:t>
      </w:r>
    </w:p>
    <w:p>
      <w:pPr>
        <w:spacing w:after="0" w:line="80" w:lineRule="exact"/>
        <w:rPr>
          <w:sz w:val="20"/>
          <w:szCs w:val="20"/>
          <w:color w:val="auto"/>
        </w:rPr>
      </w:pPr>
    </w:p>
    <w:p>
      <w:pPr>
        <w:ind w:left="1020" w:right="24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62" w:lineRule="exact"/>
        <w:rPr>
          <w:rFonts w:ascii="Arial" w:cs="Arial" w:eastAsia="Arial" w:hAnsi="Arial"/>
          <w:sz w:val="18"/>
          <w:szCs w:val="18"/>
          <w:color w:val="auto"/>
        </w:rPr>
      </w:pPr>
    </w:p>
    <w:p>
      <w:pPr>
        <w:ind w:left="1020" w:right="60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licensors, or our collaborators are the first to make the inventions covered by each of our issued patents and pending patent applications that we own or license.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licensors, or our collaborators are the first to file patent applications covering certain aspects of our inventions.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353" w:lineRule="exact"/>
        <w:rPr>
          <w:sz w:val="20"/>
          <w:szCs w:val="20"/>
          <w:color w:val="auto"/>
        </w:rPr>
      </w:pPr>
    </w:p>
    <w:p>
      <w:pPr>
        <w:ind w:left="1020" w:right="92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will not independently develop similar or alternative technologies or duplicate any of our technologies without infringing, misappropriating or otherwise violating our intellectual property rights.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third party may not challenge our patents and, if challenged, a court would hold that our patents are valid, enforceable and infringed.</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issued patents that we own or have licensed will provide us with any competitive advantages, or will not be challenged by third parties.</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develop additional proprietary technologies that are patentable.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patents of others will not have a material or adverse effect on our business, financial condition, results of operations and prospects.</w:t>
      </w:r>
    </w:p>
    <w:p>
      <w:pPr>
        <w:spacing w:after="0" w:line="128" w:lineRule="exact"/>
        <w:rPr>
          <w:rFonts w:ascii="Arial" w:cs="Arial" w:eastAsia="Arial" w:hAnsi="Arial"/>
          <w:sz w:val="17"/>
          <w:szCs w:val="17"/>
          <w:color w:val="auto"/>
        </w:rPr>
      </w:pPr>
    </w:p>
    <w:p>
      <w:pPr>
        <w:ind w:left="1020" w:right="20" w:hanging="503"/>
        <w:spacing w:after="0" w:line="308"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14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Probody therapeutics are a relatively new scientific field. We have obtained grants and issuances of Probody therapeutic patents and have licensed one patent family comprising several of these patents from a third party on an exclusive basis for therapeutics applications.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and have licensed a portfolio of patents, patent applications and other intellectual property covering Probody compositions of matter as well as their methods of manufacturing and use.</w:t>
      </w:r>
    </w:p>
    <w:p>
      <w:pPr>
        <w:spacing w:after="0" w:line="219"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w:t>
      </w:r>
    </w:p>
    <w:p>
      <w:pPr>
        <w:spacing w:after="0" w:line="18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21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Probody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3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Obtaining a valid and enforceable issued or granted patent covering our technology in the U.S.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208"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For example, in March 2022, Russia adopted a decree allowing local companies and individuals to use inventions from certain countries designated as “unfriendly”, including the U.S. Further, under current U.S. currency restrictions on payments to entities in Russia, we may be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4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unable in the future to pay for the prosecution of patent applications or the maintenance of existing patents in Russia. As a result of these actions, we may not be able to protect our technology from unlicensed use in Russia.</w:t>
      </w:r>
    </w:p>
    <w:p>
      <w:pPr>
        <w:spacing w:after="0" w:line="19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We generally file a provisional patent application first (a priority filing) at the USPTO. An international application under the Patent Cooperation Treaty (“PCT”) is usually filed within twelve months after the priority filing. Based on the PCT filing, national and regional patent applications may be filed in the United States, Europe, Japan, Australia and Canada and, depending on the individual case, also in any or all of, </w:t>
      </w:r>
      <w:r>
        <w:rPr>
          <w:rFonts w:ascii="Arial" w:cs="Arial" w:eastAsia="Arial" w:hAnsi="Arial"/>
          <w:sz w:val="18"/>
          <w:szCs w:val="18"/>
          <w:i w:val="1"/>
          <w:iCs w:val="1"/>
          <w:color w:val="auto"/>
        </w:rPr>
        <w:t>inter alia</w:t>
      </w:r>
      <w:r>
        <w:rPr>
          <w:rFonts w:ascii="Arial" w:cs="Arial" w:eastAsia="Arial" w:hAnsi="Arial"/>
          <w:sz w:val="18"/>
          <w:szCs w:val="18"/>
          <w:color w:val="auto"/>
        </w:rPr>
        <w:t>, Brazil, China, Hong Kong, India, Indonesia, Israel, Malaysia, Mexico, New Zealand, Russia or Eurasian Patent Organization, Singapore,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spacing w:after="0" w:line="2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laws of some jurisdictions do not protect intellectual property rights to the same extent as the laws in the U.S.,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or our licensors,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spacing w:after="0" w:line="9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or our licensors,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For example, in March 2020, Vytacera Bio, LLC 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The Company believes that the lawsuit is without merit and intends to vigorously defend itself. However, there can be no assurance that a court might not rule against us in these proceedings. Even if we are successful in defending against such claim, this litigation could divert management’s attention, as well as our resources, from our business and any claims paid out of our cash reserves would harm our financial condition and operating results.</w:t>
      </w:r>
    </w:p>
    <w:p>
      <w:pPr>
        <w:spacing w:after="0" w:line="192"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19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If we were to initiate legal proceedings against a third party to enforce a patent covering one of our products or our technology, the defendant could counterclaim that our patent is invalid or unenforceable. In patent litigation in the U.S.,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4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misappropriating or otherwise violating our patents or other intellectual property rights.</w:t>
      </w:r>
    </w:p>
    <w:p>
      <w:pPr>
        <w:spacing w:after="0" w:line="166"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8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Because the antibody landscape is still evolving, including the masked antibody landscape, it is difficult to conclusively assess our freedom to operate without infringing on third-party rights. There are numerous companies that have pending patent applications and issued patents broadly covering antibodies generally or covering antibodies directed against the same targets as, or targets similar to, those we are pursuing. An increasing number of third parties are filing masked antibody patent applications, several of which contain claims that are patterned after our own patent claims. Our competitive position may suffer if patents issued to third parties or other third-party intellectual property rights cover our products or product candidates or elements thereof, or our manufacture or uses relevant to our development plans.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our Probody therapeutic technologies. There also may be pending patent applications of which we are not aware that may result in issued patents, which could be alleged to be infringed by our Probody therapeutic technologies. If such an infringement claim should be brought and be successful, we may be required to pay substantial damages, be forced to abandon our product candidates or seek a license from any patent holders. No assurances can be given that a license will be available on commercially reasonable terms, if at all.</w:t>
      </w:r>
    </w:p>
    <w:p>
      <w:pPr>
        <w:spacing w:after="0" w:line="21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It is also possible that we have failed to identify relevant third-party patents or applications.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4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Litigation, including the ongoing patent infringement lawsuit brought by Vytacera Bio, LLC (“Vytacera”) against us,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205"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jc w:val="center"/>
        <w:ind w:right="-3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4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more mature and developed intellectual property portfolios. Accordingly, despite our efforts, we may not be able to prevent third parties from infringing upon, misappropriating or otherwise violating or from successfully challenging our intellectual property rights. For example, although we believe the Vytacera lawsuit is without merit and we intend to vigorously defend ourselves, we cannot provide any assurance that we will be successful. Uncertainties resulting from the initiation and continuation of patent litigation or other proceedings could have a material and adverse effect on our ability to compete in the marketplace.</w:t>
      </w:r>
    </w:p>
    <w:p>
      <w:pPr>
        <w:spacing w:after="0" w:line="18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under any license, collaboration or other agreements, we may be required to pay damages and could lose our rights to intellectual property rights that are necessary for developing and protecting our product candidates or we could lose certain rights to grant sublicenses.</w:t>
      </w:r>
    </w:p>
    <w:p>
      <w:pPr>
        <w:spacing w:after="0" w:line="89"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Our licenses from Amgen, ImmunoGen and UCSB impose, and any future licenses we enter into are likely to impose, various development, commercialization, funding, diligence, sublicensing, insurance, patent prosecution and enforcement and/or other obligations on us, including various payment obligations such as milestone and royalty payments and payments based on sublicensing revenues. Our rights under our agreements with our licensors or collaborators may be limited or modified according to their terms. Additionally,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and collaborators may own or control intellectual property that has not been licensed to us and, as a result, we may be subject to claims, regardless of their merit, that we are infringing, misappropriating or otherwise violating the licensor’s rights. In addition, while we cannot currently determine the amount of the royalty or sublicense revenue payment obligations we would be required to pay on development or sales of future products, if any, the amounts may be significant. The amount of our future royalty or sublicense revenue payment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16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b w:val="1"/>
          <w:bCs w:val="1"/>
          <w:i w:val="1"/>
          <w:iCs w:val="1"/>
          <w:color w:val="auto"/>
        </w:rPr>
        <w:t>Our intellectual property agreements with our licensors, collaborators and third parties may be subject to disagreements over contract interpretation, which could narrow the scope of, or result in termination of, our rights to the relevant intellectual property or technology or increase our financial or other obligations to such third parties.</w:t>
      </w:r>
    </w:p>
    <w:p>
      <w:pPr>
        <w:spacing w:after="0" w:line="8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Certain provisions in our intellectual property agreements may be susceptible to multiple interpretations. For example, we may disagree with our licensors or collaborators regarding whether, when and to what extent various obligations under these agreements apply to certain of our product candidates and products, including various payment, development, commercialization, funding, diligence, sublicensing, insurance, patent prosecution and enforcement and/or other obligations. The resolution of any contract interpretation disagreement that may arise could affect the scope of our rights to the relevant intellectual property or technology, or affect financial or other obligations under the relevant agreement. In either case, such disagreement could have a material adverse effect on our business, financial condition, results of operations and prospects.</w:t>
      </w:r>
    </w:p>
    <w:p>
      <w:pPr>
        <w:spacing w:after="0" w:line="205" w:lineRule="exact"/>
        <w:rPr>
          <w:sz w:val="20"/>
          <w:szCs w:val="20"/>
          <w:color w:val="auto"/>
        </w:rPr>
      </w:pPr>
    </w:p>
    <w:p>
      <w:pPr>
        <w:ind w:right="120"/>
        <w:spacing w:after="0" w:line="219" w:lineRule="exact"/>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w:t>
      </w:r>
      <w:r>
        <w:rPr>
          <w:rFonts w:ascii="MS PGothic" w:cs="MS PGothic" w:eastAsia="MS PGothic" w:hAnsi="MS PGothic"/>
          <w:sz w:val="18"/>
          <w:szCs w:val="18"/>
          <w:color w:val="auto"/>
        </w:rPr>
        <w:t>‑</w:t>
      </w:r>
      <w:r>
        <w:rPr>
          <w:rFonts w:ascii="Arial" w:cs="Arial" w:eastAsia="Arial" w:hAnsi="Arial"/>
          <w:sz w:val="18"/>
          <w:szCs w:val="18"/>
          <w:color w:val="auto"/>
        </w:rPr>
        <w:t>executing or may be breached, and we may be forced to bring claims against third parties, or defend claims they may bring against us, to determine the ownership of what we regard as our intellectual property.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seeking patent protection for certain aspects of our product candidates, we also consider trade secrets, including confidential and unpatented know-how, important to the maintenance of our competitive position. We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w:t>
      </w:r>
    </w:p>
    <w:p>
      <w:pPr>
        <w:spacing w:after="0" w:line="19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45"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1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3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be unable to obtain or be delayed in obtaining U.S. or foreign regulatory approval and, as a result, be unable or delayed in being able to commercialize our product candidates.</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product candidates that we are currently developing are regulated as therapeutic biologics that are subject to requirements for review and approval of a BLA by the FDA’s Center for Drug Evaluation and Research (“CDER”). Therefore, 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and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 consuming, uncertain and subject to unanticipated delays. For example, recently the FDA launched Project Optimus, an initiative to reform the dose optimization and dose selection paradigm in oncology drug development. While the effort is intended to help drive better ultimate outcomes in the development of oncology drugs, these efforts could also lead to longer and more expensive early development efforts for companies, including us, before we are able to initiate registrational studies for our product candidates. Additionally, at this time it is impossible to predict whether the COVID-19 pandemic will cause regulatory delays in the U.S. or foreign jurisdictions. It is possible that none of the product candidates we may develop will obtain the regulatory approvals necessary for us or our existing or future collaborators to begin selling them.</w:t>
      </w:r>
    </w:p>
    <w:p>
      <w:pPr>
        <w:spacing w:after="0" w:line="20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a company, we have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Further, government shutdowns, such as the partial U.S. federal government shutdown in late 2018 or the United Kingdom’s departure from the European Union may impact our ability to access government agencies in a timely manner or otherwise impact our ability to move our product candidates through the regulatory process. It is impossible to predict whether legislative changes will be enacted, or whether FDA or foreign regulations, guidance or interpretations will be changed, or what the impact of such changes, if any, may be.</w:t>
      </w:r>
    </w:p>
    <w:p>
      <w:pPr>
        <w:spacing w:after="0" w:line="20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Moreover, the FDA may respond to our submissions by defining requirements we may not have anticipated. Such responses could lead to significant delays in the clinical development of our 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and therapeutic biologics, and the FDA’s standards, especially regarding product safety, appear to have become more stringent.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REMS as part of a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22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9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Any regulatory approvals that we or our collaborators obtain for our product candidates may also be subject to limitations on the approved indicated uses for which a product may be marketed or to the conditions of approval, or contain requirements for potentially costly post-marketing testing, including “Phase 4” clinical trials, and surveillance to monitor the safety and efficacy of the product candidate. 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73" w:lineRule="exact"/>
        <w:rPr>
          <w:sz w:val="20"/>
          <w:szCs w:val="20"/>
          <w:color w:val="auto"/>
        </w:rPr>
      </w:pPr>
    </w:p>
    <w:p>
      <w:pPr>
        <w:ind w:left="1020" w:right="12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refusal by the FDA to approve pending applications or supplements to approved applications filed by us or our strategic partners;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suspension or revocation of product approvals;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8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 for which we intend to seek approval as biologic products may face competition sooner than anticipated.</w:t>
      </w:r>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Affordable Care Act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45"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21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7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8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inherently fluid and unpredictable. Disruptions at the FDA and other agencies may also slow the time necessary for therapeutic biologics or modifications to approved therapeutic biologics to be reviewed and/or approved by necessary government agencies, which would adversely affect our business. For example, over the last several years, the U.S. government has shut down several times and certain regulatory agencies, such as the FDA, have had to furlough FDA employees and stop critical activities.</w:t>
      </w:r>
    </w:p>
    <w:p>
      <w:pPr>
        <w:spacing w:after="0" w:line="19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Separately, in response to the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the evolving COVID-19 pandemic, and any resurgence of the virus or emergence of new variants may lead to further inspectional delays.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and adverse effect on our business and results of operations.</w:t>
      </w:r>
    </w:p>
    <w:p>
      <w:pPr>
        <w:spacing w:after="0" w:line="13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and government regulation. In March 2010, the Patient Protection and Affordable Care Act, as amended by the Health Care and Education Reconciliation Act (together, the “ACA”), was passed, which substantially changed the way healthcare is financed by both governmental and private insurers, and significantly impacts the U.S. pharmaceutical industry. The ACA, among other things, subjected therapeutic biologics to potential competition by lower-cost biosimilars, addressed a new methodology by which rebates owed by manufacturers under the Medicaid Drug Rebate Program are calculated for drugs and therapeutic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therapeutic biologics, and created a new Medicare Part D coverage gap discount program, in which manufacturers must agree to offer 50% point-of-sale discounts, which, through subsequent legislative amendments, was increased to 70% starting in 2019, off negotiated prices of applicable brand drugs and therapeutic biologics to eligible beneficiaries during their coverage gap period, as a condition for the manufacturer’s outpatient drugs and therapeutic biologics to be covered under Medicare Part D.</w:t>
      </w:r>
    </w:p>
    <w:p>
      <w:pPr>
        <w:spacing w:after="0" w:line="19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It is unclear how healthcare reform measures enacted by Congress or implemented by the Biden administration, if any, will impact our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to reduce healthcare expenditures. The Budget Control Act of 2011, among other things, included aggregate reductions of Medicare payments to providers. These reductions went into effect on April 1, 2013, and due to subsequent legislative amendments to the statute, will remain in effect through 2032, with the exception of a temporary suspension from May 2, 2020 through March 31, 2022, unless additional 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19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Moreover, payment methodologies, including payment for companion diagnostics, may be subject to changes in healthcare legislation and regulatory initiatives. For example, in March 2018, the Centers for Medicare &amp; Medicaid Services (“CMS”) finalized a national coverage determination extending coverage under the Medicare program for certain diagnostic laboratory tests using next generation sequencing (“NGS”) that are approved by the FDA as a companion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and used in a cancer with an FDA-approved companion diagnostic indication. Under the national coverage determination, diagnostic tests that meet these criteria are covered only in patients with recurrent, metastatic, relapsed, refractory or stages III or IV cancer if the test has an FDA-approved or cleared indication for use in that patient’s cancer and results are provided to the treating physician for management of the patient using a report template to specify treatment options. Although the Medicare program increasingly is used as a model for how private payors and other governmental payors develop their coverage and reimbursement policies, it is difficult to predict at this time what third-party payors will decide with respect to the coverage and reimbursement for any companion diagnostics associated with our product candidates.</w:t>
      </w:r>
    </w:p>
    <w:p>
      <w:pPr>
        <w:spacing w:after="0" w:line="20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addition,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In March 2021, the American Rescue Plan Act of 2021 was signed into law, which eliminates the statutory Medicaid drug rebate cap, currently set at 100% of a drug’s average manufacturer price, beginning January 1, 2024. Most recently, on August 16, 2022, the Inflation Reduction Act of 2022, or IRA, was signed into law by President Biden.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For that and other reasons, it is currently unclear how the IRA will be effectuated. These laws and future laws may negatively impact the ability of biotechnology companies, including us, to raise funds from investors for or to obtain collaboration partners who assist us in the funding of research and development of future medicines.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companion diagnostics or additional pricing pressures.</w:t>
      </w:r>
    </w:p>
    <w:p>
      <w:pPr>
        <w:spacing w:after="0" w:line="188"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b w:val="1"/>
          <w:bCs w:val="1"/>
          <w:i w:val="1"/>
          <w:iCs w:val="1"/>
          <w:color w:val="auto"/>
        </w:rPr>
        <w:t>If we or our collaborators, manufacturers or service providers fail to comply with healthcare laws and regulations, we or they could be subject to enforcement actions, which could affect our ability to develop, market and sell our products and may harm our reputation.</w:t>
      </w:r>
    </w:p>
    <w:p>
      <w:pPr>
        <w:spacing w:after="0" w:line="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Although we do not currently have any products on the market, if and when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45"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spacing w:after="0" w:line="38" w:lineRule="exact"/>
        <w:rPr>
          <w:sz w:val="20"/>
          <w:szCs w:val="20"/>
          <w:color w:val="auto"/>
        </w:rPr>
      </w:pPr>
    </w:p>
    <w:p>
      <w:pPr>
        <w:ind w:left="1020" w:right="20" w:hanging="503"/>
        <w:spacing w:after="0" w:line="25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79" w:lineRule="exact"/>
        <w:rPr>
          <w:rFonts w:ascii="Arial" w:cs="Arial" w:eastAsia="Arial" w:hAnsi="Arial"/>
          <w:sz w:val="18"/>
          <w:szCs w:val="18"/>
          <w:color w:val="auto"/>
        </w:rPr>
      </w:pPr>
    </w:p>
    <w:p>
      <w:pPr>
        <w:ind w:left="1020" w:right="100" w:hanging="503"/>
        <w:spacing w:after="0" w:line="273" w:lineRule="auto"/>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69" w:lineRule="exact"/>
        <w:rPr>
          <w:rFonts w:ascii="Arial" w:cs="Arial" w:eastAsia="Arial" w:hAnsi="Arial"/>
          <w:sz w:val="17"/>
          <w:szCs w:val="17"/>
          <w:color w:val="auto"/>
        </w:rPr>
      </w:pPr>
    </w:p>
    <w:p>
      <w:pPr>
        <w:ind w:left="1020" w:hanging="503"/>
        <w:spacing w:after="0" w:line="275" w:lineRule="auto"/>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68" w:lineRule="exact"/>
        <w:rPr>
          <w:rFonts w:ascii="Arial" w:cs="Arial" w:eastAsia="Arial" w:hAnsi="Arial"/>
          <w:sz w:val="17"/>
          <w:szCs w:val="17"/>
          <w:color w:val="auto"/>
        </w:rPr>
      </w:pPr>
    </w:p>
    <w:p>
      <w:pPr>
        <w:ind w:left="1020" w:right="300" w:hanging="503"/>
        <w:spacing w:after="0" w:line="272" w:lineRule="auto"/>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certain non-physician practitioners (physician assistants, nurse practitioners, clinical nurse specialists, anesthesiologist assistants, certified registered nurse anesthetists and certified nurse midwives) and teaching hospitals, as well as ownership and investment interests held by the physicians described above and their immediate family members; and</w:t>
      </w:r>
    </w:p>
    <w:p>
      <w:pPr>
        <w:spacing w:after="0" w:line="69" w:lineRule="exact"/>
        <w:rPr>
          <w:rFonts w:ascii="Arial" w:cs="Arial" w:eastAsia="Arial" w:hAnsi="Arial"/>
          <w:sz w:val="17"/>
          <w:szCs w:val="17"/>
          <w:color w:val="auto"/>
        </w:rPr>
      </w:pPr>
    </w:p>
    <w:p>
      <w:pPr>
        <w:ind w:left="1020" w:right="20" w:hanging="503"/>
        <w:spacing w:after="0" w:line="296" w:lineRule="auto"/>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state laws that require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pricing information.</w:t>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penalties, including civil or criminal penalties, monetary damages, the curtailment or restructuring of our operations, loss of eligibility to obtain approvals from the FDA, or exclusion from participation in government contracting, healthcare reimbursement or other government programs, including Medicare and Medicaid, any of which could adversely our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21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If we or future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76"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regulatory inspection findings;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voluntary or mandatory product recalls or public notification or medical product safety alerts to healthcare professionals;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353"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or prohibitions against, marketing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or prohibitions against, importation or exportation of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suspension of review or refusal to approve pending applications or supplements to approved applications;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exclusion from participation in government-funded healthcare programs;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exclusion from eligibility for the award of government contracts for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suspension or withdrawal of product approvals;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seizures or administrative detention of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civil and criminal penalties and fines.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76"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If we rely on third-party manufacturers, we will not have control over compliance with applicable rules and regulations by such manufacturers. Any product promotion and advertising will also be subject to regulatory requirements and continuing regulatory review. If we or our collaborators, manufacturers or service providers fail to comply with applicable continuing regulatory requirements in the U.S. or foreign jurisdictions in which we seek to market our products, we or they may be subject to, among other things, fines, warning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w:t>
      </w:r>
    </w:p>
    <w:p>
      <w:pPr>
        <w:spacing w:after="0" w:line="1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7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regulatory environment surrounding data privacy and security is increasingly demanding. We are or may in the future be subject to numerous U.S. federal and state laws and non-U.S. regulations governing the collection, use, disclosure, retention, and security of personal and confidential information of our clinical subjects, clinical investigators, employees and vendors/business contacts.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19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United States,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(“CCPA”) went into effect on January 1, 2020. The CCPA creates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4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individual privacy rights for California consumers, including the expanded right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has increased the likelihood of, and risks associated with data breach litigation. Further, the California Privacy Rights Act (“CPRA”) generally went into effect on January 1, 2023 and significantly amends the CCPA. The CPRA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also be required. Similar laws have passed in Virginia, Utah, Connecticut and Colorado,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20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operations abroad may also be subject to increased scrutiny or attention from data protection authorities. For example, the GDPR went into effect in May 2018, and imposes stringent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4% total worldwide annual turnover or €20 million, whichever is higher. Among other requirements, the GDPR regulates transfers of personal data subject to the GDPR to third countries that have not been found to provide adequate protection to such personal data, including the United States; in July 2020, the Court of Justice of the European Union (“CJEU”) limited how organizations could lawfully transfer personal data from the EU/EEA to the United States by invalidating the EU-US Privacy Shield Framework for purposes of international transfers and imposing further restrictions on the use of standard contractual clauses (“SCCs”).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European court and regulatory decisions subsequent to the CJEU decision of July 16, 2020 have taken a restrictive approach to international data transfers. As supervisory authorities issue further guidance on personal data export mechanisms, including circumstances where the standard contractual clauses cannot be used, 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products and services, the geographical location or segregation of our relevant systems and operations, and could adversely affect our financial results.</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Further, from January 1, 2021, we have had to comply with the GDPR and also the UK GDPR, which, together with the amended UK Data Protection Act 2018, retains the GDPR in UK national law. The UK GDPR mirrors the fines under the GDPR, i.e., fines up to the greater of €20 million (£17.5 million) or 4% of global turnover. As we continue to expand into other foreign countries and jurisdictions, we may be subject to additional laws and regulations that may affect how we conduct business.</w:t>
      </w:r>
    </w:p>
    <w:p>
      <w:pPr>
        <w:spacing w:after="0" w:line="21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significant fines, penalties and damage to our reputation, and we may be forced to change the way we operate. This could result in additional cost and liability to us, which could negatively affect our business, results of operation, and financial condition.</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7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4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Our ability to commercialize any products successfully also will depend in part on the extent to which coverage and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 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not be 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U.S. Third-party payors often rely upon Medicare coverage policy and payment limitations in setting their own reimbursement rates. Our inability to promptly obtain coverage and adequate reimbursement rates from both government-funded and private payors for new drugs or therapeutic biologics that we develop and for which we obtain regulatory approval could have a material and adverse effect on our operating results, our ability to raise capital needed to commercialize products and our financial condition.</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may seek and fail to obtain fast track or breakthrough therapy designations for our current or future product candidates. If we are successful, these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9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a product is intended for the treatment of a serious or life-threatening condition and preclinical or clinical data demonstrate the potential to address an unmet medical need for this condition, the product sponsor may apply for fast track designation. Fast track designation provides increased opportunities for sponsor meetings with the FDA during preclinical and clinical development, in addition to the potential for rolling review of a BLA, if the sponsor provides a schedule for the submission of the sections of the BLA, the FDA agrees to accept sections of the BLA and determines that the schedule is acceptable, and the sponsor pays any required user fees upon submission of the first section of the BLA.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22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20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Product candidates may also be eligible for accelerated approval if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4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morbidity or mortality or other clinical benefit. As a condition of accelerated approval, the FDA will generally require the sponsor to perform adequate and well-controlled confirmatory clinical studies to verify and describe the anticipated effect on irreversible morbidity or mortality or other clinical benefit. Products receiving accelerated approval may be subject to expedited withdrawal procedures if the sponsor fails to conduct the required confirmatory studies in a timely manner or if such studies fail to verify the predicted clinical benefit. In addition, the FDA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product may fail required confirmatory clinical trials, and we may be required to remove the product from the market or amend the product label in a way that adversely impacts its marketing.</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it is a drug or therapeutic biologic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or therapeutic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or condition for which it has such designation, the product is entitled to orphan drug exclusivity, which means that the FDA may not approve any other applications, including a full BLA, to market the same product for the same disease or condition or seven years, except in limited circumstances, such as a showing of clinical superiority to the product with orphan drug exclusivity or where the manufacturer is unable to assure sufficient product quantity.</w:t>
      </w:r>
    </w:p>
    <w:p>
      <w:pPr>
        <w:spacing w:after="0" w:line="20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Even if we obtain Orphan Drug Designation for our product candidates in specific indications, we may not be the first to obtain marketing approval of these product candidates for the orphan-designated disease or condition due to the uncertainties associated with developing pharmaceutical products. In addition, exclusive marketing rights in the United States may be limited if we seek approval for an disease or condition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biologics can be approved for the same disease or condition. Even after an orphan product is approved, the FDA can subsequently approve the same drug or therapeutic biologic for the same disease or condition if the FDA concludes that the 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never receive such designations.</w:t>
      </w:r>
    </w:p>
    <w:p>
      <w:pPr>
        <w:spacing w:after="0" w:line="20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Tax reform legislation passed in 2017 reduced the amount of the qualified clinical research costs for a designated orphan product that a sponsor may claim as a credit from 50% to 25%. Thus, further limiting the advantage and may impact our future business strategy of seeking the Orphan Drug Designation.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3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7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2" w:lineRule="exact"/>
        <w:rPr>
          <w:sz w:val="20"/>
          <w:szCs w:val="20"/>
          <w:color w:val="auto"/>
        </w:rPr>
      </w:pPr>
    </w:p>
    <w:p>
      <w:pPr>
        <w:ind w:left="1020" w:right="8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variations in the level of expense related to the ongoing development of our Probody platform, our product candidates or future development programs;</w:t>
      </w:r>
    </w:p>
    <w:p>
      <w:pPr>
        <w:spacing w:after="0" w:line="62" w:lineRule="exact"/>
        <w:rPr>
          <w:rFonts w:ascii="Arial" w:cs="Arial" w:eastAsia="Arial" w:hAnsi="Arial"/>
          <w:sz w:val="18"/>
          <w:szCs w:val="18"/>
          <w:color w:val="auto"/>
        </w:rPr>
      </w:pPr>
    </w:p>
    <w:p>
      <w:pPr>
        <w:ind w:left="1020" w:right="66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results of clinical trials, or the addition or termination of clinical trials or funding support by us, or existing or future collaborators or licensing partners;</w:t>
      </w:r>
    </w:p>
    <w:p>
      <w:pPr>
        <w:spacing w:after="0" w:line="62"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353" w:lineRule="exact"/>
        <w:rPr>
          <w:sz w:val="20"/>
          <w:szCs w:val="20"/>
          <w:color w:val="auto"/>
        </w:rPr>
      </w:pPr>
    </w:p>
    <w:p>
      <w:pPr>
        <w:ind w:left="1020" w:right="18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rFonts w:ascii="Arial" w:cs="Arial" w:eastAsia="Arial" w:hAnsi="Arial"/>
          <w:sz w:val="18"/>
          <w:szCs w:val="18"/>
          <w:color w:val="auto"/>
        </w:rPr>
      </w:pPr>
    </w:p>
    <w:p>
      <w:pPr>
        <w:ind w:left="1020" w:right="42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intellectual property infringement lawsuit or opposition, interference or cancellation proceeding in which we may become involved, including the ongoing patent infringement lawsuit brought by Vytacera against us;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25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4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If we are not able to comply with the requirements of Section 404 of the Sarbanes-Oxley Act of 2002 in a timely manner or with adequate compliance, we may be subject to a loss of stockholder confidence and sanctions or investigations by regulatory authorities or litigation.</w:t>
      </w:r>
    </w:p>
    <w:p>
      <w:pPr>
        <w:spacing w:after="0" w:line="5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Section 404 of the Sarbanes-Oxley Act of 2002 requires that we evaluate and determine the effectiveness of our internal controls over financial reporting and provide a management report on the internal control over financial reporting.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operating results. In addition, we are required, pursuant to Section 404, to furnish a report by our management on, among other things, the effectiveness of our internal control over financial reporting in our Annual Report on Form 10-K. Internal control over financial reporting is a process designed to provide reasonable assurance regarding the reliability of financial reporting and the preparation of financial statements in accordance with generally acceptable accounting principles in the United States (“GAAP”). This assessment includes disclosure of any material weaknesses identified by management in its internal control over financial reporting. The rules governing the standards that must be met for management to assess its internal control over financial reporting are complex and require significant documentation, testing, and possible remediation. Testing and maintaining internal controls may divert management’s attention from other matters that are important to our business. If we are no longer a “smaller reporting company,” our auditors will be required to issue an attestation report on the effectiveness of our internal controls on an annual basis.</w:t>
      </w:r>
    </w:p>
    <w:p>
      <w:pPr>
        <w:spacing w:after="0" w:line="21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connection with the implementation of the necessary practices and procedures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its attestation report. Our testing, or the subsequent testing (if required) by our independent registered public accounting firm, may reveal deficiencies in our internal control over financial reporting that are deemed to be material weaknesses. A material weakness is a deficiency, or combination of deficiencies, in internal control over financial reporting, such that there is a reasonable possibility that a material misstatement of the entity’s financial statements will not be prevented or detected on a timely basis. Any material weaknesses could result in a material misstatement of our annual or quarterly consolidated financial statements or disclosures that may not be prevented or detected. The existence of any material weakness would require management to devote significant time and incur significant expense to remediate any such material weakness, and management may not be able to remediate any such material weakness in a timely manner.</w:t>
      </w:r>
    </w:p>
    <w:p>
      <w:pPr>
        <w:spacing w:after="0" w:line="19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If we fail to implement the requirements of Section 404 in the required timeframe, we may be subject to sanctions or investigations by regulatory authorities, including the Securities and Exchange Commission (“SEC”) and The Nasdaq Global Select Market. Furthermore, if we are unable to conclude that our internal control over financial reporting is effective, we could lose investor confidence in the accuracy and completeness of our financial reports, the market price of our securities could decline, and we could be subject to sanctions or investigations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4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by regulatory authorities or litigation. Failure to implement or maintain effective internal control over financial reporting and disclosure controls and procedures required of public companies could also restrict our future access to the capital markets.</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preparing our financial statements for the year ending December 31, 2022, we determined that a material weakness existed in our internal control over financial reporting due to ineffective controls for evaluation and review of the accounting for revenue recognition. We initiated plans to remediate the material weakness and determined that as of June 30, 2023, the material weakness had been remediated. There can be no assurance that we will not identify additional material weaknesses in the future.</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future periods, if our management is unable to conclude that we have effective internal control over financial reporting, or to certify the effectiveness of such controls, or if additional material weaknesses in our internal control over financial reporting are identified, our ability to record, process, and report financial information accurately, and to prepare financial statements within the time periods specified by the rules and forms of the SEC, could be adversely affected which, in turn, may adversely affect our business and the market price of our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purchasers of our common stock could incur substantial losses.</w:t>
      </w:r>
    </w:p>
    <w:p>
      <w:pPr>
        <w:spacing w:after="0" w:line="13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stock price is volatile. Since our initial public offering (“IPO”), our stock had low and high sales prices in the range of $1.17 and $35.00 per share. The market price for our common stock may be influenced by many factors, including the other risks described in this section titled “Risk Factors” and the following:</w:t>
      </w:r>
    </w:p>
    <w:p>
      <w:pPr>
        <w:spacing w:after="0" w:line="76"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results of clinical trials and preclinical studies of our product candidates, or those of our competitors or our collaborators;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regulatory or legal developments in the U.S. and other countries, especially changes in laws or regulations applicable to our products;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actions taken by regulatory agencies with respect to our products, clinical studies, manufacturing process or sales and marketing terms;</w:t>
      </w:r>
    </w:p>
    <w:p>
      <w:pPr>
        <w:spacing w:after="0" w:line="128" w:lineRule="exact"/>
        <w:rPr>
          <w:rFonts w:ascii="Arial" w:cs="Arial" w:eastAsia="Arial" w:hAnsi="Arial"/>
          <w:sz w:val="17"/>
          <w:szCs w:val="17"/>
          <w:color w:val="auto"/>
        </w:rPr>
      </w:pPr>
    </w:p>
    <w:p>
      <w:pPr>
        <w:ind w:left="1020" w:right="220" w:hanging="503"/>
        <w:spacing w:after="0" w:line="263"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extent to which the COVID-19 pandemic and related governmental regulations and restrictions may impact our business, including our research, clinical trials, manufacturing and financial condition, as well as the impact of other pandemics, natural disasters and other calamities;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117"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concerning any existing or future collaborations, including but not limited to those with our sources of manufacturing supply and our commercialization partners;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28" w:lineRule="exact"/>
        <w:rPr>
          <w:rFonts w:ascii="Arial" w:cs="Arial" w:eastAsia="Arial" w:hAnsi="Arial"/>
          <w:sz w:val="17"/>
          <w:szCs w:val="17"/>
          <w:color w:val="auto"/>
        </w:rPr>
      </w:pPr>
    </w:p>
    <w:p>
      <w:pPr>
        <w:ind w:left="1020" w:right="18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center"/>
        <w:ind w:right="-5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353" w:lineRule="exact"/>
        <w:rPr>
          <w:sz w:val="20"/>
          <w:szCs w:val="20"/>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natural disasters and other calamities;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52"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The stock markets in general, and the markets for pharmaceutical, biopharmaceutical and biotechnology stocks in particular, have experienced extreme volatility, including as a result of the COVID-19 pandemic, that has been often unrelated to the operating performance of the issuer. These broad market and industry factors may seriously harm the market price of our common stock, regardless of our operating performance.</w:t>
      </w:r>
    </w:p>
    <w:p>
      <w:pPr>
        <w:spacing w:after="0" w:line="1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addition, the spread of COVID-19 may negatively impact the trading price of shares of our common stock and could further severely impact our ability to raise additional capital on a timely basis or at all.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future issuance of equity or of debt securities that are convertible into equity will dilute our share capital.</w:t>
      </w:r>
    </w:p>
    <w:p>
      <w:pPr>
        <w:spacing w:after="0" w:line="13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On February 27, 2020, we entered into an Open Market Sale Agreement (the “Sales Agreement”) with Jefferies LLC (“Jefferies”), to sell shares of our common stock, par value $0.00001 per share, with aggregate gross sales proceeds of up to $75,000,000, from time to time, through an at the market offering under which Jefferies will act as sales agent. We have issued securities under the Sales Agreement and may do so in the future. In addition, in January and February 2021, we sold 16,428,571 shares of our common stock at $7.00 per share in an underwritten public offering. In July 2023, we sold pre-funded warrants to purchase up to 14,423,077 shares of common stock and accompanying Tranche Warrants to purchase up to 11,538,462 shares of our common stock. Future issuances of our common stock or other equity securities pursuant to the Sales Agreement or otherwise, or the perception that such sales may occur, could adversely affect the trading price of our common stock and impair our ability to raise capital through future offerings of shares or equity securities. Additionally, future sales of our common stock at prices below the exercise price of the Tranche Warrants may lower the exercise price of the Tranche Warrants. No prediction can be made as to the effect, if any, that future sales of common stock or the availability of common stock for future sales will have on the trading price of our common stock.</w:t>
      </w:r>
    </w:p>
    <w:p>
      <w:pPr>
        <w:spacing w:after="0" w:line="17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The employment agreements with our executive officers may require us to pay severance benefits to officers in connection with termination of employment or upon a change of control of us, which could harm our financial condition.</w:t>
      </w:r>
    </w:p>
    <w:p>
      <w:pPr>
        <w:spacing w:after="0" w:line="7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Each of our executive officers is entitled to receive a lump sum payment equal to one year or more of his or her base salary as well as continued medical and dental coverage for a period of one year or more plus a prorated portion of his or her target annual bonus for the calendar year in which his or her employment is terminated following his or her termination of employment due to good reason or without cause. In the event of a change in control and a termination of employment without cause or due to good reason, each of our executive officers would similarly receive one year or more of his or her base salary as well as continued medical and dental coverage for a period of one year or more, as well as an additional lump sum payment equal to 100% or more of his or her target annual bonus for the calendar year in which his or her employment is terminated and full vesting of his or her outstanding option awards. The accelerated vesting of options could result in dilution to our existing stockholders and harm the market price of our common stock. Furthermore, the payment of these severance benefits could harm our financial condition. In addition, these potential severance payments may discourage or prevent third parties from seeking a business combination with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market for our common stock may not be maintained.</w:t>
      </w:r>
    </w:p>
    <w:p>
      <w:pPr>
        <w:spacing w:after="0" w:line="13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Prior to our IPO in October 2015, there had been no public market for shares of our common stock. Our stock began trading on the Nasdaq Global Select Market in 2015, and we can provide no assurance that we will be able to maintain an active trading market on The Nasdaq Global Select Market or any other exchange in the future. If an active market for our common stock is not maintained, it may be difficult to</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4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June 30, 2023, our executive officers, directors, holders of 5% or more of our capital stock based on publicly available filings made with the SEC and their respective affiliates beneficially owned approximately 23% of our outstanding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spacing w:after="0" w:line="192"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Provisions in our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80" w:lineRule="exact"/>
        <w:rPr>
          <w:sz w:val="20"/>
          <w:szCs w:val="20"/>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prohibition on actions by our stockholders by written consent;</w:t>
      </w:r>
    </w:p>
    <w:p>
      <w:pPr>
        <w:spacing w:after="0" w:line="117" w:lineRule="exact"/>
        <w:rPr>
          <w:rFonts w:ascii="Arial" w:cs="Arial" w:eastAsia="Arial" w:hAnsi="Arial"/>
          <w:sz w:val="18"/>
          <w:szCs w:val="18"/>
          <w:color w:val="auto"/>
        </w:rPr>
      </w:pPr>
    </w:p>
    <w:p>
      <w:pPr>
        <w:ind w:left="1020" w:right="60" w:hanging="503"/>
        <w:spacing w:after="0" w:line="25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which our company is not obligated to call more than once per calendar year, be called only by the chairman of our board of directors, our chief executive officer, our board of directors pursuant to a resolution adopted by a majority of the total number of authorized directors, or, subject to certain conditions, by our secretary at the request of the stockholders holding of record, in the aggregate, shares entitled to cast not less than ten percent of the votes at a meeting of the stockholders (assuming all shares entitled to vote at such meeting were present and voted);</w:t>
      </w:r>
    </w:p>
    <w:p>
      <w:pPr>
        <w:spacing w:after="0" w:line="79"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advance notice requirements for election to our board of directors and for proposing matters that can be acted upon at stockholder meetings;</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division of our board of directors into three classes, serving staggered terms of three years each;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with such terms as the board of directors may determine.</w:t>
      </w:r>
    </w:p>
    <w:p>
      <w:pPr>
        <w:spacing w:after="0" w:line="25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as amended,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 These provisions would apply even if the proposed merger or acquisition could be considered beneficial by some stockholders.</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new compliance initiatives and corporate governance practices.</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 public company, we incur significant legal, accounting and other expenses.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and make some activities more time 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4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costs from class action litigation due to our expected stock volatility.</w:t>
      </w:r>
    </w:p>
    <w:p>
      <w:pPr>
        <w:spacing w:after="0" w:line="13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stock price may fluctuate for many reasons, including as a result of public announcements regarding the progress of our development efforts or the development efforts of future collaborators or competitors, the addition or departure of our key personnel, variations in our quarterly operating results and changes in market valuations of biopharmaceutical and biotechnology companies.</w:t>
      </w:r>
    </w:p>
    <w:p>
      <w:pPr>
        <w:spacing w:after="0" w:line="21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the company that issued the stock. For example, in May 2020, a putative securities class action lawsuit was brought against us (“Class Action Lawsuit”). While the Class Action Lawsuit was voluntarily dismissed without prejudice by the plaintiff and his attorneys in January 2021, a similar lawsuit or another lawsuit could be filed in the future. Stockholder lawsuits of this type against us, even if it is without merit, could cause us to incur substantial costs defending the lawsuit. The lawsuit could also divert the time and attention of our management.</w:t>
      </w:r>
    </w:p>
    <w:p>
      <w:pPr>
        <w:spacing w:after="0" w:line="16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Our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8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amended and restated bylaws provide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as amended, our amended and restated certificate of incorporation or our amended and restated bylaws, any action to interpret, apply, enforce or determine the validity of our amended and restated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3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COVID-19 pandemic or any future pandemic could adversely impact our business, including our research, clinical trials, including clinical trial site initiation and patient enrollment, and financial condition.</w:t>
      </w:r>
    </w:p>
    <w:p>
      <w:pPr>
        <w:spacing w:after="0" w:line="7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December 2019, a novel strain of coronavirus, COVID-19, was reported to have surfaced in Wuhan, China. Since then, COVID-19 has spread to multiple countries, including the United States and European and Asia-Pacific countries, including countries in which we have planned or active clinical trial sites. As COVID-19 and its variants continue to spread around the globe, we will likely continue to experience disruptions that could severely impact our business, research, including research for our partners or research of our partners, and clinical trials, including ongoing or planned clinical trials for CX-2029, CX-904, praluzatamab ravtansine, and clinical trials of our partners, including Bristol Myers Squibb. These disruptions and impacts may include:</w:t>
      </w:r>
    </w:p>
    <w:p>
      <w:pPr>
        <w:spacing w:after="0" w:line="53"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 or the clinical trials of our partners;</w:t>
      </w:r>
    </w:p>
    <w:p>
      <w:pPr>
        <w:spacing w:after="0" w:line="117"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for CX-2029, CX-904 or any other clinical trials we or our partners decide to initiate, including difficulties in recruiting clinical site investigators and clinical site staff;</w:t>
      </w:r>
    </w:p>
    <w:p>
      <w:pPr>
        <w:spacing w:after="0" w:line="62"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or our partners’ clinical trial sites and hospital staff supporting the conduct of our or our partners’ clinical trials;</w:t>
      </w:r>
    </w:p>
    <w:p>
      <w:pPr>
        <w:spacing w:after="0" w:line="62"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difficulty in interpreting clinical data due to patients being infected by COVID-19;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center"/>
        <w:ind w:right="-3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353" w:lineRule="exact"/>
        <w:rPr>
          <w:sz w:val="20"/>
          <w:szCs w:val="20"/>
          <w:color w:val="auto"/>
        </w:rPr>
      </w:pPr>
    </w:p>
    <w:p>
      <w:pPr>
        <w:ind w:left="1020" w:right="240" w:hanging="503"/>
        <w:spacing w:after="0" w:line="342" w:lineRule="auto"/>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limitations in employee resources that would otherwise be focused on the conduct of our clinical trials or the clinical trials of our partners, including because of sickness of employees or their families or the desire of employees to avoid contact with large groups of people;</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or our partners’ planned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or our partners’ clinical trials;</w:t>
      </w:r>
    </w:p>
    <w:p>
      <w:pPr>
        <w:spacing w:after="0" w:line="117" w:lineRule="exact"/>
        <w:rPr>
          <w:rFonts w:ascii="Arial" w:cs="Arial" w:eastAsia="Arial" w:hAnsi="Arial"/>
          <w:sz w:val="18"/>
          <w:szCs w:val="18"/>
          <w:color w:val="auto"/>
        </w:rPr>
      </w:pPr>
    </w:p>
    <w:p>
      <w:pPr>
        <w:ind w:left="1020" w:right="660" w:hanging="503"/>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interruption in manufacturing or global shipping that may affect the timely delivery or transport of research materials or clinical trial materials, such as investigational drug product used in our or our partners’ clinical trials;</w:t>
      </w:r>
    </w:p>
    <w:p>
      <w:pPr>
        <w:spacing w:after="0" w:line="62" w:lineRule="exact"/>
        <w:rPr>
          <w:rFonts w:ascii="Arial" w:cs="Arial" w:eastAsia="Arial" w:hAnsi="Arial"/>
          <w:sz w:val="18"/>
          <w:szCs w:val="18"/>
          <w:color w:val="auto"/>
        </w:rPr>
      </w:pPr>
    </w:p>
    <w:p>
      <w:pPr>
        <w:ind w:left="1020" w:right="400" w:hanging="503"/>
        <w:spacing w:after="0" w:line="263"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outbreak which may require us or our partners to change the ways in which clinical trials are conducted, which may result in unexpected costs, or cause us or our partners to discontinue the clinical trials altogether;</w:t>
      </w:r>
    </w:p>
    <w:p>
      <w:pPr>
        <w:spacing w:after="0" w:line="75"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the United States.</w:t>
      </w:r>
    </w:p>
    <w:p>
      <w:pPr>
        <w:spacing w:after="0" w:line="252"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We cannot be certain of the continuing impact of the COVID-19 pandemic, including COVID-19 variants on clinical trial planning, or that site initiation, patient recruitment or other clinical trial activities for any of our product candidates will not continue to be delayed, discontinued or otherwise impacted.</w:t>
      </w:r>
    </w:p>
    <w:p>
      <w:pPr>
        <w:spacing w:after="0" w:line="15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Furthermore, the COVID-19 pandemic and government limitations on activities may continue to impact our ability to conduct research, including limiting our ability to obtain research materials and equipment, limiting access to our laboratories to conduct research, limiting the ability or willingness of employees to work at our facilities and limiting our ability to complete research and experiments in a timely basis or at all. In March 2020 we initiated a mandatory work-from-home program, limiting onsite activity to a substantially reduced level of laboratory research activities. Although we have gradually increased levels of such laboratory research activities to a satisfactory level, we continue to operate in a hybrid, work-from-home environment and there can be no assurance that we will be able to maintain current levels of such activity. Furthermore, China from time to time, including in March 2022, has implemented additional regional lockdowns which may continue to impact our ability to obtain some research and clinical trial materials on a timely basis. The COVID-19 pandemic and government limitations could further impact our ability to conduct business generally, including making timely payments, filing timely governmental and other business reports and filings, and otherwise comply with our obligations.</w:t>
      </w:r>
    </w:p>
    <w:p>
      <w:pPr>
        <w:spacing w:after="0" w:line="19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Any of the potential business, research and clinical impacts arising as a result of the COVID-19 pandemic could cause us to default on our obligations to our collaborative partners, including our specific research and development obligations, potentially resulting in termination of one or more collaborations, and could materially and adversely affect our business, financial condition, results of operation and prospects.</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the spread of COVID-19 may negatively impact the trading price of shares of our common stock and could further severely impact our ability to raise additional capital on a timely basis or at all.</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global outbreak of COVID-19 continues to rapidly evolve, including with the discovery of new variants/mutations of the virus. The extent to which the COVID-19 pandemic continues to impact our business, including our clinical trials, research and financial condition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U.S. and multi-national financial market conditions may adversely affect our business and financial position.</w:t>
      </w:r>
    </w:p>
    <w:p>
      <w:pPr>
        <w:spacing w:after="0" w:line="13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 maintains the majority of its cash and cash equivalents in accounts with major U.S. and multi-national financial institutions, and our deposits at certain of these institutions may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acquire assets or form strategic alliances in the future, and we may not realize the benefits of such acquisitions</w:t>
      </w:r>
      <w:r>
        <w:rPr>
          <w:rFonts w:ascii="Arial" w:cs="Arial" w:eastAsia="Arial" w:hAnsi="Arial"/>
          <w:sz w:val="18"/>
          <w:szCs w:val="18"/>
          <w:color w:val="auto"/>
        </w:rPr>
        <w:t>.</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4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we continue to mature our Probody platform and our clinical stage pipeline, we may seek to acquire and/or in-license other oncology products, product candidates, programs or companies that we consider complimentary to our efforts. Such efforts may never result in a transaction and any future growth through acquisition or in-licensing will depend upon the availability of suitable products, product candidates,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programs and companies is fierce, and many of our competitors are large, multinational pharmaceutical and biotechnology companies with considerably more financial, development and commercialization resources, personnel, and experience than we have. In order to compete successfully in the current business climate, we may have to pay higher prices for assets than may have been paid historically, which may make it more difficult for us to realize an adequate return on any acquisition. In addition, even if we succeed in identifying promising products, product candidates, programs or companies, we may not have the ability to develop, obtain regulatory approval for and commercialize such opportunities, or the financial resources necessary to pursue them.</w:t>
      </w:r>
    </w:p>
    <w:p>
      <w:pPr>
        <w:spacing w:after="0" w:line="19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Even if we are able to successfully identify and acquire or in-license new products, product candidates, programs or companies, we may not be able to successfully manage the risks associated with integrating any products, product candidates,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Any failure in identifying and managing these risks and uncertainties effectively would have a material adverse effect on our business.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program or company gives rise to unforeseen difficulties and expenditures. Any failure in identifying and managing these risks and uncertainties would have a material adverse effect on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In addition, acquisitions create other uncertainties and risks, particularly when the acquisition takes the form of a merger or other business consolidation.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may encounter unexpected difficulties, or incur unexpected costs, in connection with transition activities and integration efforts, which include:</w:t>
      </w:r>
    </w:p>
    <w:p>
      <w:pPr>
        <w:spacing w:after="0" w:line="114" w:lineRule="exact"/>
        <w:rPr>
          <w:sz w:val="20"/>
          <w:szCs w:val="20"/>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high acquisition costs;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need to incur substantial debt or engage in dilutive issuances of equity securities to pay for acquisitions;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potential disruption of our historical business and our activities under our collaboration agreements;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strain on, and need to expand, our existing operational, technical, financial and administrative infrastructure;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lack of experience in late-stage product development and commercialization;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difficulties in assimilating employees and corporate cultures;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difficulties in hiring qualified personnel and establishing necessary development and/or commercialization capabilities;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failure to retain key management and other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challenges in controlling additional costs and expenses in connection with and as a result of the acquisition;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need to write down assets or recognize impairment charges;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diversion of our management’s attention to integration of operations and corporate and administrative infrastructures;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unanticipated liabilities for activities of or related to the acquired business or its operations, products or product candidates.</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we fail to integrate or otherwise manage an acquired business successfully and in a timely manner, resulting operating inefficiencies could increase our costs more than we planned, could negatively impact the market price of our common stock and could otherwise distract us from execution of our strategy. Failure to maintain effective financial controls and reporting systems and procedures could also impact our ability to produce timely and accurate financial statements.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76"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regulatory authority in that foreign market, and we may never receive such regulatory approval for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4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the reduced protection of intellectual property rights in some foreign countries. We may need to rely on third parties to market, distribute and sell our products in foreign markets.</w:t>
      </w:r>
    </w:p>
    <w:p>
      <w:pPr>
        <w:spacing w:after="0" w:line="16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information technology systems, or those of our CROs or other contractors or consultants we may utilize, may fail, suffer disruptions or suffer security breaches, which could result in a material disruption of our product development programs.</w:t>
      </w:r>
    </w:p>
    <w:p>
      <w:pPr>
        <w:spacing w:after="0" w:line="7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We are increasingly dependent on information technology systems and infrastructure, including mobile technologies, to operate our business. In the ordinary course of our business, we collect and store confidential and sensitive electronic information on our networks and in our data centers. This information includes, among other things, our intellectual property and proprietary information, the confidential information of our collaborators and licensees, and the personally identifiable information of our employees. It is important to our operations and business strategy that this electronic information remains secure and is perceived to be secure. Our information technology and other internal infrastructure systems and those of our CROs and contractors and consultants are vulnerable to damage and interruption from computer viruses, unauthorized access, natural disasters, terrorism, war, telecommunication and electrical failures, hacking, cyberattacks, phishing attacks and other social engineering schemes, malicious code, employee theft or misuse, human error, fraud, denial or degradation of service attacks, sophisticated nation-state and nation-state-supported actors or unauthorized access or use by persons inside our organization, or persons with access to systems inside our organization. A system interruption or security breach that leads to disclosure or modification of or prevents access to personally identifiable information or other protected information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personal data, resulting in increased costs or loss of revenue. Similarly, the loss of clinical trial data from completed or ongoing or planned clinical trials could result in delays in our regulatory approval efforts and significantly increase our costs to recover or reproduce the data.</w:t>
      </w:r>
    </w:p>
    <w:p>
      <w:pPr>
        <w:spacing w:after="0" w:line="19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Attacks upon information technology systems are also increasing in their frequency, levels of persistence, sophistication and intensity, and are being conducted by sophisticated and organized groups and individuals with a wide range of motives and expertise. As a result of the COVID-19 pandemic and continued hybrid working environment, we may also face increased cybersecurity risks due to our dependency on remote working technology and electronic monitoring of clinical trial sites,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To the extent that any disruption or security breach were to result in a loss of, or damage to, our data, or inappropriate disclosure of confidential or proprietary information, we could incur liability, recovery of our data could take a prolonged period of time, and the development of our research or product candidates could be delayed.</w:t>
      </w:r>
    </w:p>
    <w:p>
      <w:pPr>
        <w:spacing w:after="0" w:line="20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development programs and our business operations, whether due to a loss, corruption or unauthorized disclosure of our trade secrets, personal information or other proprietary or sensitive information or other similar disruptions.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If a security breach or other incident were to result in the unauthorized access to or unauthorized use, disclosure, release or other processing of personal information, it may be necessary to notify individuals, governmental authorities, supervisory bodies, the media and other parties pursuant to privacy and security laws. To the extent that any disruption or security breach were to result in a loss of, or damage to, our data or systems, or inappropriate disclosure of confidential or proprietary or personal information, we could incur liability, including litigation exposure, penalties and fines, we could become the subject of regulatory action or investigation, our competitive position could be harmed and the further development and commercialization of our products and services could be delayed.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As cyber threats continue to evolve, we may be required to expend significant additional resources to continue to modify or enhance our protective measures or to investigate and remediate any information security vulnerabilities. While we have implemented security measures to protect our data security and information technology systems, such measures may not prevent such events. Further, our insurance coverage may not be sufficient to cover the financial, legal, business or reputational losses that may result from an interruption or breach of our systems. Significant disruptions of our information technology systems or breaches of data security could have a material adverse effect on our business,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ongoing armed conflict between Russia and Ukraine could adversely affect our business, financial condition, and results of operations.</w:t>
      </w:r>
    </w:p>
    <w:p>
      <w:pPr>
        <w:spacing w:after="0" w:line="140"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On February 24, 2022, Russian military forces launched a military action in Ukraine, and sustained conflict and disruption in the region is likely. The length, impact, and outcome of this ongoing military conflict is highly unpredictable, and could lead to significant market and other disruptions, including significant volatility in commodity prices and supply of energy resources, instability in financial markets, supply chain interruptions, political and social instability, trade disputes or trade barriers, changes in consumer or purchaser preferences, as well as an increase in cyberattacks and espionage.</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Russia’s recognition of two separatist republics in the Donetsk and Luhansk regions of Ukraine and subsequent military action against Ukraine have led to substantial expansion of sanction programs imposed by the United States, the European Union, the United Kingdom, Canada, Switzerland, Japan, and other countries against Russia, Belarus, the Crimea Region of Ukraine, the so-called Donetsk People’s Republic, and the so-called Luhansk People’s Republic, including, among others:</w:t>
      </w:r>
    </w:p>
    <w:p>
      <w:pPr>
        <w:spacing w:after="0" w:line="79" w:lineRule="exact"/>
        <w:rPr>
          <w:sz w:val="20"/>
          <w:szCs w:val="20"/>
          <w:color w:val="auto"/>
        </w:rPr>
      </w:pPr>
    </w:p>
    <w:p>
      <w:pPr>
        <w:ind w:left="1020" w:right="140" w:hanging="503"/>
        <w:spacing w:after="0" w:line="263"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blocking sanctions against some of the largest state-owned and private Russian financial institutions (and their subsequent removal from the Society for Worldwide Interbank Financial Telecommunication (SWIFT) payment system) and certain Russian businesses, some of which have significant financial and trade ties to the European Union;</w:t>
      </w:r>
    </w:p>
    <w:p>
      <w:pPr>
        <w:spacing w:after="0" w:line="75"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blocking sanctions against Russian and Belarusian individuals, including the Russian President, other politicians, and those with government connections or involved in Russian military activities; and</w:t>
      </w:r>
    </w:p>
    <w:p>
      <w:pPr>
        <w:spacing w:after="0" w:line="62" w:lineRule="exact"/>
        <w:rPr>
          <w:rFonts w:ascii="Arial" w:cs="Arial" w:eastAsia="Arial" w:hAnsi="Arial"/>
          <w:sz w:val="18"/>
          <w:szCs w:val="18"/>
          <w:color w:val="auto"/>
        </w:rPr>
      </w:pPr>
    </w:p>
    <w:p>
      <w:pPr>
        <w:ind w:left="1020" w:right="40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blocking of Russia’s foreign currency reserves as well as expansion of sectoral sanctions and export and trade restrictions, limitations on investments and access to capital markets, and bans on various Russian imports.</w:t>
      </w:r>
    </w:p>
    <w:p>
      <w:pPr>
        <w:spacing w:after="0" w:line="19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 The situation is rapidly evolving, additional sanctions by Russia on the one hand, and by the other countries on the other hand, could adversely affect the global economy, financial markets, energy supply and prices, certain critical materials and metals, supply chains, and global logistics and could adversely affect our business, financial condition, and results of operations.</w:t>
      </w:r>
    </w:p>
    <w:p>
      <w:pPr>
        <w:spacing w:after="0" w:line="21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actively monitoring the situation in Ukraine and Russia and assessing its impact on our business, including our business partners and customers. To date we have not experienced any material interruptions in our infrastructure, supplies, technology systems, or networks needed to support our operations. We have no way to predict the progress or outcome of the military conflict in Ukraine or its impacts in Ukraine, Russia, Belarus, Europe, or the U.S. The extent and duration of the military action, sanctions, and resulting market disruptions could be significant and could potentially have substantial impact on the global economy and our business for an unknown period of time.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15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research and development activities involve the use of hazardous materials and various chemicals. We maintain quantities of various flammable and toxic chemicals in our facilities in South San Francisco, California that are required for our research and development activities. We are subject to federal, state and local laws and regulations governing the use, manufacture, storage, handling and disposal of these hazardous materials. We believe our procedures for storing, handling and disposing these materials in our South San Francisco facilities comply with the relevant guidelines of South San Francisco,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ind w:right="-3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4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15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Changes in U.S. or foreign tax laws or regulations that are applied adversely to us may have a material adverse effect on our business, cash flow, financial condition or results of operations.</w:t>
      </w:r>
    </w:p>
    <w:p>
      <w:pPr>
        <w:spacing w:after="0" w:line="7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legislation enacted in 2017, informally titled the Tax Cuts and Jobs Act (the “Tax Act”), enacted many significant changes to the U.S. tax laws. Future guidance from the Internal Revenue Service and other tax authorities with respect to the Tax Act may affect us, and certain aspects of the Tax Act could be repealed or modified in future legislation. Changes in applicable tax rules, including changes to corporate tax rates, the realization of net deferred tax assets relating to our operations, the taxation of foreign earnings, and the deductibility of expenses under future reform legislation could have a material impact on the value of our deferred tax assets, could result in significant one-time charges, and could increase our future tax expense.</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adverse or misleading opinions regarding our stock, our stock price and trading volume could decline.</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Shares or of Company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On June 1, 2023, Sean McCarthy, Chief Executive Officer and Chairman, adopted a Rule 10b5-1 trading arrangement that is intended to satisfy the affirmative defense of Rule 10b5-1(c) for the sale of up to 109,768 shares of the Company’s common stock between January 1, 2024 and February 7, 2025.</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ind w:left="4580"/>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9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gridSpan w:val="10"/>
            <w:vMerge w:val="restart"/>
          </w:tcPr>
          <w:p>
            <w:pPr>
              <w:ind w:left="120"/>
              <w:spacing w:after="0"/>
              <w:rPr>
                <w:sz w:val="20"/>
                <w:szCs w:val="20"/>
                <w:color w:val="auto"/>
              </w:rPr>
            </w:pPr>
            <w:r>
              <w:rPr>
                <w:rFonts w:ascii="Arial" w:cs="Arial" w:eastAsia="Arial" w:hAnsi="Arial"/>
                <w:sz w:val="14"/>
                <w:szCs w:val="14"/>
                <w:b w:val="1"/>
                <w:bCs w:val="1"/>
                <w:color w:val="auto"/>
              </w:rPr>
              <w:t>Exhibit 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10"/>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11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24"/>
                <w:szCs w:val="24"/>
                <w:color w:val="auto"/>
              </w:rPr>
            </w:pPr>
          </w:p>
        </w:tc>
        <w:tc>
          <w:tcPr>
            <w:tcW w:w="5740" w:type="dxa"/>
            <w:vAlign w:val="bottom"/>
            <w:gridSpan w:val="15"/>
          </w:tcPr>
          <w:p>
            <w:pPr>
              <w:spacing w:after="0"/>
              <w:rPr>
                <w:rFonts w:ascii="Arial" w:cs="Arial" w:eastAsia="Arial" w:hAnsi="Arial"/>
                <w:sz w:val="18"/>
                <w:szCs w:val="18"/>
                <w:color w:val="0000FF"/>
              </w:rPr>
            </w:pPr>
            <w:hyperlink r:id="rId252">
              <w:r>
                <w:rPr>
                  <w:rFonts w:ascii="Arial" w:cs="Arial" w:eastAsia="Arial" w:hAnsi="Arial"/>
                  <w:sz w:val="18"/>
                  <w:szCs w:val="18"/>
                  <w:color w:val="0000FF"/>
                </w:rPr>
                <w:t>Amended and Restated Certificate of Incorporation.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00" w:type="dxa"/>
            <w:vAlign w:val="bottom"/>
          </w:tcPr>
          <w:p>
            <w:pPr>
              <w:spacing w:after="0"/>
              <w:rPr>
                <w:sz w:val="24"/>
                <w:szCs w:val="24"/>
                <w:color w:val="auto"/>
              </w:rPr>
            </w:pPr>
          </w:p>
        </w:tc>
        <w:tc>
          <w:tcPr>
            <w:tcW w:w="5740" w:type="dxa"/>
            <w:vAlign w:val="bottom"/>
            <w:gridSpan w:val="15"/>
          </w:tcPr>
          <w:p>
            <w:pPr>
              <w:spacing w:after="0"/>
              <w:rPr>
                <w:rFonts w:ascii="Arial" w:cs="Arial" w:eastAsia="Arial" w:hAnsi="Arial"/>
                <w:sz w:val="18"/>
                <w:szCs w:val="18"/>
                <w:color w:val="0000FF"/>
              </w:rPr>
            </w:pPr>
            <w:hyperlink r:id="rId253">
              <w:r>
                <w:rPr>
                  <w:rFonts w:ascii="Arial" w:cs="Arial" w:eastAsia="Arial" w:hAnsi="Arial"/>
                  <w:sz w:val="18"/>
                  <w:szCs w:val="18"/>
                  <w:color w:val="0000FF"/>
                </w:rPr>
                <w:t>Certificate of Amendment to Amended and Restated Certificate of</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6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740" w:type="dxa"/>
            <w:vAlign w:val="bottom"/>
            <w:gridSpan w:val="15"/>
          </w:tcPr>
          <w:p>
            <w:pPr>
              <w:spacing w:after="0" w:line="196" w:lineRule="exact"/>
              <w:rPr>
                <w:rFonts w:ascii="Arial" w:cs="Arial" w:eastAsia="Arial" w:hAnsi="Arial"/>
                <w:sz w:val="18"/>
                <w:szCs w:val="18"/>
                <w:color w:val="0000FF"/>
              </w:rPr>
            </w:pPr>
            <w:hyperlink r:id="rId253">
              <w:r>
                <w:rPr>
                  <w:rFonts w:ascii="Arial" w:cs="Arial" w:eastAsia="Arial" w:hAnsi="Arial"/>
                  <w:sz w:val="18"/>
                  <w:szCs w:val="18"/>
                  <w:color w:val="0000FF"/>
                </w:rPr>
                <w:t>Incorporation of CytomX Therapeutics, Inc.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60" w:type="dxa"/>
            <w:vAlign w:val="bottom"/>
            <w:tcBorders>
              <w:left w:val="single" w:sz="8" w:color="0000FF"/>
            </w:tcBorders>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12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200" w:type="dxa"/>
            <w:vAlign w:val="bottom"/>
          </w:tcPr>
          <w:p>
            <w:pPr>
              <w:spacing w:after="0"/>
              <w:rPr>
                <w:sz w:val="24"/>
                <w:szCs w:val="24"/>
                <w:color w:val="auto"/>
              </w:rPr>
            </w:pPr>
          </w:p>
        </w:tc>
        <w:tc>
          <w:tcPr>
            <w:tcW w:w="5740" w:type="dxa"/>
            <w:vAlign w:val="bottom"/>
            <w:gridSpan w:val="15"/>
          </w:tcPr>
          <w:p>
            <w:pPr>
              <w:spacing w:after="0"/>
              <w:rPr>
                <w:rFonts w:ascii="Arial" w:cs="Arial" w:eastAsia="Arial" w:hAnsi="Arial"/>
                <w:sz w:val="18"/>
                <w:szCs w:val="18"/>
                <w:color w:val="0000FF"/>
              </w:rPr>
            </w:pPr>
            <w:hyperlink r:id="rId254">
              <w:r>
                <w:rPr>
                  <w:rFonts w:ascii="Arial" w:cs="Arial" w:eastAsia="Arial" w:hAnsi="Arial"/>
                  <w:sz w:val="18"/>
                  <w:szCs w:val="18"/>
                  <w:color w:val="0000FF"/>
                </w:rPr>
                <w:t>Amended and Restated Bylaws.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1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00" w:type="dxa"/>
            <w:vAlign w:val="bottom"/>
          </w:tcPr>
          <w:p>
            <w:pPr>
              <w:spacing w:after="0"/>
              <w:rPr>
                <w:sz w:val="24"/>
                <w:szCs w:val="24"/>
                <w:color w:val="auto"/>
              </w:rPr>
            </w:pPr>
          </w:p>
        </w:tc>
        <w:tc>
          <w:tcPr>
            <w:tcW w:w="5740" w:type="dxa"/>
            <w:vAlign w:val="bottom"/>
            <w:gridSpan w:val="15"/>
          </w:tcPr>
          <w:p>
            <w:pPr>
              <w:spacing w:after="0"/>
              <w:rPr>
                <w:sz w:val="20"/>
                <w:szCs w:val="20"/>
                <w:color w:val="auto"/>
              </w:rPr>
            </w:pPr>
            <w:r>
              <w:rPr>
                <w:rFonts w:ascii="Arial" w:cs="Arial" w:eastAsia="Arial" w:hAnsi="Arial"/>
                <w:sz w:val="18"/>
                <w:szCs w:val="18"/>
                <w:color w:val="auto"/>
              </w:rPr>
              <w:t>Reference is made to Exhibits 3.1 through 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00" w:type="dxa"/>
            <w:vAlign w:val="bottom"/>
          </w:tcPr>
          <w:p>
            <w:pPr>
              <w:spacing w:after="0"/>
              <w:rPr>
                <w:sz w:val="24"/>
                <w:szCs w:val="24"/>
                <w:color w:val="auto"/>
              </w:rPr>
            </w:pPr>
          </w:p>
        </w:tc>
        <w:tc>
          <w:tcPr>
            <w:tcW w:w="5740" w:type="dxa"/>
            <w:vAlign w:val="bottom"/>
            <w:gridSpan w:val="15"/>
          </w:tcPr>
          <w:p>
            <w:pPr>
              <w:spacing w:after="0"/>
              <w:rPr>
                <w:rFonts w:ascii="Arial" w:cs="Arial" w:eastAsia="Arial" w:hAnsi="Arial"/>
                <w:sz w:val="18"/>
                <w:szCs w:val="18"/>
                <w:color w:val="0000FF"/>
              </w:rPr>
            </w:pPr>
            <w:hyperlink r:id="rId255">
              <w:r>
                <w:rPr>
                  <w:rFonts w:ascii="Arial" w:cs="Arial" w:eastAsia="Arial" w:hAnsi="Arial"/>
                  <w:sz w:val="18"/>
                  <w:szCs w:val="18"/>
                  <w:color w:val="0000FF"/>
                </w:rPr>
                <w:t>Specimen Common Stock Certificate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200" w:type="dxa"/>
            <w:vAlign w:val="bottom"/>
          </w:tcPr>
          <w:p>
            <w:pPr>
              <w:spacing w:after="0"/>
              <w:rPr>
                <w:sz w:val="24"/>
                <w:szCs w:val="24"/>
                <w:color w:val="auto"/>
              </w:rPr>
            </w:pPr>
          </w:p>
        </w:tc>
        <w:tc>
          <w:tcPr>
            <w:tcW w:w="5740" w:type="dxa"/>
            <w:vAlign w:val="bottom"/>
            <w:gridSpan w:val="15"/>
          </w:tcPr>
          <w:p>
            <w:pPr>
              <w:spacing w:after="0"/>
              <w:rPr>
                <w:rFonts w:ascii="Arial" w:cs="Arial" w:eastAsia="Arial" w:hAnsi="Arial"/>
                <w:sz w:val="18"/>
                <w:szCs w:val="18"/>
                <w:color w:val="0000FF"/>
              </w:rPr>
            </w:pPr>
            <w:hyperlink r:id="rId256">
              <w:r>
                <w:rPr>
                  <w:rFonts w:ascii="Arial" w:cs="Arial" w:eastAsia="Arial" w:hAnsi="Arial"/>
                  <w:sz w:val="18"/>
                  <w:szCs w:val="18"/>
                  <w:color w:val="0000FF"/>
                </w:rPr>
                <w:t>Form of Pre-Funded Warrant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200" w:type="dxa"/>
            <w:vAlign w:val="bottom"/>
          </w:tcPr>
          <w:p>
            <w:pPr>
              <w:spacing w:after="0"/>
              <w:rPr>
                <w:sz w:val="24"/>
                <w:szCs w:val="24"/>
                <w:color w:val="auto"/>
              </w:rPr>
            </w:pPr>
          </w:p>
        </w:tc>
        <w:tc>
          <w:tcPr>
            <w:tcW w:w="5740" w:type="dxa"/>
            <w:vAlign w:val="bottom"/>
            <w:gridSpan w:val="15"/>
          </w:tcPr>
          <w:p>
            <w:pPr>
              <w:spacing w:after="0"/>
              <w:rPr>
                <w:rFonts w:ascii="Arial" w:cs="Arial" w:eastAsia="Arial" w:hAnsi="Arial"/>
                <w:sz w:val="18"/>
                <w:szCs w:val="18"/>
                <w:color w:val="0000FF"/>
              </w:rPr>
            </w:pPr>
            <w:hyperlink r:id="rId257">
              <w:r>
                <w:rPr>
                  <w:rFonts w:ascii="Arial" w:cs="Arial" w:eastAsia="Arial" w:hAnsi="Arial"/>
                  <w:sz w:val="18"/>
                  <w:szCs w:val="18"/>
                  <w:color w:val="0000FF"/>
                </w:rPr>
                <w:t>Form of Tranche Warrant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w w:val="90"/>
              </w:rPr>
              <w:t>10.1††</w:t>
            </w:r>
          </w:p>
        </w:tc>
        <w:tc>
          <w:tcPr>
            <w:tcW w:w="200" w:type="dxa"/>
            <w:vAlign w:val="bottom"/>
          </w:tcPr>
          <w:p>
            <w:pPr>
              <w:spacing w:after="0"/>
              <w:rPr>
                <w:sz w:val="24"/>
                <w:szCs w:val="24"/>
                <w:color w:val="auto"/>
              </w:rPr>
            </w:pPr>
          </w:p>
        </w:tc>
        <w:tc>
          <w:tcPr>
            <w:tcW w:w="5740" w:type="dxa"/>
            <w:vAlign w:val="bottom"/>
            <w:gridSpan w:val="15"/>
          </w:tcPr>
          <w:p>
            <w:pPr>
              <w:spacing w:after="0"/>
              <w:rPr>
                <w:sz w:val="20"/>
                <w:szCs w:val="20"/>
                <w:color w:val="auto"/>
              </w:rPr>
            </w:pPr>
            <w:r>
              <w:rPr>
                <w:rFonts w:ascii="Arial" w:cs="Arial" w:eastAsia="Arial" w:hAnsi="Arial"/>
                <w:sz w:val="18"/>
                <w:szCs w:val="18"/>
                <w:color w:val="0000FF"/>
                <w:w w:val="95"/>
              </w:rPr>
              <w:t>Amendment No. 3 to the Collaboration and License Agreement, dated as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460" w:type="dxa"/>
            <w:vAlign w:val="bottom"/>
            <w:tcBorders>
              <w:left w:val="single" w:sz="8" w:color="0000FF"/>
            </w:tcBorders>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740" w:type="dxa"/>
            <w:vAlign w:val="bottom"/>
            <w:gridSpan w:val="15"/>
          </w:tcPr>
          <w:p>
            <w:pPr>
              <w:spacing w:after="0" w:line="196" w:lineRule="exact"/>
              <w:rPr>
                <w:sz w:val="20"/>
                <w:szCs w:val="20"/>
                <w:color w:val="auto"/>
              </w:rPr>
            </w:pPr>
            <w:r>
              <w:rPr>
                <w:rFonts w:ascii="Arial" w:cs="Arial" w:eastAsia="Arial" w:hAnsi="Arial"/>
                <w:sz w:val="18"/>
                <w:szCs w:val="18"/>
                <w:color w:val="0000FF"/>
                <w:w w:val="95"/>
              </w:rPr>
              <w:t>May 18, 2023, by and between CytomX Therapeutics, Inc. and Amgen, Inc.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460" w:type="dxa"/>
            <w:vAlign w:val="bottom"/>
            <w:tcBorders>
              <w:left w:val="single" w:sz="8" w:color="0000FF"/>
            </w:tcBorders>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w w:val="88"/>
              </w:rPr>
              <w:t>10.2#</w:t>
            </w:r>
          </w:p>
        </w:tc>
        <w:tc>
          <w:tcPr>
            <w:tcW w:w="200" w:type="dxa"/>
            <w:vAlign w:val="bottom"/>
          </w:tcPr>
          <w:p>
            <w:pPr>
              <w:spacing w:after="0"/>
              <w:rPr>
                <w:sz w:val="24"/>
                <w:szCs w:val="24"/>
                <w:color w:val="auto"/>
              </w:rPr>
            </w:pPr>
          </w:p>
        </w:tc>
        <w:tc>
          <w:tcPr>
            <w:tcW w:w="5740" w:type="dxa"/>
            <w:vAlign w:val="bottom"/>
            <w:gridSpan w:val="15"/>
          </w:tcPr>
          <w:p>
            <w:pPr>
              <w:spacing w:after="0"/>
              <w:rPr>
                <w:sz w:val="20"/>
                <w:szCs w:val="20"/>
                <w:color w:val="auto"/>
              </w:rPr>
            </w:pPr>
            <w:r>
              <w:rPr>
                <w:rFonts w:ascii="Arial" w:cs="Arial" w:eastAsia="Arial" w:hAnsi="Arial"/>
                <w:sz w:val="18"/>
                <w:szCs w:val="18"/>
                <w:color w:val="0000FF"/>
                <w:w w:val="91"/>
              </w:rPr>
              <w:t>Form of Amended and Restated Severance and Change of Control Agreement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460" w:type="dxa"/>
            <w:vAlign w:val="bottom"/>
            <w:tcBorders>
              <w:left w:val="single" w:sz="8" w:color="0000FF"/>
            </w:tcBorders>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740" w:type="dxa"/>
            <w:vAlign w:val="bottom"/>
            <w:gridSpan w:val="15"/>
          </w:tcPr>
          <w:p>
            <w:pPr>
              <w:spacing w:after="0" w:line="196" w:lineRule="exact"/>
              <w:rPr>
                <w:sz w:val="20"/>
                <w:szCs w:val="20"/>
                <w:color w:val="auto"/>
              </w:rPr>
            </w:pPr>
            <w:r>
              <w:rPr>
                <w:rFonts w:ascii="Arial" w:cs="Arial" w:eastAsia="Arial" w:hAnsi="Arial"/>
                <w:sz w:val="18"/>
                <w:szCs w:val="18"/>
                <w:color w:val="0000FF"/>
                <w:w w:val="93"/>
              </w:rPr>
              <w:t>by and between CytomX Therapeutics, Inc. and each of its executive officers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460" w:type="dxa"/>
            <w:vAlign w:val="bottom"/>
            <w:tcBorders>
              <w:left w:val="single" w:sz="8" w:color="0000FF"/>
            </w:tcBorders>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740" w:type="dxa"/>
            <w:vAlign w:val="bottom"/>
            <w:gridSpan w:val="15"/>
          </w:tcPr>
          <w:p>
            <w:pPr>
              <w:spacing w:after="0" w:line="196" w:lineRule="exact"/>
              <w:rPr>
                <w:sz w:val="20"/>
                <w:szCs w:val="20"/>
                <w:color w:val="auto"/>
              </w:rPr>
            </w:pPr>
            <w:r>
              <w:rPr>
                <w:rFonts w:ascii="Arial" w:cs="Arial" w:eastAsia="Arial" w:hAnsi="Arial"/>
                <w:sz w:val="18"/>
                <w:szCs w:val="18"/>
                <w:color w:val="0000FF"/>
              </w:rPr>
              <w:t>other than Sean A. McCarthy.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2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200" w:type="dxa"/>
            <w:vAlign w:val="bottom"/>
          </w:tcPr>
          <w:p>
            <w:pPr>
              <w:spacing w:after="0"/>
              <w:rPr>
                <w:sz w:val="24"/>
                <w:szCs w:val="24"/>
                <w:color w:val="auto"/>
              </w:rPr>
            </w:pPr>
          </w:p>
        </w:tc>
        <w:tc>
          <w:tcPr>
            <w:tcW w:w="5740" w:type="dxa"/>
            <w:vAlign w:val="bottom"/>
            <w:gridSpan w:val="15"/>
          </w:tcPr>
          <w:p>
            <w:pPr>
              <w:spacing w:after="0"/>
              <w:rPr>
                <w:sz w:val="20"/>
                <w:szCs w:val="20"/>
                <w:color w:val="auto"/>
              </w:rPr>
            </w:pPr>
            <w:r>
              <w:rPr>
                <w:rFonts w:ascii="Arial" w:cs="Arial" w:eastAsia="Arial" w:hAnsi="Arial"/>
                <w:sz w:val="18"/>
                <w:szCs w:val="18"/>
                <w:color w:val="0000FF"/>
                <w:w w:val="93"/>
              </w:rPr>
              <w:t>Employment Offer Letter Agreement between CytomX Therapeutics, Inc. and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780" w:type="dxa"/>
            <w:vAlign w:val="bottom"/>
            <w:gridSpan w:val="6"/>
            <w:shd w:val="clear" w:color="auto" w:fill="0000FF"/>
          </w:tcPr>
          <w:p>
            <w:pPr>
              <w:spacing w:after="0" w:line="20" w:lineRule="exact"/>
              <w:rPr>
                <w:sz w:val="1"/>
                <w:szCs w:val="1"/>
                <w:color w:val="auto"/>
              </w:rPr>
            </w:pPr>
          </w:p>
        </w:tc>
        <w:tc>
          <w:tcPr>
            <w:tcW w:w="1460" w:type="dxa"/>
            <w:vAlign w:val="bottom"/>
            <w:tcBorders>
              <w:left w:val="single" w:sz="8" w:color="0000FF"/>
            </w:tcBorders>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740" w:type="dxa"/>
            <w:vAlign w:val="bottom"/>
            <w:gridSpan w:val="15"/>
          </w:tcPr>
          <w:p>
            <w:pPr>
              <w:spacing w:after="0" w:line="196" w:lineRule="exact"/>
              <w:rPr>
                <w:sz w:val="20"/>
                <w:szCs w:val="20"/>
                <w:color w:val="auto"/>
              </w:rPr>
            </w:pPr>
            <w:r>
              <w:rPr>
                <w:rFonts w:ascii="Arial" w:cs="Arial" w:eastAsia="Arial" w:hAnsi="Arial"/>
                <w:sz w:val="18"/>
                <w:szCs w:val="18"/>
                <w:color w:val="0000FF"/>
              </w:rPr>
              <w:t>Jeffrey Landau dated as of March 31, 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780" w:type="dxa"/>
            <w:vAlign w:val="bottom"/>
            <w:gridSpan w:val="6"/>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200" w:type="dxa"/>
            <w:vAlign w:val="bottom"/>
          </w:tcPr>
          <w:p>
            <w:pPr>
              <w:spacing w:after="0"/>
              <w:rPr>
                <w:sz w:val="24"/>
                <w:szCs w:val="24"/>
                <w:color w:val="auto"/>
              </w:rPr>
            </w:pPr>
          </w:p>
        </w:tc>
        <w:tc>
          <w:tcPr>
            <w:tcW w:w="5740" w:type="dxa"/>
            <w:vAlign w:val="bottom"/>
            <w:gridSpan w:val="15"/>
          </w:tcPr>
          <w:p>
            <w:pPr>
              <w:spacing w:after="0"/>
              <w:rPr>
                <w:rFonts w:ascii="Arial" w:cs="Arial" w:eastAsia="Arial" w:hAnsi="Arial"/>
                <w:sz w:val="18"/>
                <w:szCs w:val="18"/>
                <w:color w:val="0000FF"/>
                <w:w w:val="94"/>
              </w:rPr>
            </w:pPr>
            <w:hyperlink r:id="rId258">
              <w:r>
                <w:rPr>
                  <w:rFonts w:ascii="Arial" w:cs="Arial" w:eastAsia="Arial" w:hAnsi="Arial"/>
                  <w:sz w:val="18"/>
                  <w:szCs w:val="18"/>
                  <w:color w:val="0000FF"/>
                  <w:w w:val="94"/>
                </w:rPr>
                <w:t>Unit Purchase Agreement by and among the CytomX Therapeutics, Inc. and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40" w:type="dxa"/>
            <w:vAlign w:val="bottom"/>
            <w:gridSpan w:val="8"/>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740" w:type="dxa"/>
            <w:vAlign w:val="bottom"/>
            <w:gridSpan w:val="15"/>
          </w:tcPr>
          <w:p>
            <w:pPr>
              <w:spacing w:after="0" w:line="196" w:lineRule="exact"/>
              <w:rPr>
                <w:rFonts w:ascii="Arial" w:cs="Arial" w:eastAsia="Arial" w:hAnsi="Arial"/>
                <w:sz w:val="18"/>
                <w:szCs w:val="18"/>
                <w:color w:val="0000FF"/>
              </w:rPr>
            </w:pPr>
            <w:hyperlink r:id="rId258">
              <w:r>
                <w:rPr>
                  <w:rFonts w:ascii="Arial" w:cs="Arial" w:eastAsia="Arial" w:hAnsi="Arial"/>
                  <w:sz w:val="18"/>
                  <w:szCs w:val="18"/>
                  <w:color w:val="0000FF"/>
                </w:rPr>
                <w:t>certain accredited investors named therein, dated June 29,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40" w:type="dxa"/>
            <w:vAlign w:val="bottom"/>
            <w:gridSpan w:val="8"/>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200" w:type="dxa"/>
            <w:vAlign w:val="bottom"/>
          </w:tcPr>
          <w:p>
            <w:pPr>
              <w:spacing w:after="0"/>
              <w:rPr>
                <w:sz w:val="24"/>
                <w:szCs w:val="24"/>
                <w:color w:val="auto"/>
              </w:rPr>
            </w:pPr>
          </w:p>
        </w:tc>
        <w:tc>
          <w:tcPr>
            <w:tcW w:w="5740" w:type="dxa"/>
            <w:vAlign w:val="bottom"/>
            <w:gridSpan w:val="15"/>
          </w:tcPr>
          <w:p>
            <w:pPr>
              <w:spacing w:after="0"/>
              <w:rPr>
                <w:sz w:val="20"/>
                <w:szCs w:val="20"/>
                <w:color w:val="auto"/>
              </w:rPr>
            </w:pPr>
            <w:r>
              <w:rPr>
                <w:rFonts w:ascii="Arial" w:cs="Arial" w:eastAsia="Arial" w:hAnsi="Arial"/>
                <w:sz w:val="18"/>
                <w:szCs w:val="18"/>
                <w:color w:val="0000FF"/>
                <w:w w:val="94"/>
              </w:rPr>
              <w:t>Certification of Chief Executive Principal required by Rule 13a-14(a) or Rule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100" w:type="dxa"/>
            <w:vAlign w:val="bottom"/>
            <w:gridSpan w:val="10"/>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740" w:type="dxa"/>
            <w:vAlign w:val="bottom"/>
            <w:gridSpan w:val="15"/>
          </w:tcPr>
          <w:p>
            <w:pPr>
              <w:spacing w:after="0" w:line="196" w:lineRule="exact"/>
              <w:rPr>
                <w:sz w:val="20"/>
                <w:szCs w:val="20"/>
                <w:color w:val="auto"/>
              </w:rPr>
            </w:pPr>
            <w:r>
              <w:rPr>
                <w:rFonts w:ascii="Arial" w:cs="Arial" w:eastAsia="Arial" w:hAnsi="Arial"/>
                <w:sz w:val="18"/>
                <w:szCs w:val="18"/>
                <w:color w:val="0000FF"/>
              </w:rPr>
              <w:t>15d-14(a).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10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00" w:type="dxa"/>
            <w:vAlign w:val="bottom"/>
          </w:tcPr>
          <w:p>
            <w:pPr>
              <w:spacing w:after="0"/>
              <w:rPr>
                <w:sz w:val="24"/>
                <w:szCs w:val="24"/>
                <w:color w:val="auto"/>
              </w:rPr>
            </w:pPr>
          </w:p>
        </w:tc>
        <w:tc>
          <w:tcPr>
            <w:tcW w:w="5740" w:type="dxa"/>
            <w:vAlign w:val="bottom"/>
            <w:gridSpan w:val="15"/>
          </w:tcPr>
          <w:p>
            <w:pPr>
              <w:spacing w:after="0"/>
              <w:rPr>
                <w:sz w:val="20"/>
                <w:szCs w:val="20"/>
                <w:color w:val="auto"/>
              </w:rPr>
            </w:pPr>
            <w:r>
              <w:rPr>
                <w:rFonts w:ascii="Arial" w:cs="Arial" w:eastAsia="Arial" w:hAnsi="Arial"/>
                <w:sz w:val="18"/>
                <w:szCs w:val="18"/>
                <w:color w:val="0000FF"/>
                <w:w w:val="95"/>
              </w:rPr>
              <w:t>Certification of Chief Financial Principal required by Rule 13a-14(a) or Rule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100" w:type="dxa"/>
            <w:vAlign w:val="bottom"/>
            <w:gridSpan w:val="10"/>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740" w:type="dxa"/>
            <w:vAlign w:val="bottom"/>
            <w:gridSpan w:val="15"/>
          </w:tcPr>
          <w:p>
            <w:pPr>
              <w:spacing w:after="0" w:line="196" w:lineRule="exact"/>
              <w:rPr>
                <w:sz w:val="20"/>
                <w:szCs w:val="20"/>
                <w:color w:val="auto"/>
              </w:rPr>
            </w:pPr>
            <w:r>
              <w:rPr>
                <w:rFonts w:ascii="Arial" w:cs="Arial" w:eastAsia="Arial" w:hAnsi="Arial"/>
                <w:sz w:val="18"/>
                <w:szCs w:val="18"/>
                <w:color w:val="0000FF"/>
              </w:rPr>
              <w:t>15d-14(a).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100" w:type="dxa"/>
            <w:vAlign w:val="bottom"/>
            <w:gridSpan w:val="1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200" w:type="dxa"/>
            <w:vAlign w:val="bottom"/>
          </w:tcPr>
          <w:p>
            <w:pPr>
              <w:spacing w:after="0"/>
              <w:rPr>
                <w:sz w:val="24"/>
                <w:szCs w:val="24"/>
                <w:color w:val="auto"/>
              </w:rPr>
            </w:pPr>
          </w:p>
        </w:tc>
        <w:tc>
          <w:tcPr>
            <w:tcW w:w="5740" w:type="dxa"/>
            <w:vAlign w:val="bottom"/>
            <w:gridSpan w:val="15"/>
          </w:tcPr>
          <w:p>
            <w:pPr>
              <w:spacing w:after="0"/>
              <w:rPr>
                <w:sz w:val="20"/>
                <w:szCs w:val="20"/>
                <w:color w:val="auto"/>
              </w:rPr>
            </w:pPr>
            <w:r>
              <w:rPr>
                <w:rFonts w:ascii="Arial" w:cs="Arial" w:eastAsia="Arial" w:hAnsi="Arial"/>
                <w:sz w:val="18"/>
                <w:szCs w:val="18"/>
                <w:color w:val="0000FF"/>
                <w:w w:val="97"/>
              </w:rPr>
              <w:t>Certification of Chief Executive Officer required by Rule 13a-14(b) or Rule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100" w:type="dxa"/>
            <w:vAlign w:val="bottom"/>
            <w:gridSpan w:val="10"/>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740" w:type="dxa"/>
            <w:vAlign w:val="bottom"/>
            <w:gridSpan w:val="15"/>
          </w:tcPr>
          <w:p>
            <w:pPr>
              <w:spacing w:after="0" w:line="196" w:lineRule="exact"/>
              <w:rPr>
                <w:sz w:val="20"/>
                <w:szCs w:val="20"/>
                <w:color w:val="auto"/>
              </w:rPr>
            </w:pPr>
            <w:r>
              <w:rPr>
                <w:rFonts w:ascii="Arial" w:cs="Arial" w:eastAsia="Arial" w:hAnsi="Arial"/>
                <w:sz w:val="18"/>
                <w:szCs w:val="18"/>
                <w:color w:val="0000FF"/>
                <w:w w:val="90"/>
              </w:rPr>
              <w:t>15d-14(b) and Section 1350 of Chapter 63 of Title 18 of the United States Code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100" w:type="dxa"/>
            <w:vAlign w:val="bottom"/>
            <w:gridSpan w:val="10"/>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740" w:type="dxa"/>
            <w:vAlign w:val="bottom"/>
            <w:gridSpan w:val="15"/>
          </w:tcPr>
          <w:p>
            <w:pPr>
              <w:spacing w:after="0" w:line="196" w:lineRule="exact"/>
              <w:rPr>
                <w:sz w:val="20"/>
                <w:szCs w:val="20"/>
                <w:color w:val="auto"/>
              </w:rPr>
            </w:pPr>
            <w:r>
              <w:rPr>
                <w:rFonts w:ascii="Arial" w:cs="Arial" w:eastAsia="Arial" w:hAnsi="Arial"/>
                <w:sz w:val="18"/>
                <w:szCs w:val="18"/>
                <w:color w:val="0000FF"/>
              </w:rPr>
              <w:t>(18 U.S.C. §1350).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100" w:type="dxa"/>
            <w:vAlign w:val="bottom"/>
            <w:gridSpan w:val="1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20" w:type="dxa"/>
            <w:vAlign w:val="bottom"/>
          </w:tcPr>
          <w:p>
            <w:pPr>
              <w:jc w:val="center"/>
              <w:spacing w:after="0"/>
              <w:rPr>
                <w:sz w:val="20"/>
                <w:szCs w:val="20"/>
                <w:color w:val="auto"/>
              </w:rPr>
            </w:pPr>
            <w:r>
              <w:rPr>
                <w:rFonts w:ascii="Arial" w:cs="Arial" w:eastAsia="Arial" w:hAnsi="Arial"/>
                <w:sz w:val="18"/>
                <w:szCs w:val="18"/>
                <w:color w:val="auto"/>
                <w:w w:val="95"/>
              </w:rPr>
              <w:t>32.2*</w:t>
            </w:r>
          </w:p>
        </w:tc>
        <w:tc>
          <w:tcPr>
            <w:tcW w:w="200" w:type="dxa"/>
            <w:vAlign w:val="bottom"/>
          </w:tcPr>
          <w:p>
            <w:pPr>
              <w:spacing w:after="0"/>
              <w:rPr>
                <w:sz w:val="24"/>
                <w:szCs w:val="24"/>
                <w:color w:val="auto"/>
              </w:rPr>
            </w:pPr>
          </w:p>
        </w:tc>
        <w:tc>
          <w:tcPr>
            <w:tcW w:w="5740" w:type="dxa"/>
            <w:vAlign w:val="bottom"/>
            <w:gridSpan w:val="15"/>
          </w:tcPr>
          <w:p>
            <w:pPr>
              <w:spacing w:after="0"/>
              <w:rPr>
                <w:sz w:val="20"/>
                <w:szCs w:val="20"/>
                <w:color w:val="auto"/>
              </w:rPr>
            </w:pPr>
            <w:r>
              <w:rPr>
                <w:rFonts w:ascii="Arial" w:cs="Arial" w:eastAsia="Arial" w:hAnsi="Arial"/>
                <w:sz w:val="18"/>
                <w:szCs w:val="18"/>
                <w:color w:val="0000FF"/>
                <w:w w:val="98"/>
              </w:rPr>
              <w:t>Certification of Chief Financial Officer required by Rule 13a-14(b) or Rule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40" w:type="dxa"/>
            <w:vAlign w:val="bottom"/>
            <w:gridSpan w:val="1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740" w:type="dxa"/>
            <w:vAlign w:val="bottom"/>
            <w:gridSpan w:val="15"/>
          </w:tcPr>
          <w:p>
            <w:pPr>
              <w:spacing w:after="0" w:line="196" w:lineRule="exact"/>
              <w:rPr>
                <w:sz w:val="20"/>
                <w:szCs w:val="20"/>
                <w:color w:val="auto"/>
              </w:rPr>
            </w:pPr>
            <w:r>
              <w:rPr>
                <w:rFonts w:ascii="Arial" w:cs="Arial" w:eastAsia="Arial" w:hAnsi="Arial"/>
                <w:sz w:val="18"/>
                <w:szCs w:val="18"/>
                <w:color w:val="0000FF"/>
                <w:w w:val="90"/>
              </w:rPr>
              <w:t>15d-14(b) and Section 1350 of Chapter 63 of Title 18 of the United States Code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740" w:type="dxa"/>
            <w:vAlign w:val="bottom"/>
            <w:gridSpan w:val="1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740" w:type="dxa"/>
            <w:vAlign w:val="bottom"/>
            <w:gridSpan w:val="15"/>
          </w:tcPr>
          <w:p>
            <w:pPr>
              <w:spacing w:after="0" w:line="196" w:lineRule="exact"/>
              <w:rPr>
                <w:sz w:val="20"/>
                <w:szCs w:val="20"/>
                <w:color w:val="auto"/>
              </w:rPr>
            </w:pPr>
            <w:r>
              <w:rPr>
                <w:rFonts w:ascii="Arial" w:cs="Arial" w:eastAsia="Arial" w:hAnsi="Arial"/>
                <w:sz w:val="18"/>
                <w:szCs w:val="18"/>
                <w:color w:val="0000FF"/>
              </w:rPr>
              <w:t>(18 U.S.C. §1350).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40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2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200" w:type="dxa"/>
            <w:vAlign w:val="bottom"/>
          </w:tcPr>
          <w:p>
            <w:pPr>
              <w:spacing w:after="0"/>
              <w:rPr>
                <w:sz w:val="24"/>
                <w:szCs w:val="24"/>
                <w:color w:val="auto"/>
              </w:rPr>
            </w:pPr>
          </w:p>
        </w:tc>
        <w:tc>
          <w:tcPr>
            <w:tcW w:w="5740" w:type="dxa"/>
            <w:vAlign w:val="bottom"/>
            <w:gridSpan w:val="15"/>
          </w:tcPr>
          <w:p>
            <w:pPr>
              <w:spacing w:after="0"/>
              <w:rPr>
                <w:sz w:val="20"/>
                <w:szCs w:val="20"/>
                <w:color w:val="auto"/>
              </w:rPr>
            </w:pPr>
            <w:r>
              <w:rPr>
                <w:rFonts w:ascii="Arial" w:cs="Arial" w:eastAsia="Arial" w:hAnsi="Arial"/>
                <w:sz w:val="18"/>
                <w:szCs w:val="18"/>
                <w:color w:val="auto"/>
                <w:w w:val="89"/>
              </w:rPr>
              <w:t>Inline XBRL Instance Document - the instance document does not appear in the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740" w:type="dxa"/>
            <w:vAlign w:val="bottom"/>
            <w:gridSpan w:val="15"/>
          </w:tcPr>
          <w:p>
            <w:pPr>
              <w:spacing w:after="0"/>
              <w:rPr>
                <w:sz w:val="20"/>
                <w:szCs w:val="20"/>
                <w:color w:val="auto"/>
              </w:rPr>
            </w:pPr>
            <w:r>
              <w:rPr>
                <w:rFonts w:ascii="Arial" w:cs="Arial" w:eastAsia="Arial" w:hAnsi="Arial"/>
                <w:sz w:val="18"/>
                <w:szCs w:val="18"/>
                <w:color w:val="auto"/>
                <w:w w:val="95"/>
              </w:rPr>
              <w:t>Interactive Data File because its XBRL tags are embedded within the Inline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740" w:type="dxa"/>
            <w:vAlign w:val="bottom"/>
            <w:gridSpan w:val="15"/>
          </w:tcPr>
          <w:p>
            <w:pPr>
              <w:spacing w:after="0"/>
              <w:rPr>
                <w:sz w:val="20"/>
                <w:szCs w:val="20"/>
                <w:color w:val="auto"/>
              </w:rPr>
            </w:pPr>
            <w:r>
              <w:rPr>
                <w:rFonts w:ascii="Arial" w:cs="Arial" w:eastAsia="Arial" w:hAnsi="Arial"/>
                <w:sz w:val="18"/>
                <w:szCs w:val="18"/>
                <w:color w:val="auto"/>
              </w:rPr>
              <w:t>XBRL document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12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200" w:type="dxa"/>
            <w:vAlign w:val="bottom"/>
          </w:tcPr>
          <w:p>
            <w:pPr>
              <w:spacing w:after="0"/>
              <w:rPr>
                <w:sz w:val="24"/>
                <w:szCs w:val="24"/>
                <w:color w:val="auto"/>
              </w:rPr>
            </w:pPr>
          </w:p>
        </w:tc>
        <w:tc>
          <w:tcPr>
            <w:tcW w:w="574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2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200" w:type="dxa"/>
            <w:vAlign w:val="bottom"/>
          </w:tcPr>
          <w:p>
            <w:pPr>
              <w:spacing w:after="0"/>
              <w:rPr>
                <w:sz w:val="24"/>
                <w:szCs w:val="24"/>
                <w:color w:val="auto"/>
              </w:rPr>
            </w:pPr>
          </w:p>
        </w:tc>
        <w:tc>
          <w:tcPr>
            <w:tcW w:w="574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2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200" w:type="dxa"/>
            <w:vAlign w:val="bottom"/>
          </w:tcPr>
          <w:p>
            <w:pPr>
              <w:spacing w:after="0"/>
              <w:rPr>
                <w:sz w:val="24"/>
                <w:szCs w:val="24"/>
                <w:color w:val="auto"/>
              </w:rPr>
            </w:pPr>
          </w:p>
        </w:tc>
        <w:tc>
          <w:tcPr>
            <w:tcW w:w="574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200" w:type="dxa"/>
            <w:vAlign w:val="bottom"/>
          </w:tcPr>
          <w:p>
            <w:pPr>
              <w:spacing w:after="0"/>
              <w:rPr>
                <w:sz w:val="24"/>
                <w:szCs w:val="24"/>
                <w:color w:val="auto"/>
              </w:rPr>
            </w:pPr>
          </w:p>
        </w:tc>
        <w:tc>
          <w:tcPr>
            <w:tcW w:w="574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2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200" w:type="dxa"/>
            <w:vAlign w:val="bottom"/>
          </w:tcPr>
          <w:p>
            <w:pPr>
              <w:spacing w:after="0"/>
              <w:rPr>
                <w:sz w:val="24"/>
                <w:szCs w:val="24"/>
                <w:color w:val="auto"/>
              </w:rPr>
            </w:pPr>
          </w:p>
        </w:tc>
        <w:tc>
          <w:tcPr>
            <w:tcW w:w="574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6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Incorporated by Reference</w:t>
            </w:r>
          </w:p>
        </w:tc>
        <w:tc>
          <w:tcPr>
            <w:tcW w:w="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62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97"/>
              </w:rPr>
              <w:t>Form</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Date</w:t>
            </w:r>
          </w:p>
        </w:tc>
        <w:tc>
          <w:tcPr>
            <w:tcW w:w="16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7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85"/>
        </w:trPr>
        <w:tc>
          <w:tcPr>
            <w:tcW w:w="6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80"/>
        <w:spacing w:after="0"/>
        <w:tabs>
          <w:tab w:leader="none" w:pos="1140" w:val="left"/>
          <w:tab w:leader="none" w:pos="24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10/19/2015</w:t>
      </w:r>
      <w:r>
        <w:rPr>
          <w:sz w:val="20"/>
          <w:szCs w:val="20"/>
          <w:color w:val="auto"/>
        </w:rPr>
        <w:tab/>
      </w:r>
      <w:r>
        <w:rPr>
          <w:rFonts w:ascii="Arial" w:cs="Arial" w:eastAsia="Arial" w:hAnsi="Arial"/>
          <w:sz w:val="17"/>
          <w:szCs w:val="17"/>
          <w:color w:val="auto"/>
        </w:rPr>
        <w:t>3.1</w:t>
      </w:r>
    </w:p>
    <w:p>
      <w:pPr>
        <w:spacing w:after="0" w:line="387" w:lineRule="exact"/>
        <w:rPr>
          <w:sz w:val="20"/>
          <w:szCs w:val="20"/>
          <w:color w:val="auto"/>
        </w:rPr>
      </w:pPr>
    </w:p>
    <w:p>
      <w:pPr>
        <w:ind w:left="300"/>
        <w:spacing w:after="0"/>
        <w:tabs>
          <w:tab w:leader="none" w:pos="1180" w:val="left"/>
          <w:tab w:leader="none" w:pos="24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6/23/2020</w:t>
      </w:r>
      <w:r>
        <w:rPr>
          <w:sz w:val="20"/>
          <w:szCs w:val="20"/>
          <w:color w:val="auto"/>
        </w:rPr>
        <w:tab/>
      </w:r>
      <w:r>
        <w:rPr>
          <w:rFonts w:ascii="Arial" w:cs="Arial" w:eastAsia="Arial" w:hAnsi="Arial"/>
          <w:sz w:val="17"/>
          <w:szCs w:val="17"/>
          <w:color w:val="auto"/>
        </w:rPr>
        <w:t>3.1</w:t>
      </w:r>
    </w:p>
    <w:p>
      <w:pPr>
        <w:spacing w:after="0" w:line="200" w:lineRule="exact"/>
        <w:rPr>
          <w:sz w:val="20"/>
          <w:szCs w:val="20"/>
          <w:color w:val="auto"/>
        </w:rPr>
      </w:pPr>
    </w:p>
    <w:p>
      <w:pPr>
        <w:spacing w:after="0" w:line="214" w:lineRule="exact"/>
        <w:rPr>
          <w:sz w:val="20"/>
          <w:szCs w:val="20"/>
          <w:color w:val="auto"/>
        </w:rPr>
      </w:pPr>
    </w:p>
    <w:p>
      <w:pPr>
        <w:ind w:left="280"/>
        <w:spacing w:after="0"/>
        <w:tabs>
          <w:tab w:leader="none" w:pos="1140" w:val="left"/>
          <w:tab w:leader="none" w:pos="24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10/19/2015</w:t>
      </w:r>
      <w:r>
        <w:rPr>
          <w:sz w:val="20"/>
          <w:szCs w:val="20"/>
          <w:color w:val="auto"/>
        </w:rPr>
        <w:tab/>
      </w:r>
      <w:r>
        <w:rPr>
          <w:rFonts w:ascii="Arial" w:cs="Arial" w:eastAsia="Arial" w:hAnsi="Arial"/>
          <w:sz w:val="17"/>
          <w:szCs w:val="17"/>
          <w:color w:val="auto"/>
        </w:rPr>
        <w:t>3.2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700" w:type="dxa"/>
            <w:vAlign w:val="bottom"/>
          </w:tcPr>
          <w:p>
            <w:pPr>
              <w:jc w:val="center"/>
              <w:ind w:right="190"/>
              <w:spacing w:after="0"/>
              <w:rPr>
                <w:sz w:val="20"/>
                <w:szCs w:val="20"/>
                <w:color w:val="auto"/>
              </w:rPr>
            </w:pPr>
            <w:r>
              <w:rPr>
                <w:rFonts w:ascii="Arial" w:cs="Arial" w:eastAsia="Arial" w:hAnsi="Arial"/>
                <w:sz w:val="18"/>
                <w:szCs w:val="18"/>
                <w:color w:val="auto"/>
                <w:w w:val="93"/>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9/28/2015</w:t>
            </w: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92"/>
        </w:trPr>
        <w:tc>
          <w:tcPr>
            <w:tcW w:w="700" w:type="dxa"/>
            <w:vAlign w:val="bottom"/>
          </w:tcPr>
          <w:p>
            <w:pPr>
              <w:jc w:val="center"/>
              <w:ind w:right="190"/>
              <w:spacing w:after="0"/>
              <w:rPr>
                <w:sz w:val="20"/>
                <w:szCs w:val="20"/>
                <w:color w:val="auto"/>
              </w:rPr>
            </w:pPr>
            <w:r>
              <w:rPr>
                <w:rFonts w:ascii="Arial" w:cs="Arial" w:eastAsia="Arial" w:hAnsi="Arial"/>
                <w:sz w:val="18"/>
                <w:szCs w:val="18"/>
                <w:color w:val="auto"/>
                <w:w w:val="92"/>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7/3/2023</w:t>
            </w: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92"/>
        </w:trPr>
        <w:tc>
          <w:tcPr>
            <w:tcW w:w="700" w:type="dxa"/>
            <w:vAlign w:val="bottom"/>
          </w:tcPr>
          <w:p>
            <w:pPr>
              <w:jc w:val="center"/>
              <w:ind w:right="190"/>
              <w:spacing w:after="0"/>
              <w:rPr>
                <w:sz w:val="20"/>
                <w:szCs w:val="20"/>
                <w:color w:val="auto"/>
              </w:rPr>
            </w:pPr>
            <w:r>
              <w:rPr>
                <w:rFonts w:ascii="Arial" w:cs="Arial" w:eastAsia="Arial" w:hAnsi="Arial"/>
                <w:sz w:val="18"/>
                <w:szCs w:val="18"/>
                <w:color w:val="auto"/>
                <w:w w:val="92"/>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7/3/2023</w:t>
            </w: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269"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09"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1" w:lineRule="exact"/>
        <w:rPr>
          <w:sz w:val="20"/>
          <w:szCs w:val="20"/>
          <w:color w:val="auto"/>
        </w:rPr>
      </w:pPr>
    </w:p>
    <w:p>
      <w:pPr>
        <w:ind w:left="300"/>
        <w:spacing w:after="0"/>
        <w:tabs>
          <w:tab w:leader="none" w:pos="1220" w:val="left"/>
          <w:tab w:leader="none" w:pos="24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7/3/2023</w:t>
      </w:r>
      <w:r>
        <w:rPr>
          <w:sz w:val="20"/>
          <w:szCs w:val="20"/>
          <w:color w:val="auto"/>
        </w:rPr>
        <w:tab/>
      </w:r>
      <w:r>
        <w:rPr>
          <w:rFonts w:ascii="Arial" w:cs="Arial" w:eastAsia="Arial" w:hAnsi="Arial"/>
          <w:sz w:val="16"/>
          <w:szCs w:val="16"/>
          <w:color w:val="auto"/>
        </w:rPr>
        <w:t>10.1</w:t>
      </w:r>
    </w:p>
    <w:p>
      <w:pPr>
        <w:spacing w:after="0" w:line="200" w:lineRule="exact"/>
        <w:rPr>
          <w:sz w:val="20"/>
          <w:szCs w:val="20"/>
          <w:color w:val="auto"/>
        </w:rPr>
      </w:pPr>
    </w:p>
    <w:p>
      <w:pPr>
        <w:spacing w:after="0" w:line="201"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1"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09"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1"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pacing w:after="0" w:line="185"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pacing w:after="0" w:line="185"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pacing w:after="0" w:line="185"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pacing w:after="0" w:line="185"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pacing w:after="0" w:line="223" w:lineRule="exact"/>
        <w:rPr>
          <w:sz w:val="20"/>
          <w:szCs w:val="20"/>
          <w:color w:val="auto"/>
        </w:rPr>
      </w:pPr>
    </w:p>
    <w:p>
      <w:pPr>
        <w:sectPr>
          <w:pgSz w:w="11900" w:h="16838" w:orient="portrait"/>
          <w:cols w:equalWidth="0" w:num="2">
            <w:col w:w="7160" w:space="160"/>
            <w:col w:w="3860"/>
          </w:cols>
          <w:pgMar w:left="320" w:top="121" w:right="399" w:bottom="1440" w:gutter="0" w:footer="0" w:header="0"/>
        </w:sectPr>
      </w:pP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74" w:name="page75"/>
    <w:bookmarkEnd w:id="74"/>
    <w:tbl>
      <w:tblPr>
        <w:tblLayout w:type="fixed"/>
        <w:tblInd w:w="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7760" w:type="dxa"/>
            <w:vAlign w:val="bottom"/>
          </w:tcPr>
          <w:p>
            <w:pPr>
              <w:ind w:left="3500"/>
              <w:spacing w:after="0"/>
              <w:rPr>
                <w:sz w:val="20"/>
                <w:szCs w:val="20"/>
                <w:color w:val="auto"/>
              </w:rPr>
            </w:pPr>
            <w:r>
              <w:rPr>
                <w:rFonts w:ascii="Arial" w:cs="Arial" w:eastAsia="Arial" w:hAnsi="Arial"/>
                <w:sz w:val="18"/>
                <w:szCs w:val="18"/>
                <w:b w:val="1"/>
                <w:bCs w:val="1"/>
                <w:color w:val="auto"/>
              </w:rPr>
              <w:t>CytomX Therapeutics, Inc.</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4"/>
        </w:trPr>
        <w:tc>
          <w:tcPr>
            <w:tcW w:w="560" w:type="dxa"/>
            <w:vAlign w:val="bottom"/>
          </w:tcPr>
          <w:p>
            <w:pPr>
              <w:jc w:val="right"/>
              <w:ind w:right="210"/>
              <w:spacing w:after="0"/>
              <w:rPr>
                <w:sz w:val="20"/>
                <w:szCs w:val="20"/>
                <w:color w:val="auto"/>
              </w:rPr>
            </w:pPr>
            <w:r>
              <w:rPr>
                <w:rFonts w:ascii="Arial" w:cs="Arial" w:eastAsia="Arial" w:hAnsi="Arial"/>
                <w:sz w:val="18"/>
                <w:szCs w:val="18"/>
                <w:color w:val="auto"/>
                <w:w w:val="79"/>
              </w:rPr>
              <w:t>104</w:t>
            </w:r>
          </w:p>
        </w:tc>
        <w:tc>
          <w:tcPr>
            <w:tcW w:w="7760" w:type="dxa"/>
            <w:vAlign w:val="bottom"/>
          </w:tcPr>
          <w:p>
            <w:pPr>
              <w:ind w:left="300"/>
              <w:spacing w:after="0"/>
              <w:rPr>
                <w:sz w:val="20"/>
                <w:szCs w:val="20"/>
                <w:color w:val="auto"/>
              </w:rPr>
            </w:pPr>
            <w:r>
              <w:rPr>
                <w:rFonts w:ascii="Arial" w:cs="Arial" w:eastAsia="Arial" w:hAnsi="Arial"/>
                <w:sz w:val="18"/>
                <w:szCs w:val="18"/>
                <w:color w:val="auto"/>
              </w:rPr>
              <w:t>Cover Page Interactive Data File (formatted as inline XBRL and contained in</w:t>
            </w:r>
          </w:p>
        </w:tc>
        <w:tc>
          <w:tcPr>
            <w:tcW w:w="2020" w:type="dxa"/>
            <w:vAlign w:val="bottom"/>
            <w:vMerge w:val="restart"/>
          </w:tcPr>
          <w:p>
            <w:pPr>
              <w:ind w:left="18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22"/>
        </w:trPr>
        <w:tc>
          <w:tcPr>
            <w:tcW w:w="560" w:type="dxa"/>
            <w:vAlign w:val="bottom"/>
          </w:tcPr>
          <w:p>
            <w:pPr>
              <w:spacing w:after="0"/>
              <w:rPr>
                <w:sz w:val="10"/>
                <w:szCs w:val="10"/>
                <w:color w:val="auto"/>
              </w:rPr>
            </w:pPr>
          </w:p>
        </w:tc>
        <w:tc>
          <w:tcPr>
            <w:tcW w:w="7760" w:type="dxa"/>
            <w:vAlign w:val="bottom"/>
            <w:vMerge w:val="restart"/>
          </w:tcPr>
          <w:p>
            <w:pPr>
              <w:ind w:left="300"/>
              <w:spacing w:after="0"/>
              <w:rPr>
                <w:sz w:val="20"/>
                <w:szCs w:val="20"/>
                <w:color w:val="auto"/>
              </w:rPr>
            </w:pPr>
            <w:r>
              <w:rPr>
                <w:rFonts w:ascii="Arial" w:cs="Arial" w:eastAsia="Arial" w:hAnsi="Arial"/>
                <w:sz w:val="18"/>
                <w:szCs w:val="18"/>
                <w:color w:val="auto"/>
              </w:rPr>
              <w:t>Exhibit 101)</w:t>
            </w:r>
          </w:p>
        </w:tc>
        <w:tc>
          <w:tcPr>
            <w:tcW w:w="2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0" w:type="dxa"/>
            <w:vAlign w:val="bottom"/>
          </w:tcPr>
          <w:p>
            <w:pPr>
              <w:spacing w:after="0"/>
              <w:rPr>
                <w:sz w:val="9"/>
                <w:szCs w:val="9"/>
                <w:color w:val="auto"/>
              </w:rPr>
            </w:pPr>
          </w:p>
        </w:tc>
        <w:tc>
          <w:tcPr>
            <w:tcW w:w="7760" w:type="dxa"/>
            <w:vAlign w:val="bottom"/>
            <w:vMerge w:val="continue"/>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240" w:hanging="232"/>
        <w:spacing w:after="0"/>
        <w:tabs>
          <w:tab w:leader="none" w:pos="240" w:val="left"/>
        </w:tabs>
        <w:numPr>
          <w:ilvl w:val="0"/>
          <w:numId w:val="46"/>
        </w:numPr>
        <w:rPr>
          <w:rFonts w:ascii="Arial" w:cs="Arial" w:eastAsia="Arial" w:hAnsi="Arial"/>
          <w:sz w:val="18"/>
          <w:szCs w:val="18"/>
          <w:color w:val="auto"/>
        </w:rPr>
      </w:pPr>
      <w:r>
        <w:rPr>
          <w:rFonts w:ascii="Arial" w:cs="Arial" w:eastAsia="Arial" w:hAnsi="Arial"/>
          <w:sz w:val="16"/>
          <w:szCs w:val="16"/>
          <w:color w:val="auto"/>
        </w:rPr>
        <w:t>Certain confidential portions of this exhibit have been omitted from this exhibit.</w:t>
      </w:r>
    </w:p>
    <w:p>
      <w:pPr>
        <w:spacing w:after="0" w:line="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  Indicates management contract or compensatory plan.</w:t>
      </w:r>
    </w:p>
    <w:p>
      <w:pPr>
        <w:spacing w:after="0" w:line="220" w:lineRule="exact"/>
        <w:rPr>
          <w:sz w:val="20"/>
          <w:szCs w:val="20"/>
          <w:color w:val="auto"/>
        </w:rPr>
      </w:pPr>
    </w:p>
    <w:p>
      <w:pPr>
        <w:ind w:firstLine="8"/>
        <w:spacing w:after="0" w:line="311" w:lineRule="auto"/>
        <w:tabs>
          <w:tab w:leader="none" w:pos="132"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certifications attached as Exhibit 32.1 and 32.2 that accompany this Quarterly Report on Form 10-Q are not deemed filed with the SEC and are not to be incorporated by reference into any filing of CytomX Therapeutics, Inc. under the Securities Act of 1933, as amended, or the Securities Exchange Act of 1934, as amended, whether made before or after the date of this Form 10-Q, irrespective of any general incorporation language contained in such filing.</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jc w:val="center"/>
        <w:ind w:right="-59"/>
        <w:spacing w:after="0"/>
        <w:rPr>
          <w:sz w:val="20"/>
          <w:szCs w:val="20"/>
          <w:color w:val="auto"/>
        </w:rPr>
      </w:pPr>
      <w:r>
        <w:rPr>
          <w:rFonts w:ascii="Arial" w:cs="Arial" w:eastAsia="Arial" w:hAnsi="Arial"/>
          <w:sz w:val="18"/>
          <w:szCs w:val="18"/>
          <w:b w:val="1"/>
          <w:bCs w:val="1"/>
          <w:color w:val="auto"/>
        </w:rPr>
        <w:t>CytomX Therapeutics, Inc.</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6340"/>
        <w:spacing w:after="0"/>
        <w:rPr>
          <w:sz w:val="20"/>
          <w:szCs w:val="20"/>
          <w:color w:val="auto"/>
        </w:rPr>
      </w:pPr>
      <w:r>
        <w:rPr>
          <w:rFonts w:ascii="Arial" w:cs="Arial" w:eastAsia="Arial" w:hAnsi="Arial"/>
          <w:sz w:val="18"/>
          <w:szCs w:val="18"/>
          <w:b w:val="1"/>
          <w:bCs w:val="1"/>
          <w:color w:val="auto"/>
        </w:rPr>
        <w:t>CytomX Therapeutics, Inc.</w:t>
      </w:r>
    </w:p>
    <w:p>
      <w:pPr>
        <w:spacing w:after="0" w:line="310" w:lineRule="exact"/>
        <w:rPr>
          <w:sz w:val="20"/>
          <w:szCs w:val="20"/>
          <w:color w:val="auto"/>
        </w:rPr>
      </w:pPr>
    </w:p>
    <w:p>
      <w:pPr>
        <w:ind w:left="20"/>
        <w:spacing w:after="0"/>
        <w:tabs>
          <w:tab w:leader="none" w:pos="6320" w:val="left"/>
          <w:tab w:leader="none" w:pos="824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A.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23495</wp:posOffset>
            </wp:positionV>
            <wp:extent cx="28035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1">
                      <a:extLst>
                        <a:ext uri="{28A0092B-C50C-407E-A947-70E740481C1C}"/>
                      </a:extLst>
                    </a:blip>
                    <a:srcRect/>
                    <a:stretch>
                      <a:fillRect/>
                    </a:stretch>
                  </pic:blipFill>
                  <pic:spPr bwMode="auto">
                    <a:xfrm>
                      <a:off x="0" y="0"/>
                      <a:ext cx="2803525" cy="8255"/>
                    </a:xfrm>
                    <a:prstGeom prst="rect">
                      <a:avLst/>
                    </a:prstGeom>
                    <a:noFill/>
                  </pic:spPr>
                </pic:pic>
              </a:graphicData>
            </a:graphic>
          </wp:anchor>
        </w:drawing>
      </w:r>
    </w:p>
    <w:p>
      <w:pPr>
        <w:spacing w:after="0" w:line="26"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Sean A. McCarthy, D. Phil.</w:t>
      </w:r>
    </w:p>
    <w:p>
      <w:pPr>
        <w:spacing w:after="0" w:line="36"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Chief Executive Officer and Chairman</w:t>
      </w:r>
    </w:p>
    <w:p>
      <w:pPr>
        <w:spacing w:after="0" w:line="27"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(Principal Executive Officer)</w:t>
      </w:r>
    </w:p>
    <w:p>
      <w:pPr>
        <w:spacing w:after="0" w:line="292" w:lineRule="exact"/>
        <w:rPr>
          <w:sz w:val="20"/>
          <w:szCs w:val="20"/>
          <w:color w:val="auto"/>
        </w:rPr>
      </w:pPr>
    </w:p>
    <w:p>
      <w:pPr>
        <w:ind w:left="20"/>
        <w:spacing w:after="0"/>
        <w:tabs>
          <w:tab w:leader="none" w:pos="6320" w:val="left"/>
          <w:tab w:leader="none" w:pos="810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W. Ogden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23495</wp:posOffset>
            </wp:positionV>
            <wp:extent cx="28035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2">
                      <a:extLst>
                        <a:ext uri="{28A0092B-C50C-407E-A947-70E740481C1C}"/>
                      </a:extLst>
                    </a:blip>
                    <a:srcRect/>
                    <a:stretch>
                      <a:fillRect/>
                    </a:stretch>
                  </pic:blipFill>
                  <pic:spPr bwMode="auto">
                    <a:xfrm>
                      <a:off x="0" y="0"/>
                      <a:ext cx="2803525" cy="8255"/>
                    </a:xfrm>
                    <a:prstGeom prst="rect">
                      <a:avLst/>
                    </a:prstGeom>
                    <a:noFill/>
                  </pic:spPr>
                </pic:pic>
              </a:graphicData>
            </a:graphic>
          </wp:anchor>
        </w:drawing>
      </w:r>
    </w:p>
    <w:p>
      <w:pPr>
        <w:spacing w:after="0" w:line="26"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Christopher W. Ogden</w:t>
      </w:r>
    </w:p>
    <w:p>
      <w:pPr>
        <w:spacing w:after="0" w:line="36" w:lineRule="exact"/>
        <w:rPr>
          <w:sz w:val="20"/>
          <w:szCs w:val="20"/>
          <w:color w:val="auto"/>
        </w:rPr>
      </w:pPr>
    </w:p>
    <w:p>
      <w:pPr>
        <w:ind w:left="7240"/>
        <w:spacing w:after="0"/>
        <w:rPr>
          <w:sz w:val="20"/>
          <w:szCs w:val="20"/>
          <w:color w:val="auto"/>
        </w:rPr>
      </w:pPr>
      <w:r>
        <w:rPr>
          <w:rFonts w:ascii="Arial" w:cs="Arial" w:eastAsia="Arial" w:hAnsi="Arial"/>
          <w:sz w:val="17"/>
          <w:szCs w:val="17"/>
          <w:b w:val="1"/>
          <w:bCs w:val="1"/>
          <w:color w:val="auto"/>
        </w:rPr>
        <w:t>Senior Vice President, Finance and Accounting</w:t>
      </w:r>
    </w:p>
    <w:p>
      <w:pPr>
        <w:spacing w:after="0" w:line="39" w:lineRule="exact"/>
        <w:rPr>
          <w:sz w:val="20"/>
          <w:szCs w:val="20"/>
          <w:color w:val="auto"/>
        </w:rPr>
      </w:pPr>
    </w:p>
    <w:p>
      <w:pPr>
        <w:jc w:val="center"/>
        <w:ind w:left="6760"/>
        <w:spacing w:after="0"/>
        <w:rPr>
          <w:sz w:val="20"/>
          <w:szCs w:val="20"/>
          <w:color w:val="auto"/>
        </w:rPr>
      </w:pPr>
      <w:r>
        <w:rPr>
          <w:rFonts w:ascii="Arial" w:cs="Arial" w:eastAsia="Arial" w:hAnsi="Arial"/>
          <w:sz w:val="18"/>
          <w:szCs w:val="18"/>
          <w:i w:val="1"/>
          <w:iCs w:val="1"/>
          <w:color w:val="auto"/>
        </w:rPr>
        <w:t>(Principal Financial Officer and Principal Accounting</w:t>
      </w:r>
    </w:p>
    <w:p>
      <w:pPr>
        <w:spacing w:after="0" w:line="9" w:lineRule="exact"/>
        <w:rPr>
          <w:sz w:val="20"/>
          <w:szCs w:val="20"/>
          <w:color w:val="auto"/>
        </w:rPr>
      </w:pPr>
    </w:p>
    <w:p>
      <w:pPr>
        <w:jc w:val="center"/>
        <w:ind w:left="680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6" w:name="page77"/>
    <w:bookmarkEnd w:id="7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10.1</w:t>
      </w:r>
    </w:p>
    <w:p>
      <w:pPr>
        <w:spacing w:after="0" w:line="351"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AMENDMENT NO. 3 TO</w:t>
      </w:r>
    </w:p>
    <w:p>
      <w:pPr>
        <w:spacing w:after="0" w:line="14"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THE</w:t>
      </w:r>
    </w:p>
    <w:p>
      <w:pPr>
        <w:spacing w:after="0" w:line="3"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COLLABORATION AND LICENSE AGREEMENT</w:t>
      </w:r>
    </w:p>
    <w:p>
      <w:pPr>
        <w:spacing w:after="0" w:line="242" w:lineRule="exact"/>
        <w:rPr>
          <w:sz w:val="20"/>
          <w:szCs w:val="20"/>
          <w:color w:val="auto"/>
        </w:rPr>
      </w:pPr>
    </w:p>
    <w:p>
      <w:pPr>
        <w:jc w:val="both"/>
        <w:ind w:left="880" w:right="580" w:firstLine="749"/>
        <w:spacing w:after="0" w:line="225" w:lineRule="auto"/>
        <w:rPr>
          <w:sz w:val="20"/>
          <w:szCs w:val="20"/>
          <w:color w:val="auto"/>
        </w:rPr>
      </w:pPr>
      <w:r>
        <w:rPr>
          <w:rFonts w:ascii="Arial" w:cs="Arial" w:eastAsia="Arial" w:hAnsi="Arial"/>
          <w:sz w:val="22"/>
          <w:szCs w:val="22"/>
          <w:color w:val="auto"/>
        </w:rPr>
        <w:t>This Amendment No. 3 to the Collaboration Agreement (this “</w:t>
      </w:r>
      <w:r>
        <w:rPr>
          <w:rFonts w:ascii="Arial" w:cs="Arial" w:eastAsia="Arial" w:hAnsi="Arial"/>
          <w:sz w:val="22"/>
          <w:szCs w:val="22"/>
          <w:b w:val="1"/>
          <w:bCs w:val="1"/>
          <w:color w:val="auto"/>
        </w:rPr>
        <w:t>Amendment</w:t>
      </w:r>
      <w:r>
        <w:rPr>
          <w:rFonts w:ascii="Arial" w:cs="Arial" w:eastAsia="Arial" w:hAnsi="Arial"/>
          <w:sz w:val="22"/>
          <w:szCs w:val="22"/>
          <w:color w:val="auto"/>
        </w:rPr>
        <w:t>”) is effective as of the 18</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May, 2023 (the “</w:t>
      </w:r>
      <w:r>
        <w:rPr>
          <w:rFonts w:ascii="Arial" w:cs="Arial" w:eastAsia="Arial" w:hAnsi="Arial"/>
          <w:sz w:val="22"/>
          <w:szCs w:val="22"/>
          <w:b w:val="1"/>
          <w:bCs w:val="1"/>
          <w:color w:val="auto"/>
        </w:rPr>
        <w:t>Amendment Effective Date</w:t>
      </w:r>
      <w:r>
        <w:rPr>
          <w:rFonts w:ascii="Arial" w:cs="Arial" w:eastAsia="Arial" w:hAnsi="Arial"/>
          <w:sz w:val="22"/>
          <w:szCs w:val="22"/>
          <w:color w:val="auto"/>
        </w:rPr>
        <w:t>”) by and between Amgen Inc., a Delaware corporation having an address at One Amgen Center Drive, Thousand Oaks, California 91320 (“</w:t>
      </w:r>
      <w:r>
        <w:rPr>
          <w:rFonts w:ascii="Arial" w:cs="Arial" w:eastAsia="Arial" w:hAnsi="Arial"/>
          <w:sz w:val="22"/>
          <w:szCs w:val="22"/>
          <w:b w:val="1"/>
          <w:bCs w:val="1"/>
          <w:color w:val="auto"/>
        </w:rPr>
        <w:t>Amgen</w:t>
      </w:r>
      <w:r>
        <w:rPr>
          <w:rFonts w:ascii="Arial" w:cs="Arial" w:eastAsia="Arial" w:hAnsi="Arial"/>
          <w:sz w:val="22"/>
          <w:szCs w:val="22"/>
          <w:color w:val="auto"/>
        </w:rPr>
        <w:t>”) and CytomX Therapeutics, Inc., a Delaware corporation having an address at 151 Oyster Point Blvd., Suite 400, South San Francisco, California 94080 (“</w:t>
      </w:r>
      <w:r>
        <w:rPr>
          <w:rFonts w:ascii="Arial" w:cs="Arial" w:eastAsia="Arial" w:hAnsi="Arial"/>
          <w:sz w:val="22"/>
          <w:szCs w:val="22"/>
          <w:b w:val="1"/>
          <w:bCs w:val="1"/>
          <w:color w:val="auto"/>
        </w:rPr>
        <w:t>CytomX</w:t>
      </w:r>
      <w:r>
        <w:rPr>
          <w:rFonts w:ascii="Arial" w:cs="Arial" w:eastAsia="Arial" w:hAnsi="Arial"/>
          <w:sz w:val="22"/>
          <w:szCs w:val="22"/>
          <w:color w:val="auto"/>
        </w:rPr>
        <w:t>”). Amgen and CytomX are each hereafter referred to individually as a “</w:t>
      </w:r>
      <w:r>
        <w:rPr>
          <w:rFonts w:ascii="Arial" w:cs="Arial" w:eastAsia="Arial" w:hAnsi="Arial"/>
          <w:sz w:val="22"/>
          <w:szCs w:val="22"/>
          <w:b w:val="1"/>
          <w:bCs w:val="1"/>
          <w:color w:val="auto"/>
        </w:rPr>
        <w:t>Party</w:t>
      </w:r>
      <w:r>
        <w:rPr>
          <w:rFonts w:ascii="Arial" w:cs="Arial" w:eastAsia="Arial" w:hAnsi="Arial"/>
          <w:sz w:val="22"/>
          <w:szCs w:val="22"/>
          <w:color w:val="auto"/>
        </w:rPr>
        <w:t>” and together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207" w:lineRule="exact"/>
        <w:rPr>
          <w:sz w:val="20"/>
          <w:szCs w:val="20"/>
          <w:color w:val="auto"/>
        </w:rPr>
      </w:pPr>
    </w:p>
    <w:p>
      <w:pPr>
        <w:jc w:val="both"/>
        <w:ind w:left="880" w:right="580" w:firstLine="749"/>
        <w:spacing w:after="0" w:line="255"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Amgen and CytomX entered into that certain Collaboration and License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dated as of September 29, 2017, as amended on the 29</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September, 2020 and further amended on the 27</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October, 2021 (collectively, the “</w:t>
      </w:r>
      <w:r>
        <w:rPr>
          <w:rFonts w:ascii="Arial" w:cs="Arial" w:eastAsia="Arial" w:hAnsi="Arial"/>
          <w:sz w:val="21"/>
          <w:szCs w:val="21"/>
          <w:b w:val="1"/>
          <w:bCs w:val="1"/>
          <w:color w:val="auto"/>
        </w:rPr>
        <w:t>Collaboration Agreement</w:t>
      </w:r>
      <w:r>
        <w:rPr>
          <w:rFonts w:ascii="Arial" w:cs="Arial" w:eastAsia="Arial" w:hAnsi="Arial"/>
          <w:sz w:val="21"/>
          <w:szCs w:val="21"/>
          <w:color w:val="auto"/>
        </w:rPr>
        <w:t>”); and</w:t>
      </w:r>
    </w:p>
    <w:p>
      <w:pPr>
        <w:spacing w:after="0" w:line="96" w:lineRule="exact"/>
        <w:rPr>
          <w:sz w:val="20"/>
          <w:szCs w:val="20"/>
          <w:color w:val="auto"/>
        </w:rPr>
      </w:pPr>
    </w:p>
    <w:p>
      <w:pPr>
        <w:jc w:val="both"/>
        <w:ind w:left="880" w:right="580" w:firstLine="749"/>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Amgen and CytomX wish to amend certain additional terms of the Collaboration</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as further provided herein; and</w:t>
      </w:r>
    </w:p>
    <w:p>
      <w:pPr>
        <w:spacing w:after="0" w:line="189" w:lineRule="exact"/>
        <w:rPr>
          <w:sz w:val="20"/>
          <w:szCs w:val="20"/>
          <w:color w:val="auto"/>
        </w:rPr>
      </w:pPr>
    </w:p>
    <w:p>
      <w:pPr>
        <w:jc w:val="both"/>
        <w:ind w:left="880" w:right="580" w:firstLine="749"/>
        <w:spacing w:after="0" w:line="300"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promises and covenants hereinafter set forth,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agree to amend the Collaboration Agreement as follows. Capitalized terms used in this Amendment and not otherwise defined herein shall have the meanings ascribed to such terms in the Collaboration Agreement.</w:t>
      </w:r>
    </w:p>
    <w:p>
      <w:pPr>
        <w:spacing w:after="0" w:line="153"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PART 1 - AMENDMENTS TO CERTAIN TERMS</w:t>
      </w:r>
    </w:p>
    <w:p>
      <w:pPr>
        <w:spacing w:after="0" w:line="233" w:lineRule="exact"/>
        <w:rPr>
          <w:sz w:val="20"/>
          <w:szCs w:val="20"/>
          <w:color w:val="auto"/>
        </w:rPr>
      </w:pPr>
    </w:p>
    <w:p>
      <w:pPr>
        <w:ind w:left="1600" w:right="800" w:hanging="713"/>
        <w:spacing w:after="0" w:line="256" w:lineRule="auto"/>
        <w:tabs>
          <w:tab w:leader="none" w:pos="1600" w:val="left"/>
        </w:tabs>
        <w:numPr>
          <w:ilvl w:val="0"/>
          <w:numId w:val="48"/>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 to Section 4.4.1</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as of the Amendment Effective Date, Section 4.4.1 is hereby</w:t>
      </w:r>
      <w:r>
        <w:rPr>
          <w:rFonts w:ascii="Arial" w:cs="Arial" w:eastAsia="Arial" w:hAnsi="Arial"/>
          <w:sz w:val="22"/>
          <w:szCs w:val="22"/>
          <w:b w:val="1"/>
          <w:bCs w:val="1"/>
          <w:color w:val="auto"/>
        </w:rPr>
        <w:t xml:space="preserve"> </w:t>
      </w:r>
      <w:r>
        <w:rPr>
          <w:rFonts w:ascii="Arial" w:cs="Arial" w:eastAsia="Arial" w:hAnsi="Arial"/>
          <w:sz w:val="22"/>
          <w:szCs w:val="22"/>
          <w:color w:val="auto"/>
        </w:rPr>
        <w:t>deleted and replaced in its entirety as follows:</w:t>
      </w:r>
    </w:p>
    <w:p>
      <w:pPr>
        <w:spacing w:after="0" w:line="189" w:lineRule="exact"/>
        <w:rPr>
          <w:sz w:val="20"/>
          <w:szCs w:val="20"/>
          <w:color w:val="auto"/>
        </w:rPr>
      </w:pPr>
    </w:p>
    <w:p>
      <w:pPr>
        <w:jc w:val="both"/>
        <w:ind w:left="2380" w:right="580" w:firstLine="63"/>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4.4.1</w:t>
      </w:r>
      <w:r>
        <w:rPr>
          <w:rFonts w:ascii="Arial" w:cs="Arial" w:eastAsia="Arial" w:hAnsi="Arial"/>
          <w:sz w:val="20"/>
          <w:szCs w:val="20"/>
          <w:color w:val="auto"/>
        </w:rPr>
        <w:t xml:space="preserve"> Amgen shall have the right to elect to select (a) one (1) additional Target (the “</w:t>
      </w:r>
      <w:r>
        <w:rPr>
          <w:rFonts w:ascii="Arial" w:cs="Arial" w:eastAsia="Arial" w:hAnsi="Arial"/>
          <w:sz w:val="20"/>
          <w:szCs w:val="20"/>
          <w:b w:val="1"/>
          <w:bCs w:val="1"/>
          <w:color w:val="auto"/>
        </w:rPr>
        <w:t>First</w:t>
      </w:r>
      <w:r>
        <w:rPr>
          <w:rFonts w:ascii="Arial" w:cs="Arial" w:eastAsia="Arial" w:hAnsi="Arial"/>
          <w:sz w:val="20"/>
          <w:szCs w:val="20"/>
          <w:color w:val="auto"/>
        </w:rPr>
        <w:t xml:space="preserve"> </w:t>
      </w:r>
      <w:r>
        <w:rPr>
          <w:rFonts w:ascii="Arial" w:cs="Arial" w:eastAsia="Arial" w:hAnsi="Arial"/>
          <w:sz w:val="20"/>
          <w:szCs w:val="20"/>
          <w:b w:val="1"/>
          <w:bCs w:val="1"/>
          <w:color w:val="auto"/>
        </w:rPr>
        <w:t>Additional Amgen Target</w:t>
      </w:r>
      <w:r>
        <w:rPr>
          <w:rFonts w:ascii="Arial" w:cs="Arial" w:eastAsia="Arial" w:hAnsi="Arial"/>
          <w:sz w:val="20"/>
          <w:szCs w:val="20"/>
          <w:color w:val="auto"/>
        </w:rPr>
        <w:t>”) by nominating such additional Target at any time prior to [***]</w:t>
      </w:r>
      <w:r>
        <w:rPr>
          <w:rFonts w:ascii="Arial" w:cs="Arial" w:eastAsia="Arial" w:hAnsi="Arial"/>
          <w:sz w:val="20"/>
          <w:szCs w:val="20"/>
          <w:b w:val="1"/>
          <w:bCs w:val="1"/>
          <w:color w:val="auto"/>
        </w:rPr>
        <w:t xml:space="preserve"> </w:t>
      </w:r>
      <w:r>
        <w:rPr>
          <w:rFonts w:ascii="Arial" w:cs="Arial" w:eastAsia="Arial" w:hAnsi="Arial"/>
          <w:sz w:val="20"/>
          <w:szCs w:val="20"/>
          <w:color w:val="auto"/>
        </w:rPr>
        <w:t>(the “</w:t>
      </w:r>
      <w:r>
        <w:rPr>
          <w:rFonts w:ascii="Arial" w:cs="Arial" w:eastAsia="Arial" w:hAnsi="Arial"/>
          <w:sz w:val="20"/>
          <w:szCs w:val="20"/>
          <w:b w:val="1"/>
          <w:bCs w:val="1"/>
          <w:color w:val="auto"/>
        </w:rPr>
        <w:t>First Additional Amgen Target Selection Date</w:t>
      </w:r>
      <w:r>
        <w:rPr>
          <w:rFonts w:ascii="Arial" w:cs="Arial" w:eastAsia="Arial" w:hAnsi="Arial"/>
          <w:sz w:val="20"/>
          <w:szCs w:val="20"/>
          <w:color w:val="auto"/>
        </w:rPr>
        <w:t>”) for inclusion under this Agreement, subject to Section 4.4.2 and (b) a second (2</w:t>
      </w:r>
      <w:r>
        <w:rPr>
          <w:rFonts w:ascii="Arial" w:cs="Arial" w:eastAsia="Arial" w:hAnsi="Arial"/>
          <w:sz w:val="26"/>
          <w:szCs w:val="26"/>
          <w:color w:val="auto"/>
          <w:vertAlign w:val="superscript"/>
        </w:rPr>
        <w:t>nd</w:t>
      </w:r>
      <w:r>
        <w:rPr>
          <w:rFonts w:ascii="Arial" w:cs="Arial" w:eastAsia="Arial" w:hAnsi="Arial"/>
          <w:sz w:val="20"/>
          <w:szCs w:val="20"/>
          <w:color w:val="auto"/>
        </w:rPr>
        <w:t>) additional Target (the “</w:t>
      </w:r>
      <w:r>
        <w:rPr>
          <w:rFonts w:ascii="Arial" w:cs="Arial" w:eastAsia="Arial" w:hAnsi="Arial"/>
          <w:sz w:val="20"/>
          <w:szCs w:val="20"/>
          <w:b w:val="1"/>
          <w:bCs w:val="1"/>
          <w:color w:val="auto"/>
        </w:rPr>
        <w:t>Second Additional</w:t>
      </w:r>
      <w:r>
        <w:rPr>
          <w:rFonts w:ascii="Arial" w:cs="Arial" w:eastAsia="Arial" w:hAnsi="Arial"/>
          <w:sz w:val="20"/>
          <w:szCs w:val="20"/>
          <w:color w:val="auto"/>
        </w:rPr>
        <w:t xml:space="preserve"> </w:t>
      </w:r>
      <w:r>
        <w:rPr>
          <w:rFonts w:ascii="Arial" w:cs="Arial" w:eastAsia="Arial" w:hAnsi="Arial"/>
          <w:sz w:val="20"/>
          <w:szCs w:val="20"/>
          <w:b w:val="1"/>
          <w:bCs w:val="1"/>
          <w:color w:val="auto"/>
        </w:rPr>
        <w:t>Amgen Target</w:t>
      </w:r>
      <w:r>
        <w:rPr>
          <w:rFonts w:ascii="Arial" w:cs="Arial" w:eastAsia="Arial" w:hAnsi="Arial"/>
          <w:sz w:val="20"/>
          <w:szCs w:val="20"/>
          <w:color w:val="auto"/>
        </w:rPr>
        <w:t>” and, together with the First Additional Amgen Target, the “</w:t>
      </w:r>
      <w:r>
        <w:rPr>
          <w:rFonts w:ascii="Arial" w:cs="Arial" w:eastAsia="Arial" w:hAnsi="Arial"/>
          <w:sz w:val="20"/>
          <w:szCs w:val="20"/>
          <w:b w:val="1"/>
          <w:bCs w:val="1"/>
          <w:color w:val="auto"/>
        </w:rPr>
        <w:t>Additional Amgen Targets</w:t>
      </w:r>
      <w:r>
        <w:rPr>
          <w:rFonts w:ascii="Arial" w:cs="Arial" w:eastAsia="Arial" w:hAnsi="Arial"/>
          <w:sz w:val="20"/>
          <w:szCs w:val="20"/>
          <w:color w:val="auto"/>
        </w:rPr>
        <w:t>”) by nominating such additional Target at any time prior to</w:t>
      </w:r>
      <w:r>
        <w:rPr>
          <w:rFonts w:ascii="Arial" w:cs="Arial" w:eastAsia="Arial" w:hAnsi="Arial"/>
          <w:sz w:val="20"/>
          <w:szCs w:val="20"/>
          <w:b w:val="1"/>
          <w:bCs w:val="1"/>
          <w:color w:val="auto"/>
        </w:rPr>
        <w:t xml:space="preserve"> </w:t>
      </w:r>
      <w:r>
        <w:rPr>
          <w:rFonts w:ascii="Arial" w:cs="Arial" w:eastAsia="Arial" w:hAnsi="Arial"/>
          <w:sz w:val="16"/>
          <w:szCs w:val="16"/>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w:t>
      </w:r>
      <w:r>
        <w:rPr>
          <w:rFonts w:ascii="Arial" w:cs="Arial" w:eastAsia="Arial" w:hAnsi="Arial"/>
          <w:sz w:val="20"/>
          <w:szCs w:val="20"/>
          <w:b w:val="1"/>
          <w:bCs w:val="1"/>
          <w:color w:val="auto"/>
        </w:rPr>
        <w:t xml:space="preserve"> Second Additional Amgen Target Selection Date</w:t>
      </w:r>
      <w:r>
        <w:rPr>
          <w:rFonts w:ascii="Arial" w:cs="Arial" w:eastAsia="Arial" w:hAnsi="Arial"/>
          <w:sz w:val="20"/>
          <w:szCs w:val="20"/>
          <w:color w:val="auto"/>
        </w:rPr>
        <w:t>” and, together with the First Additional Amgen</w:t>
      </w:r>
      <w:r>
        <w:rPr>
          <w:rFonts w:ascii="Arial" w:cs="Arial" w:eastAsia="Arial" w:hAnsi="Arial"/>
          <w:sz w:val="20"/>
          <w:szCs w:val="20"/>
          <w:b w:val="1"/>
          <w:bCs w:val="1"/>
          <w:color w:val="auto"/>
        </w:rPr>
        <w:t xml:space="preserve"> </w:t>
      </w:r>
      <w:r>
        <w:rPr>
          <w:rFonts w:ascii="Arial" w:cs="Arial" w:eastAsia="Arial" w:hAnsi="Arial"/>
          <w:sz w:val="20"/>
          <w:szCs w:val="20"/>
          <w:color w:val="auto"/>
        </w:rPr>
        <w:t>Target Selection Date, the “</w:t>
      </w:r>
      <w:r>
        <w:rPr>
          <w:rFonts w:ascii="Arial" w:cs="Arial" w:eastAsia="Arial" w:hAnsi="Arial"/>
          <w:sz w:val="20"/>
          <w:szCs w:val="20"/>
          <w:b w:val="1"/>
          <w:bCs w:val="1"/>
          <w:color w:val="auto"/>
        </w:rPr>
        <w:t>Selection Dates</w:t>
      </w:r>
      <w:r>
        <w:rPr>
          <w:rFonts w:ascii="Arial" w:cs="Arial" w:eastAsia="Arial" w:hAnsi="Arial"/>
          <w:sz w:val="20"/>
          <w:szCs w:val="20"/>
          <w:color w:val="auto"/>
        </w:rPr>
        <w:t>”) for inclusion under this Agreement, subject to Section 4.4.2 (collectively, the “</w:t>
      </w:r>
      <w:r>
        <w:rPr>
          <w:rFonts w:ascii="Arial" w:cs="Arial" w:eastAsia="Arial" w:hAnsi="Arial"/>
          <w:sz w:val="20"/>
          <w:szCs w:val="20"/>
          <w:b w:val="1"/>
          <w:bCs w:val="1"/>
          <w:color w:val="auto"/>
        </w:rPr>
        <w:t>Amgen Expansion Option</w:t>
      </w:r>
      <w:r>
        <w:rPr>
          <w:rFonts w:ascii="Arial" w:cs="Arial" w:eastAsia="Arial" w:hAnsi="Arial"/>
          <w:sz w:val="20"/>
          <w:szCs w:val="20"/>
          <w:color w:val="auto"/>
        </w:rPr>
        <w:t>”).”</w:t>
      </w:r>
    </w:p>
    <w:p>
      <w:pPr>
        <w:spacing w:after="0" w:line="200" w:lineRule="exact"/>
        <w:rPr>
          <w:sz w:val="20"/>
          <w:szCs w:val="20"/>
          <w:color w:val="auto"/>
        </w:rPr>
      </w:pPr>
    </w:p>
    <w:p>
      <w:pPr>
        <w:spacing w:after="0" w:line="317"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PART 2 – REFERENCE TO AND EFFECT ON THE COLLABORATION</w:t>
      </w:r>
    </w:p>
    <w:p>
      <w:pPr>
        <w:spacing w:after="0" w:line="14"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AGREEMENT</w:t>
      </w:r>
    </w:p>
    <w:p>
      <w:pPr>
        <w:spacing w:after="0" w:line="209" w:lineRule="exact"/>
        <w:rPr>
          <w:sz w:val="20"/>
          <w:szCs w:val="20"/>
          <w:color w:val="auto"/>
        </w:rPr>
      </w:pPr>
    </w:p>
    <w:p>
      <w:pPr>
        <w:ind w:left="1600" w:right="580" w:hanging="705"/>
        <w:spacing w:after="0" w:line="256" w:lineRule="auto"/>
        <w:tabs>
          <w:tab w:leader="none" w:pos="15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b w:val="1"/>
          <w:bCs w:val="1"/>
          <w:u w:val="single" w:color="auto"/>
          <w:color w:val="auto"/>
        </w:rPr>
        <w:t>Reference to Collaboration Agreement</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Upon and after the effectiveness of this Amendment, each</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reference in the Collaboration Agreement to “this Agreement”,</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02" w:right="339" w:bottom="1440" w:gutter="0" w:footer="0" w:header="0"/>
        </w:sectPr>
      </w:pPr>
    </w:p>
    <w:bookmarkStart w:id="78" w:name="page79"/>
    <w:bookmarkEnd w:id="78"/>
    <w:p>
      <w:pPr>
        <w:ind w:left="1600"/>
        <w:spacing w:after="0" w:line="250" w:lineRule="auto"/>
        <w:rPr>
          <w:sz w:val="20"/>
          <w:szCs w:val="20"/>
          <w:color w:val="auto"/>
        </w:rPr>
      </w:pPr>
      <w:r>
        <w:rPr>
          <w:rFonts w:ascii="Arial" w:cs="Arial" w:eastAsia="Arial" w:hAnsi="Arial"/>
          <w:sz w:val="22"/>
          <w:szCs w:val="22"/>
          <w:color w:val="auto"/>
        </w:rPr>
        <w:t>“hereunder”, “hereof” or words of like import referring to the Collaboration Agreement shall mean and be a reference to the Collaboration Agreement as modified and amended hereby.</w:t>
      </w:r>
    </w:p>
    <w:p>
      <w:pPr>
        <w:spacing w:after="0" w:line="196" w:lineRule="exact"/>
        <w:rPr>
          <w:sz w:val="20"/>
          <w:szCs w:val="20"/>
          <w:color w:val="auto"/>
        </w:rPr>
      </w:pPr>
    </w:p>
    <w:p>
      <w:pPr>
        <w:jc w:val="both"/>
        <w:ind w:left="1600" w:hanging="705"/>
        <w:spacing w:after="0" w:line="237" w:lineRule="auto"/>
        <w:tabs>
          <w:tab w:leader="none" w:pos="15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b w:val="1"/>
          <w:bCs w:val="1"/>
          <w:u w:val="single" w:color="auto"/>
          <w:color w:val="auto"/>
        </w:rPr>
        <w:t>Effectiveness of Amendment</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Upon execution and delivery of this Amendment by the Parties,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amendments set forth above shall be effective as of the Amendment Effective Date. Except as specifically amended above, the Collaboration Agreement is and shall continue to be in full force and effect and is hereby in all respects ratified and confirmed and shall constitute the legal, valid, binding and enforceable obligations of the Parties.</w:t>
      </w:r>
    </w:p>
    <w:p>
      <w:pPr>
        <w:spacing w:after="0" w:line="276" w:lineRule="exact"/>
        <w:rPr>
          <w:sz w:val="20"/>
          <w:szCs w:val="20"/>
          <w:color w:val="auto"/>
        </w:rPr>
      </w:pPr>
    </w:p>
    <w:p>
      <w:pPr>
        <w:jc w:val="center"/>
        <w:ind w:right="-879"/>
        <w:spacing w:after="0"/>
        <w:rPr>
          <w:sz w:val="20"/>
          <w:szCs w:val="20"/>
          <w:color w:val="auto"/>
        </w:rPr>
      </w:pPr>
      <w:r>
        <w:rPr>
          <w:rFonts w:ascii="Arial" w:cs="Arial" w:eastAsia="Arial" w:hAnsi="Arial"/>
          <w:sz w:val="22"/>
          <w:szCs w:val="22"/>
          <w:b w:val="1"/>
          <w:bCs w:val="1"/>
          <w:color w:val="auto"/>
        </w:rPr>
        <w:t>PART 3 – MISCELLANEOUS</w:t>
      </w:r>
    </w:p>
    <w:p>
      <w:pPr>
        <w:spacing w:after="0" w:line="166" w:lineRule="exact"/>
        <w:rPr>
          <w:sz w:val="20"/>
          <w:szCs w:val="20"/>
          <w:color w:val="auto"/>
        </w:rPr>
      </w:pPr>
    </w:p>
    <w:p>
      <w:pPr>
        <w:jc w:val="both"/>
        <w:ind w:left="1600" w:hanging="705"/>
        <w:spacing w:after="0" w:line="271" w:lineRule="auto"/>
        <w:tabs>
          <w:tab w:leader="none" w:pos="15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b w:val="1"/>
          <w:bCs w:val="1"/>
          <w:u w:val="single" w:color="auto"/>
          <w:color w:val="auto"/>
        </w:rPr>
        <w:t>Choice of Law; Jurisdiction</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This Amendment and its effect are subject to and shall be construed and</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enforced in accordance with the law of the State of New York, without regard to its conflicts of laws, except as to any issue which depends upon the validity, scope or enforceability of any Amgen Patent, CytomX Patent or Collaboration Patent, which issue shall be determined in accordance with the laws of the country in which such patent was issued. Each of the Parties hereby irrevocably and unconditionally consents to submit to the exclusive jurisdiction of the courts of the State of New York located in the City of New York for any matter arising out of or relating to this Amendment and the transactions contemplated hereby, and agrees not to commence any litigation relating thereto except in such courts. Each of the Parties hereby irrevocably and unconditionally waives any objection to the laying of venue of any matter arising out of this Amendment or the transactions contemplated hereby in the courts of the State of New York located in the City of New York and hereby further irrevocably and unconditionally waives and agrees not to plead or claim in any such court that any such matter brought in any such court has been brought in an inconvenient forum. The Parties agree that a final judgment in any such matter shall be conclusive and may be enforced in other jurisdictions by suits on the judgment or in any other manner provided by law. Any proceeding brought by either Party under this Amendment shall be exclusively conducted in the English language.</w:t>
      </w:r>
    </w:p>
    <w:p>
      <w:pPr>
        <w:spacing w:after="0" w:line="116" w:lineRule="exact"/>
        <w:rPr>
          <w:sz w:val="20"/>
          <w:szCs w:val="20"/>
          <w:color w:val="auto"/>
        </w:rPr>
      </w:pPr>
    </w:p>
    <w:p>
      <w:pPr>
        <w:jc w:val="both"/>
        <w:ind w:left="1600" w:hanging="705"/>
        <w:spacing w:after="0" w:line="256" w:lineRule="auto"/>
        <w:tabs>
          <w:tab w:leader="none" w:pos="15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2"/>
          <w:szCs w:val="22"/>
          <w:b w:val="1"/>
          <w:bCs w:val="1"/>
          <w:u w:val="single" w:color="auto"/>
          <w:color w:val="auto"/>
        </w:rPr>
        <w:t>Headings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Article and Section headings used herein are for convenient reference only, and are not a</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part of this Amendment.</w:t>
      </w:r>
    </w:p>
    <w:p>
      <w:pPr>
        <w:spacing w:after="0" w:line="122" w:lineRule="exact"/>
        <w:rPr>
          <w:sz w:val="20"/>
          <w:szCs w:val="20"/>
          <w:color w:val="auto"/>
        </w:rPr>
      </w:pPr>
    </w:p>
    <w:p>
      <w:pPr>
        <w:jc w:val="both"/>
        <w:ind w:left="1600" w:hanging="705"/>
        <w:spacing w:after="0" w:line="237" w:lineRule="auto"/>
        <w:tabs>
          <w:tab w:leader="none" w:pos="15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This Amendment may be executed in any number of counterparts, each of which shall</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be an original, but all of which together shall constitute one instrument. This Amendment may be executed and delivered electronically or by facsimile and upon such delivery such electronic or facsimile signature will be deemed to have the same effect as if the original signature had been delivered to the other Party.</w:t>
      </w:r>
    </w:p>
    <w:p>
      <w:pPr>
        <w:spacing w:after="0" w:line="120"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400" w:top="699" w:right="919" w:bottom="1440" w:gutter="0" w:footer="0" w:header="0"/>
        </w:sectPr>
      </w:pPr>
    </w:p>
    <w:bookmarkStart w:id="79" w:name="page80"/>
    <w:bookmarkEnd w:id="79"/>
    <w:p>
      <w:pPr>
        <w:ind w:left="960" w:right="1060" w:firstLine="749"/>
        <w:spacing w:after="0" w:line="250" w:lineRule="auto"/>
        <w:rPr>
          <w:sz w:val="20"/>
          <w:szCs w:val="20"/>
          <w:color w:val="auto"/>
        </w:rPr>
      </w:pPr>
      <w:r>
        <w:rPr>
          <w:rFonts w:ascii="Arial" w:cs="Arial" w:eastAsia="Arial" w:hAnsi="Arial"/>
          <w:sz w:val="22"/>
          <w:szCs w:val="22"/>
          <w:color w:val="auto"/>
        </w:rPr>
        <w:t>IN WITNESS THEREOF, duly authorized representatives of the Parties hereto have executed this Amendment No. 3 as of the date first set forth above.</w:t>
      </w:r>
    </w:p>
    <w:p>
      <w:pPr>
        <w:spacing w:after="0" w:line="200" w:lineRule="exact"/>
        <w:rPr>
          <w:sz w:val="20"/>
          <w:szCs w:val="20"/>
          <w:color w:val="auto"/>
        </w:rPr>
      </w:pPr>
    </w:p>
    <w:p>
      <w:pPr>
        <w:spacing w:after="0" w:line="374" w:lineRule="exact"/>
        <w:rPr>
          <w:sz w:val="20"/>
          <w:szCs w:val="20"/>
          <w:color w:val="auto"/>
        </w:rPr>
      </w:pPr>
    </w:p>
    <w:p>
      <w:pPr>
        <w:ind w:left="1160"/>
        <w:spacing w:after="0"/>
        <w:rPr>
          <w:sz w:val="20"/>
          <w:szCs w:val="20"/>
          <w:color w:val="auto"/>
        </w:rPr>
      </w:pPr>
      <w:r>
        <w:rPr>
          <w:rFonts w:ascii="Arial" w:cs="Arial" w:eastAsia="Arial" w:hAnsi="Arial"/>
          <w:sz w:val="22"/>
          <w:szCs w:val="22"/>
          <w:b w:val="1"/>
          <w:bCs w:val="1"/>
          <w:color w:val="auto"/>
        </w:rPr>
        <w:t>AMGEN INC.</w:t>
      </w:r>
    </w:p>
    <w:p>
      <w:pPr>
        <w:spacing w:after="0" w:line="338" w:lineRule="exact"/>
        <w:rPr>
          <w:sz w:val="20"/>
          <w:szCs w:val="20"/>
          <w:color w:val="auto"/>
        </w:rPr>
      </w:pPr>
    </w:p>
    <w:p>
      <w:pPr>
        <w:ind w:left="1140"/>
        <w:spacing w:after="0"/>
        <w:tabs>
          <w:tab w:leader="none" w:pos="20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Angela Coxon</w:t>
      </w:r>
    </w:p>
    <w:p>
      <w:pPr>
        <w:spacing w:after="0" w:line="76" w:lineRule="exact"/>
        <w:rPr>
          <w:sz w:val="20"/>
          <w:szCs w:val="20"/>
          <w:color w:val="auto"/>
        </w:rPr>
      </w:pPr>
    </w:p>
    <w:p>
      <w:pPr>
        <w:ind w:left="1160"/>
        <w:spacing w:after="0"/>
        <w:tabs>
          <w:tab w:leader="none" w:pos="2000" w:val="left"/>
        </w:tabs>
        <w:rPr>
          <w:sz w:val="20"/>
          <w:szCs w:val="20"/>
          <w:color w:val="auto"/>
        </w:rPr>
      </w:pPr>
      <w:r>
        <w:rPr>
          <w:rFonts w:ascii="Arial" w:cs="Arial" w:eastAsia="Arial" w:hAnsi="Arial"/>
          <w:sz w:val="22"/>
          <w:szCs w:val="22"/>
          <w:color w:val="auto"/>
        </w:rPr>
        <w:t>Name:</w:t>
        <w:tab/>
        <w:t>Angela Coxon</w:t>
      </w:r>
    </w:p>
    <w:p>
      <w:pPr>
        <w:spacing w:after="0" w:line="98" w:lineRule="exact"/>
        <w:rPr>
          <w:sz w:val="20"/>
          <w:szCs w:val="20"/>
          <w:color w:val="auto"/>
        </w:rPr>
      </w:pPr>
    </w:p>
    <w:p>
      <w:pPr>
        <w:ind w:left="1160"/>
        <w:spacing w:after="0"/>
        <w:tabs>
          <w:tab w:leader="none" w:pos="20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VP, Research</w:t>
      </w:r>
    </w:p>
    <w:p>
      <w:pPr>
        <w:spacing w:after="0" w:line="200" w:lineRule="exact"/>
        <w:rPr>
          <w:sz w:val="20"/>
          <w:szCs w:val="20"/>
          <w:color w:val="auto"/>
        </w:rPr>
      </w:pPr>
    </w:p>
    <w:p>
      <w:pPr>
        <w:spacing w:after="0" w:line="284" w:lineRule="exact"/>
        <w:rPr>
          <w:sz w:val="20"/>
          <w:szCs w:val="20"/>
          <w:color w:val="auto"/>
        </w:rPr>
      </w:pPr>
    </w:p>
    <w:p>
      <w:pPr>
        <w:ind w:left="1160"/>
        <w:spacing w:after="0"/>
        <w:rPr>
          <w:sz w:val="20"/>
          <w:szCs w:val="20"/>
          <w:color w:val="auto"/>
        </w:rPr>
      </w:pPr>
      <w:r>
        <w:rPr>
          <w:rFonts w:ascii="Arial" w:cs="Arial" w:eastAsia="Arial" w:hAnsi="Arial"/>
          <w:sz w:val="22"/>
          <w:szCs w:val="22"/>
          <w:b w:val="1"/>
          <w:bCs w:val="1"/>
          <w:color w:val="auto"/>
        </w:rPr>
        <w:t>CYTOMX THERAPEUTICS, INC.</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820" w:type="dxa"/>
            <w:vAlign w:val="bottom"/>
          </w:tcPr>
          <w:p>
            <w:pPr>
              <w:ind w:left="1160"/>
              <w:spacing w:after="0"/>
              <w:rPr>
                <w:sz w:val="20"/>
                <w:szCs w:val="20"/>
                <w:color w:val="auto"/>
              </w:rPr>
            </w:pPr>
            <w:r>
              <w:rPr>
                <w:rFonts w:ascii="Arial" w:cs="Arial" w:eastAsia="Arial" w:hAnsi="Arial"/>
                <w:sz w:val="20"/>
                <w:szCs w:val="20"/>
                <w:color w:val="auto"/>
              </w:rPr>
              <w:t>By:</w:t>
            </w:r>
          </w:p>
        </w:tc>
        <w:tc>
          <w:tcPr>
            <w:tcW w:w="9420" w:type="dxa"/>
            <w:vAlign w:val="bottom"/>
          </w:tcPr>
          <w:p>
            <w:pPr>
              <w:ind w:left="140"/>
              <w:spacing w:after="0"/>
              <w:rPr>
                <w:sz w:val="20"/>
                <w:szCs w:val="20"/>
                <w:color w:val="auto"/>
              </w:rPr>
            </w:pPr>
            <w:r>
              <w:rPr>
                <w:rFonts w:ascii="Arial" w:cs="Arial" w:eastAsia="Arial" w:hAnsi="Arial"/>
                <w:sz w:val="20"/>
                <w:szCs w:val="20"/>
                <w:color w:val="auto"/>
              </w:rPr>
              <w:t>/s/ Lloyd Rowland</w:t>
            </w:r>
          </w:p>
        </w:tc>
      </w:tr>
      <w:tr>
        <w:trPr>
          <w:trHeight w:val="432"/>
        </w:trPr>
        <w:tc>
          <w:tcPr>
            <w:tcW w:w="1820" w:type="dxa"/>
            <w:vAlign w:val="bottom"/>
          </w:tcPr>
          <w:p>
            <w:pPr>
              <w:ind w:left="1160"/>
              <w:spacing w:after="0"/>
              <w:rPr>
                <w:sz w:val="20"/>
                <w:szCs w:val="20"/>
                <w:color w:val="auto"/>
              </w:rPr>
            </w:pPr>
            <w:r>
              <w:rPr>
                <w:rFonts w:ascii="Arial" w:cs="Arial" w:eastAsia="Arial" w:hAnsi="Arial"/>
                <w:sz w:val="20"/>
                <w:szCs w:val="20"/>
                <w:color w:val="auto"/>
              </w:rPr>
              <w:t>Name:</w:t>
            </w:r>
          </w:p>
        </w:tc>
        <w:tc>
          <w:tcPr>
            <w:tcW w:w="9420" w:type="dxa"/>
            <w:vAlign w:val="bottom"/>
          </w:tcPr>
          <w:p>
            <w:pPr>
              <w:ind w:left="140"/>
              <w:spacing w:after="0"/>
              <w:rPr>
                <w:sz w:val="20"/>
                <w:szCs w:val="20"/>
                <w:color w:val="auto"/>
              </w:rPr>
            </w:pPr>
            <w:r>
              <w:rPr>
                <w:rFonts w:ascii="Arial" w:cs="Arial" w:eastAsia="Arial" w:hAnsi="Arial"/>
                <w:sz w:val="20"/>
                <w:szCs w:val="20"/>
                <w:color w:val="auto"/>
              </w:rPr>
              <w:t>Lloyd Rowland</w:t>
            </w:r>
          </w:p>
        </w:tc>
      </w:tr>
      <w:tr>
        <w:trPr>
          <w:trHeight w:val="351"/>
        </w:trPr>
        <w:tc>
          <w:tcPr>
            <w:tcW w:w="1820" w:type="dxa"/>
            <w:vAlign w:val="bottom"/>
          </w:tcPr>
          <w:p>
            <w:pPr>
              <w:ind w:left="1160"/>
              <w:spacing w:after="0"/>
              <w:rPr>
                <w:sz w:val="20"/>
                <w:szCs w:val="20"/>
                <w:color w:val="auto"/>
              </w:rPr>
            </w:pPr>
            <w:r>
              <w:rPr>
                <w:rFonts w:ascii="Arial" w:cs="Arial" w:eastAsia="Arial" w:hAnsi="Arial"/>
                <w:sz w:val="20"/>
                <w:szCs w:val="20"/>
                <w:color w:val="auto"/>
              </w:rPr>
              <w:t>Title:</w:t>
            </w:r>
          </w:p>
        </w:tc>
        <w:tc>
          <w:tcPr>
            <w:tcW w:w="9420" w:type="dxa"/>
            <w:vAlign w:val="bottom"/>
          </w:tcPr>
          <w:p>
            <w:pPr>
              <w:ind w:left="140"/>
              <w:spacing w:after="0"/>
              <w:rPr>
                <w:sz w:val="20"/>
                <w:szCs w:val="20"/>
                <w:color w:val="auto"/>
              </w:rPr>
            </w:pPr>
            <w:r>
              <w:rPr>
                <w:rFonts w:ascii="Arial" w:cs="Arial" w:eastAsia="Arial" w:hAnsi="Arial"/>
                <w:sz w:val="20"/>
                <w:szCs w:val="20"/>
                <w:color w:val="auto"/>
              </w:rPr>
              <w:t>Sr. V.P., General Counsel</w:t>
            </w:r>
          </w:p>
        </w:tc>
      </w:tr>
      <w:tr>
        <w:trPr>
          <w:trHeight w:val="934"/>
        </w:trPr>
        <w:tc>
          <w:tcPr>
            <w:tcW w:w="1820" w:type="dxa"/>
            <w:vAlign w:val="bottom"/>
            <w:tcBorders>
              <w:bottom w:val="single" w:sz="8" w:color="9A9A9A"/>
            </w:tcBorders>
          </w:tcPr>
          <w:p>
            <w:pPr>
              <w:spacing w:after="0"/>
              <w:rPr>
                <w:sz w:val="24"/>
                <w:szCs w:val="24"/>
                <w:color w:val="auto"/>
              </w:rPr>
            </w:pPr>
          </w:p>
        </w:tc>
        <w:tc>
          <w:tcPr>
            <w:tcW w:w="9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80" w:name="page81"/>
    <w:bookmarkEnd w:id="8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1" w:name="page82"/>
    <w:bookmarkEnd w:id="81"/>
    <w:p>
      <w:pPr>
        <w:spacing w:after="0" w:line="2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03375" cy="9086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1603375" cy="90868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5"/>
          <w:szCs w:val="25"/>
          <w:b w:val="1"/>
          <w:bCs w:val="1"/>
          <w:color w:val="auto"/>
        </w:rPr>
        <w:t>Exhibit 10.2</w:t>
      </w:r>
    </w:p>
    <w:p>
      <w:pPr>
        <w:spacing w:after="0" w:line="106" w:lineRule="exact"/>
        <w:rPr>
          <w:sz w:val="20"/>
          <w:szCs w:val="20"/>
          <w:color w:val="auto"/>
        </w:rPr>
      </w:pPr>
    </w:p>
    <w:p>
      <w:pPr>
        <w:spacing w:after="0"/>
        <w:rPr>
          <w:sz w:val="20"/>
          <w:szCs w:val="20"/>
          <w:color w:val="auto"/>
        </w:rPr>
      </w:pPr>
      <w:r>
        <w:rPr>
          <w:rFonts w:ascii="Arial" w:cs="Arial" w:eastAsia="Arial" w:hAnsi="Arial"/>
          <w:sz w:val="25"/>
          <w:szCs w:val="25"/>
          <w:color w:val="auto"/>
        </w:rPr>
        <w:t>Amended and Restated Severance and Change of Control Agreement</w:t>
      </w:r>
    </w:p>
    <w:p>
      <w:pPr>
        <w:spacing w:after="0" w:line="275" w:lineRule="exact"/>
        <w:rPr>
          <w:sz w:val="20"/>
          <w:szCs w:val="20"/>
          <w:color w:val="auto"/>
        </w:rPr>
      </w:pPr>
    </w:p>
    <w:p>
      <w:pPr>
        <w:spacing w:after="0" w:line="290" w:lineRule="auto"/>
        <w:rPr>
          <w:sz w:val="20"/>
          <w:szCs w:val="20"/>
          <w:color w:val="auto"/>
        </w:rPr>
      </w:pPr>
      <w:r>
        <w:rPr>
          <w:rFonts w:ascii="Arial" w:cs="Arial" w:eastAsia="Arial" w:hAnsi="Arial"/>
          <w:sz w:val="19"/>
          <w:szCs w:val="19"/>
          <w:color w:val="auto"/>
        </w:rPr>
        <w:t>This Amended and Restated Severance and Change of Control Agreement (the “Agreement”) is made and entered into, efectve as of [ ] (the “Efectve Date”), by and between CytomX Therapeutcs, Inc. a Delaware corporaton (the “Company”), and [ ] (“Employee”).</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Upon acceptance of this Agreement, the following terms and conditons shall apply to your employment:</w:t>
      </w:r>
    </w:p>
    <w:p>
      <w:pPr>
        <w:spacing w:after="0" w:line="268" w:lineRule="exact"/>
        <w:rPr>
          <w:sz w:val="20"/>
          <w:szCs w:val="20"/>
          <w:color w:val="auto"/>
        </w:rPr>
      </w:pPr>
    </w:p>
    <w:p>
      <w:pPr>
        <w:jc w:val="both"/>
        <w:ind w:left="760" w:hanging="378"/>
        <w:spacing w:after="0" w:line="283" w:lineRule="auto"/>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Term of Employment and Severance Benefts</w:t>
      </w:r>
      <w:r>
        <w:rPr>
          <w:rFonts w:ascii="Arial" w:cs="Arial" w:eastAsia="Arial" w:hAnsi="Arial"/>
          <w:sz w:val="18"/>
          <w:szCs w:val="18"/>
          <w:color w:val="auto"/>
        </w:rPr>
        <w:t>. It is important for you to understand that California is an "at will" employment state. This</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that you will have the right to terminate your employment relatonship with the Company at any tme for any reason. Similarly, the Company will have the right to terminate its employment relatonship with you at any tme for any reason. Your employment and this Agreement will be governed by the laws of California, without regard to the confict of law rules thereof. Notwithstanding the foregoing, in the event that, other than during a Change of Control Period (as defned below), the Company terminates your employment at any tme without Cause (as defned below), or if you terminate your employment for Good Reason (as defned below), then the Company shall pay you a lump sum amount equal to (i) twelve (12) months of your then current base salary (without giving any efect to any reducton thereof which may consttute Good Reason), plus (ii) the annual bonus you are eligible to receive for the Calendar year in which your terminaton occurs assuming performance is achieved at target and pro-rated based on your terminaton date, which will be payable within the period of tme set forth in Secton 3 below following your terminaton of employment. In additon, the Company will provide and pay the premium cost for you and your dependents of medical and dental insurance benefts to the extent you were receiving such benefts immediately prior to your terminaton date from the date of your terminaton of employment through the earlier of the twelve (12) month anniversary of the terminaton of your employment, or the date you become eligible for medical and dental insurance benefts from a subsequent employer, provided, that you tmely elect "COBRA" coverage under the Company group health insurance plan under which coverage was being provided to you at the tme when your employment terminates. If the Company is unable to provide such medical and dental insurance benefts or "COBRA" coverage is not available to you as of the tme when your employment is terminated, then the Company will pay to you a lump sum equal to the premium cost of the benefts provided for the twelve (12) months prior to your terminaton, payable within the period of tme set forth in Secton 3 below following your terminaton of employment.</w:t>
      </w:r>
    </w:p>
    <w:p>
      <w:pPr>
        <w:spacing w:after="0" w:line="222" w:lineRule="exact"/>
        <w:rPr>
          <w:rFonts w:ascii="Arial" w:cs="Arial" w:eastAsia="Arial" w:hAnsi="Arial"/>
          <w:sz w:val="18"/>
          <w:szCs w:val="18"/>
          <w:color w:val="auto"/>
        </w:rPr>
      </w:pPr>
    </w:p>
    <w:p>
      <w:pPr>
        <w:jc w:val="both"/>
        <w:ind w:left="760" w:hanging="378"/>
        <w:spacing w:after="0" w:line="271" w:lineRule="auto"/>
        <w:tabs>
          <w:tab w:leader="none" w:pos="760" w:val="left"/>
        </w:tabs>
        <w:numPr>
          <w:ilvl w:val="0"/>
          <w:numId w:val="49"/>
        </w:numPr>
        <w:rPr>
          <w:rFonts w:ascii="Arial" w:cs="Arial" w:eastAsia="Arial" w:hAnsi="Arial"/>
          <w:sz w:val="19"/>
          <w:szCs w:val="19"/>
          <w:color w:val="auto"/>
        </w:rPr>
      </w:pPr>
      <w:r>
        <w:rPr>
          <w:rFonts w:ascii="Arial" w:cs="Arial" w:eastAsia="Arial" w:hAnsi="Arial"/>
          <w:sz w:val="19"/>
          <w:szCs w:val="19"/>
          <w:b w:val="1"/>
          <w:bCs w:val="1"/>
          <w:color w:val="auto"/>
        </w:rPr>
        <w:t>Terminaton in Connecton with a Change of Control</w:t>
      </w:r>
      <w:r>
        <w:rPr>
          <w:rFonts w:ascii="Arial" w:cs="Arial" w:eastAsia="Arial" w:hAnsi="Arial"/>
          <w:sz w:val="19"/>
          <w:szCs w:val="19"/>
          <w:color w:val="auto"/>
        </w:rPr>
        <w:t>. In the event that within sixty (60) days before or twelve (12) months following the</w:t>
      </w:r>
      <w:r>
        <w:rPr>
          <w:rFonts w:ascii="Arial" w:cs="Arial" w:eastAsia="Arial" w:hAnsi="Arial"/>
          <w:sz w:val="19"/>
          <w:szCs w:val="19"/>
          <w:b w:val="1"/>
          <w:bCs w:val="1"/>
          <w:color w:val="auto"/>
        </w:rPr>
        <w:t xml:space="preserve"> </w:t>
      </w:r>
      <w:r>
        <w:rPr>
          <w:rFonts w:ascii="Arial" w:cs="Arial" w:eastAsia="Arial" w:hAnsi="Arial"/>
          <w:sz w:val="19"/>
          <w:szCs w:val="19"/>
          <w:color w:val="auto"/>
        </w:rPr>
        <w:t>consummaton of a Change of Control (as defned below) (the “Change of Control Period”), the Company, or any successor thereto, terminates your employment without Cause or you terminate your employment for Good Reason, then the Company shall (i) pay a lump sum amount equal to twelve (12) months of your then current base salary (without giving any efect to any reducton thereof which may consttute Good Reason), which will be payable within the period of tme set forth in Secton 3 below following your terminaton of employment, (ii) pay a lump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 w:lineRule="exact"/>
        <w:rPr>
          <w:sz w:val="20"/>
          <w:szCs w:val="20"/>
          <w:color w:val="auto"/>
        </w:rPr>
      </w:pPr>
    </w:p>
    <w:p>
      <w:pPr>
        <w:ind w:left="10760"/>
        <w:spacing w:after="0"/>
        <w:rPr>
          <w:sz w:val="20"/>
          <w:szCs w:val="20"/>
          <w:color w:val="auto"/>
        </w:rPr>
      </w:pPr>
      <w:r>
        <w:rPr>
          <w:rFonts w:ascii="Arial" w:cs="Arial" w:eastAsia="Arial" w:hAnsi="Arial"/>
          <w:sz w:val="12"/>
          <w:szCs w:val="12"/>
          <w:color w:val="auto"/>
        </w:rPr>
        <w:t xml:space="preserve">1 </w:t>
      </w:r>
      <w:r>
        <w:rPr>
          <w:rFonts w:ascii="Arial" w:cs="Arial" w:eastAsia="Arial" w:hAnsi="Arial"/>
          <w:sz w:val="12"/>
          <w:szCs w:val="12"/>
          <w:b w:val="1"/>
          <w:bCs w:val="1"/>
          <w:color w:val="auto"/>
        </w:rPr>
        <w:t>|</w:t>
      </w:r>
      <w:r>
        <w:rPr>
          <w:rFonts w:ascii="Arial" w:cs="Arial" w:eastAsia="Arial" w:hAnsi="Arial"/>
          <w:sz w:val="12"/>
          <w:szCs w:val="12"/>
          <w:color w:val="auto"/>
        </w:rPr>
        <w:t xml:space="preserve"> </w:t>
      </w:r>
      <w:r>
        <w:rPr>
          <w:rFonts w:ascii="Arial" w:cs="Arial" w:eastAsia="Arial" w:hAnsi="Arial"/>
          <w:sz w:val="12"/>
          <w:szCs w:val="12"/>
          <w:color w:val="808080"/>
        </w:rPr>
        <w:t>Page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jc w:val="both"/>
        <w:ind w:left="760"/>
        <w:spacing w:after="0" w:line="284" w:lineRule="auto"/>
        <w:rPr>
          <w:sz w:val="20"/>
          <w:szCs w:val="20"/>
          <w:color w:val="auto"/>
        </w:rPr>
      </w:pPr>
      <w:r>
        <w:rPr>
          <w:rFonts w:ascii="Arial" w:cs="Arial" w:eastAsia="Arial" w:hAnsi="Arial"/>
          <w:sz w:val="18"/>
          <w:szCs w:val="18"/>
          <w:color w:val="auto"/>
        </w:rPr>
        <w:t>sum amount equal to twelve (12) months of the annual bonus you are eligible to receive for the current Calendar year assuming performance is achieved at target and, which will be payable within the period of tme set forth in Secton 3 below following your terminaton of employment, and (iii) the vestng and, if applicable, exercisability of each Company equity award held by you, including, without limitaton, each stock opton of any kind and nature (e.g., tme or performance based, etc.), shall accelerate in full as of immediately prior to your terminaton of employment. In additon, the Company will provide and pay the premium cost for you and your dependents of medical and dental insurance benefts to the extent you were receiving such benefts immediately prior to your terminaton date from the date of your terminaton of employment through the earlier of the twelve (12) month anniversary of the terminaton of your employment or the date you become eligible for medical and dental insurance benefts from a subsequent employer, provided that you tmely elect "COBRA" coverage under the Company group health insurance plan under which coverage was being provided to you at the tme when your employment terminates. If the Company is unable to provide such medical and dental insurance benefts or "COBRA" coverage is not available to you as of the tme when your employment is terminated, then the Company will pay to you a lump sum equal to the premium cost of the benefts provided for the twelve (12) months prior to your terminaton, payable within the period of tme set forth in Secton 3 below following your terminaton of employment.</w:t>
      </w:r>
    </w:p>
    <w:p>
      <w:pPr>
        <w:spacing w:after="0" w:line="218" w:lineRule="exact"/>
        <w:rPr>
          <w:sz w:val="20"/>
          <w:szCs w:val="20"/>
          <w:color w:val="auto"/>
        </w:rPr>
      </w:pPr>
    </w:p>
    <w:p>
      <w:pPr>
        <w:jc w:val="both"/>
        <w:ind w:left="760" w:hanging="378"/>
        <w:spacing w:after="0" w:line="293" w:lineRule="auto"/>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Release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obligatons to make such payments and provide such benefts shall be contngent upon your executon of a</w:t>
      </w:r>
      <w:r>
        <w:rPr>
          <w:rFonts w:ascii="Arial" w:cs="Arial" w:eastAsia="Arial" w:hAnsi="Arial"/>
          <w:sz w:val="18"/>
          <w:szCs w:val="18"/>
          <w:b w:val="1"/>
          <w:bCs w:val="1"/>
          <w:color w:val="auto"/>
        </w:rPr>
        <w:t xml:space="preserve"> </w:t>
      </w:r>
      <w:r>
        <w:rPr>
          <w:rFonts w:ascii="Arial" w:cs="Arial" w:eastAsia="Arial" w:hAnsi="Arial"/>
          <w:sz w:val="18"/>
          <w:szCs w:val="18"/>
          <w:color w:val="auto"/>
        </w:rPr>
        <w:t>release in a form reasonably acceptable to the Company (the "Release") which Release must be signed and any applicable revocaton period with respect thereto must have expired by the 30th day following your terminaton of employment (unless your terminaton is “in connecton with an exit incentve or other employment terminaton program” (as such phrase is defned in the Age Discriminaton in Employment Act of 1967), in which case the date shall be by the 52nd day following your terminaton of employment)</w:t>
      </w:r>
      <w:r>
        <w:rPr>
          <w:rFonts w:ascii="Arial" w:cs="Arial" w:eastAsia="Arial" w:hAnsi="Arial"/>
          <w:sz w:val="17"/>
          <w:szCs w:val="17"/>
          <w:color w:val="auto"/>
        </w:rPr>
        <w:t>. The</w:t>
      </w:r>
      <w:r>
        <w:rPr>
          <w:rFonts w:ascii="Arial" w:cs="Arial" w:eastAsia="Arial" w:hAnsi="Arial"/>
          <w:sz w:val="18"/>
          <w:szCs w:val="18"/>
          <w:color w:val="auto"/>
        </w:rPr>
        <w:t xml:space="preserve"> </w:t>
      </w:r>
      <w:r>
        <w:rPr>
          <w:rFonts w:ascii="Arial" w:cs="Arial" w:eastAsia="Arial" w:hAnsi="Arial"/>
          <w:sz w:val="17"/>
          <w:szCs w:val="17"/>
          <w:color w:val="auto"/>
        </w:rPr>
        <w:t xml:space="preserve">Release will not waive any of your rights, or obligatons of the Company, regarding: (1) any right to indemnifcaton and/or contributon, advancement or payment of related expenses you may have pursuant to the Company’s Bylaws, Artcles of Incorporaton, under any writen indemnifcaton or other agreement between the partes, and/or under applicable law; (2) any rights that you may have to insurance coverage under any directors and ofcers liability insurance, other insurance policies of the Company, COBRA or any similar state law; (3) any claims for worker’s compensaton, state disability or unemployment insurance benefts, or any other claims that cannot be released as a mater of applicable law; (4) rights to any vested benefts under any stock, compensaton or other employee beneft plan of the Company; (5) any rights you may have as an existng shareholder of the Company; and (6) any claims arising afer the efectve date of the Release. </w:t>
      </w:r>
      <w:r>
        <w:rPr>
          <w:rFonts w:ascii="Arial" w:cs="Arial" w:eastAsia="Arial" w:hAnsi="Arial"/>
          <w:sz w:val="18"/>
          <w:szCs w:val="18"/>
          <w:color w:val="auto"/>
        </w:rPr>
        <w:t>Nothing in the Release or any other agreement between you and the Company will prohibit or prevent</w:t>
      </w:r>
      <w:r>
        <w:rPr>
          <w:rFonts w:ascii="Arial" w:cs="Arial" w:eastAsia="Arial" w:hAnsi="Arial"/>
          <w:sz w:val="17"/>
          <w:szCs w:val="17"/>
          <w:color w:val="auto"/>
        </w:rPr>
        <w:t xml:space="preserve"> </w:t>
      </w:r>
      <w:r>
        <w:rPr>
          <w:rFonts w:ascii="Arial" w:cs="Arial" w:eastAsia="Arial" w:hAnsi="Arial"/>
          <w:sz w:val="18"/>
          <w:szCs w:val="18"/>
          <w:color w:val="auto"/>
        </w:rPr>
        <w:t xml:space="preserve">you from </w:t>
      </w:r>
      <w:r>
        <w:rPr>
          <w:rFonts w:ascii="Arial" w:cs="Arial" w:eastAsia="Arial" w:hAnsi="Arial"/>
          <w:sz w:val="17"/>
          <w:szCs w:val="17"/>
          <w:color w:val="auto"/>
        </w:rPr>
        <w:t>providing truthful testmony or otherwise responding accurately and fully to any queston, inquiry or request for informaton</w:t>
      </w:r>
      <w:r>
        <w:rPr>
          <w:rFonts w:ascii="Arial" w:cs="Arial" w:eastAsia="Arial" w:hAnsi="Arial"/>
          <w:sz w:val="18"/>
          <w:szCs w:val="18"/>
          <w:color w:val="auto"/>
        </w:rPr>
        <w:t xml:space="preserve"> </w:t>
      </w:r>
      <w:r>
        <w:rPr>
          <w:rFonts w:ascii="Arial" w:cs="Arial" w:eastAsia="Arial" w:hAnsi="Arial"/>
          <w:sz w:val="17"/>
          <w:szCs w:val="17"/>
          <w:color w:val="auto"/>
        </w:rPr>
        <w:t>or documents when required by legal process, subpoena, notce, court order or law (including, without limitaton, in any criminal, civil, or regulatory proceeding or investgaton), or as necessary in any acton for enforcement or claimed breach of this Agreement or any other legal dispute with the Company. If the Release has been signed and any applicable revocaton period has expired prior to the 30th day (or 52nd day, as applicable) following your terminaton of employment, then the severance payments above may be made on such earlier date; provided, however, that if the 30th day (or 52nd day, as applicable) following your terminaton of employment occurs in the calendar year following the year of your terminaton date, then the payments shall not be made earlier than January 1 of such subsequent calendar year.</w:t>
      </w:r>
    </w:p>
    <w:p>
      <w:pPr>
        <w:spacing w:after="0" w:line="200" w:lineRule="exact"/>
        <w:rPr>
          <w:rFonts w:ascii="Arial" w:cs="Arial" w:eastAsia="Arial" w:hAnsi="Arial"/>
          <w:sz w:val="18"/>
          <w:szCs w:val="18"/>
          <w:color w:val="auto"/>
        </w:rPr>
      </w:pPr>
    </w:p>
    <w:p>
      <w:pPr>
        <w:spacing w:after="0" w:line="260" w:lineRule="exact"/>
        <w:rPr>
          <w:rFonts w:ascii="Arial" w:cs="Arial" w:eastAsia="Arial" w:hAnsi="Arial"/>
          <w:sz w:val="18"/>
          <w:szCs w:val="18"/>
          <w:color w:val="auto"/>
        </w:rPr>
      </w:pPr>
    </w:p>
    <w:p>
      <w:pPr>
        <w:ind w:left="760" w:hanging="378"/>
        <w:spacing w:after="0"/>
        <w:tabs>
          <w:tab w:leader="none" w:pos="760" w:val="left"/>
        </w:tabs>
        <w:numPr>
          <w:ilvl w:val="0"/>
          <w:numId w:val="50"/>
        </w:numPr>
        <w:rPr>
          <w:rFonts w:ascii="Arial" w:cs="Arial" w:eastAsia="Arial" w:hAnsi="Arial"/>
          <w:sz w:val="19"/>
          <w:szCs w:val="19"/>
          <w:color w:val="auto"/>
        </w:rPr>
      </w:pPr>
      <w:r>
        <w:rPr>
          <w:rFonts w:ascii="Arial" w:cs="Arial" w:eastAsia="Arial" w:hAnsi="Arial"/>
          <w:sz w:val="19"/>
          <w:szCs w:val="19"/>
          <w:b w:val="1"/>
          <w:bCs w:val="1"/>
          <w:color w:val="auto"/>
        </w:rPr>
        <w:t>Secton 280G of the Code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0" w:lineRule="exact"/>
        <w:rPr>
          <w:sz w:val="20"/>
          <w:szCs w:val="20"/>
          <w:color w:val="auto"/>
        </w:rPr>
      </w:pPr>
    </w:p>
    <w:p>
      <w:pPr>
        <w:ind w:left="10760"/>
        <w:spacing w:after="0"/>
        <w:rPr>
          <w:sz w:val="20"/>
          <w:szCs w:val="20"/>
          <w:color w:val="auto"/>
        </w:rPr>
      </w:pPr>
      <w:r>
        <w:rPr>
          <w:rFonts w:ascii="Arial" w:cs="Arial" w:eastAsia="Arial" w:hAnsi="Arial"/>
          <w:sz w:val="12"/>
          <w:szCs w:val="12"/>
          <w:color w:val="auto"/>
        </w:rPr>
        <w:t xml:space="preserve">2 </w:t>
      </w:r>
      <w:r>
        <w:rPr>
          <w:rFonts w:ascii="Arial" w:cs="Arial" w:eastAsia="Arial" w:hAnsi="Arial"/>
          <w:sz w:val="12"/>
          <w:szCs w:val="12"/>
          <w:b w:val="1"/>
          <w:bCs w:val="1"/>
          <w:color w:val="auto"/>
        </w:rPr>
        <w:t>|</w:t>
      </w:r>
      <w:r>
        <w:rPr>
          <w:rFonts w:ascii="Arial" w:cs="Arial" w:eastAsia="Arial" w:hAnsi="Arial"/>
          <w:sz w:val="12"/>
          <w:szCs w:val="12"/>
          <w:color w:val="auto"/>
        </w:rPr>
        <w:t xml:space="preserve"> </w:t>
      </w:r>
      <w:r>
        <w:rPr>
          <w:rFonts w:ascii="Arial" w:cs="Arial" w:eastAsia="Arial" w:hAnsi="Arial"/>
          <w:sz w:val="12"/>
          <w:szCs w:val="12"/>
          <w:color w:val="808080"/>
        </w:rPr>
        <w:t>Page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83" w:name="page84"/>
    <w:bookmarkEnd w:id="83"/>
    <w:p>
      <w:pPr>
        <w:jc w:val="both"/>
        <w:ind w:left="1220" w:hanging="463"/>
        <w:spacing w:after="0" w:line="270" w:lineRule="auto"/>
        <w:tabs>
          <w:tab w:leader="none" w:pos="12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if any payment, distributon, or other beneft provided by the Company to or for the beneft of you, whether paid or payable or distributed or distributable pursuant to the terms of this Agreement or otherwise (collectvely, the “Payments”), (x) consttute a “parachute payment” within the meaning of Secton 280G of the Code, and (y) but for this Secton 4 would be subject to the excise tax imposed by Secton 4999 of the Code or any similar or successor provision thereto (the “Excise Tax”), then the Payments shall be either: (i) delivered in full pursuant to the terms of this Agreement, or (ii) delivered to such lesser extent as would result in no porton of the payment being subject to the Excise Tax, as determined in accordance with Secton 4(b).</w:t>
      </w:r>
    </w:p>
    <w:p>
      <w:pPr>
        <w:spacing w:after="0" w:line="223" w:lineRule="exact"/>
        <w:rPr>
          <w:rFonts w:ascii="Arial" w:cs="Arial" w:eastAsia="Arial" w:hAnsi="Arial"/>
          <w:sz w:val="19"/>
          <w:szCs w:val="19"/>
          <w:color w:val="auto"/>
        </w:rPr>
      </w:pPr>
    </w:p>
    <w:p>
      <w:pPr>
        <w:jc w:val="both"/>
        <w:ind w:left="1220" w:hanging="463"/>
        <w:spacing w:after="0" w:line="272" w:lineRule="auto"/>
        <w:tabs>
          <w:tab w:leader="none" w:pos="12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determinaton of whether Secton 4(a)(i) or Secton 4(a)(ii) shall be given efect shall be made by the Company on the basis of which of such clauses results in the receipt by you of the greater Net Afer-Tax Receipt (as defned herein) of the aggregate Payments. The term “Net Afer-Tax Receipt” shall mean the present value (as determined in accordance with Secton 280G of the Code) of the payments net of all applicable federal, state and local income, employment, and other applicable taxes and the Excise Tax.</w:t>
      </w:r>
    </w:p>
    <w:p>
      <w:pPr>
        <w:spacing w:after="0" w:line="219" w:lineRule="exact"/>
        <w:rPr>
          <w:rFonts w:ascii="Arial" w:cs="Arial" w:eastAsia="Arial" w:hAnsi="Arial"/>
          <w:sz w:val="19"/>
          <w:szCs w:val="19"/>
          <w:color w:val="auto"/>
        </w:rPr>
      </w:pPr>
    </w:p>
    <w:p>
      <w:pPr>
        <w:jc w:val="both"/>
        <w:ind w:left="1220" w:hanging="463"/>
        <w:spacing w:after="0" w:line="294" w:lineRule="auto"/>
        <w:tabs>
          <w:tab w:leader="none" w:pos="1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Secton 4(a)(ii) is given efect, the reducton shall be accomplished in accordance with Secton 409A of the Code and the following: frst by reducing, on a pro rata basis, cash Payments that are exempt from Secton 409A of the Code; second by reducing, on a pro rata basis, other cash Payments; and third by forfeitng any equity-based awards that vest and become payable, startng with the most recent equity-based awards that vest, to the extent necessary to accomplish such reducton.</w:t>
      </w:r>
    </w:p>
    <w:p>
      <w:pPr>
        <w:spacing w:after="0" w:line="200" w:lineRule="exact"/>
        <w:rPr>
          <w:rFonts w:ascii="Arial" w:cs="Arial" w:eastAsia="Arial" w:hAnsi="Arial"/>
          <w:sz w:val="18"/>
          <w:szCs w:val="18"/>
          <w:color w:val="auto"/>
        </w:rPr>
      </w:pPr>
    </w:p>
    <w:p>
      <w:pPr>
        <w:jc w:val="both"/>
        <w:ind w:left="1220" w:hanging="463"/>
        <w:spacing w:after="0" w:line="311" w:lineRule="auto"/>
        <w:tabs>
          <w:tab w:leader="none" w:pos="1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Unless the Company and Employee otherwise agree in writng, any determinaton required under this Secton 4 shall be made by the Company’s independent accountants or compensaton consultants (the “Third Party”), and all such determinatons shall be conclusive, fnal and binding on the partes hereto. The Company and Employee shall furnish to the Third Party such informaton and documents as the Third Party may reasonably request in order to make a determinaton under this Secton 4. The Company shall bear all fees and costs of the Third Party with respect to all determinatons under or contemplated by this Secton 4.</w:t>
      </w:r>
    </w:p>
    <w:p>
      <w:pPr>
        <w:spacing w:after="0" w:line="191"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For purposes of this Agreement, a "Change of Control" shall mean the occurrence of any of the following events, provided that such event or occurrence consttutes a change in the ownership or efectve control of the Company, or a change in the ownership of a substantal porton of the assets of the Company, as defned in Treasury Regulaton §§ 1.409A-3(i)(5)(v), (vi), and (vii): (i) any merger or consolidaton that results in the votng securites of the Company outstanding immediately prior thereto representng (either by remaining outstanding or by being converted into votng securites of the surviving or acquiring entty) less than 50% of the combined votng power of the votng securites of the Company or such surviving or acquiring entty outstanding immediately afer such merger or consolidaton; (ii) any sale of all or substantally all of the assets of the Company; (iii) the complete liquidaton or dissoluton of the Company; or (iv) the acquisiton of "benefcial ownership" (as defned in Rule 13d-3 under the Exchange Act) of securites of the Company representng 50% or more of the combined votng power of the Company's then outstanding securites (other than through a merger or consolidaton or an acquisiton of securites directly from the Company) by any "person," as such term is used in Sectons 13(d) and 14(d) of the Exchange Act, or combinaton of persons, other than the Company, any trustee or other fduciary holding securites under an employee beneft plan of the Company or any corporaton owned directly or indirectly by the stockholders of the Company in substantally the same proporton as their ownership of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0"/>
          <w:szCs w:val="20"/>
          <w:color w:val="auto"/>
        </w:rPr>
      </w:pPr>
    </w:p>
    <w:p>
      <w:pPr>
        <w:ind w:left="10760"/>
        <w:spacing w:after="0"/>
        <w:rPr>
          <w:sz w:val="20"/>
          <w:szCs w:val="20"/>
          <w:color w:val="auto"/>
        </w:rPr>
      </w:pPr>
      <w:r>
        <w:rPr>
          <w:rFonts w:ascii="Arial" w:cs="Arial" w:eastAsia="Arial" w:hAnsi="Arial"/>
          <w:sz w:val="12"/>
          <w:szCs w:val="12"/>
          <w:color w:val="auto"/>
        </w:rPr>
        <w:t xml:space="preserve">3 </w:t>
      </w:r>
      <w:r>
        <w:rPr>
          <w:rFonts w:ascii="Arial" w:cs="Arial" w:eastAsia="Arial" w:hAnsi="Arial"/>
          <w:sz w:val="12"/>
          <w:szCs w:val="12"/>
          <w:b w:val="1"/>
          <w:bCs w:val="1"/>
          <w:color w:val="auto"/>
        </w:rPr>
        <w:t>|</w:t>
      </w:r>
      <w:r>
        <w:rPr>
          <w:rFonts w:ascii="Arial" w:cs="Arial" w:eastAsia="Arial" w:hAnsi="Arial"/>
          <w:sz w:val="12"/>
          <w:szCs w:val="12"/>
          <w:color w:val="auto"/>
        </w:rPr>
        <w:t xml:space="preserve"> </w:t>
      </w:r>
      <w:r>
        <w:rPr>
          <w:rFonts w:ascii="Arial" w:cs="Arial" w:eastAsia="Arial" w:hAnsi="Arial"/>
          <w:sz w:val="12"/>
          <w:szCs w:val="12"/>
          <w:color w:val="808080"/>
        </w:rPr>
        <w:t>Page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84" w:name="page85"/>
    <w:bookmarkEnd w:id="84"/>
    <w:p>
      <w:pPr>
        <w:jc w:val="both"/>
        <w:spacing w:after="0" w:line="285" w:lineRule="auto"/>
        <w:rPr>
          <w:sz w:val="20"/>
          <w:szCs w:val="20"/>
          <w:color w:val="auto"/>
        </w:rPr>
      </w:pPr>
      <w:r>
        <w:rPr>
          <w:rFonts w:ascii="Arial" w:cs="Arial" w:eastAsia="Arial" w:hAnsi="Arial"/>
          <w:sz w:val="18"/>
          <w:szCs w:val="18"/>
          <w:color w:val="auto"/>
        </w:rPr>
        <w:t xml:space="preserve">For purposes of this Agreement, "Cause" shall mean a terminaton of your employment based upon a fnding by a majority of the Board of Directors of the Company or its successor, actng in good faith and based on its reasonable belief at the tme, that you (a) have refused to perform the explicitly stated or reasonably assigned lawful and material dutes required by your positon (other than by reason of a disability or analogous conditon); (b) have commited or engaged in a material act of thef, embezzlement, dishonesty or fraud, a breach of confdentality, an unauthorized disclosure or use of inside informaton, customer lists, trade secrets or other confdental informaton; (c) have breached a material fduciary duty, or willfully and materially violated any other duty, law, rule, or regulaton relatng to the performance of your dutes to the Company or material policy of the Company or its successor; (d) have been convicted of, or pled guilty or nolo contendere to, misdemeanor involving moral turpitude or a felony; (e) have willfully and materially breached any of the provisions of any agreement with the Company or its successor which causes material injury to the Company; (f) have willfully engaged in unfair competton with, or otherwise acted intentonally in a manner materially injurious to the reputaton, business or assets of, the Company or its successor; or (g) have improperly induced a vendor or customer to break or terminate any material contract with the Company or its successor or induced a principal for whom the Company or its successor acts as agent to terminate such agency relatonship. “Cause” shall only exist if the Company frst provides you with writen notce of any claimed ground for Cause and an opportunity to cure such ground, if curable, for thirty (30) days. </w:t>
      </w:r>
      <w:r>
        <w:rPr>
          <w:rFonts w:ascii="Arial" w:cs="Arial" w:eastAsia="Arial" w:hAnsi="Arial"/>
          <w:sz w:val="17"/>
          <w:szCs w:val="17"/>
          <w:color w:val="auto"/>
        </w:rPr>
        <w:t>For purposes of this Agreement, no act</w:t>
      </w:r>
      <w:r>
        <w:rPr>
          <w:rFonts w:ascii="Arial" w:cs="Arial" w:eastAsia="Arial" w:hAnsi="Arial"/>
          <w:sz w:val="18"/>
          <w:szCs w:val="18"/>
          <w:color w:val="auto"/>
        </w:rPr>
        <w:t xml:space="preserve"> </w:t>
      </w:r>
      <w:r>
        <w:rPr>
          <w:rFonts w:ascii="Arial" w:cs="Arial" w:eastAsia="Arial" w:hAnsi="Arial"/>
          <w:sz w:val="17"/>
          <w:szCs w:val="17"/>
          <w:color w:val="auto"/>
        </w:rPr>
        <w:t>or failure to act on your part will be considered “willful” unless it is done, or omited to be done, by you intentonally, not in good faith and without reasonable belief that the acton or omission was in the best interest of the Company.</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For purposes of this Agreement, "Good Reason" shall mean the occurrence of any of the following events or circumstances without your writen consent: (i) a material diminuton in your base compensaton; (ii) a material diminuton in your authority, dutes or responsibility; (iii) a material change in the principal geographic locaton at which you must perform services from South San Francisco, California; (iv) any requirement that you engage in any illegal conduct; or (v) a material breach by the Company of this Agreement or any other material writen agreement between you and the Company.</w:t>
      </w:r>
    </w:p>
    <w:p>
      <w:pPr>
        <w:spacing w:after="0" w:line="22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In order to establish a "Good Reason" for terminatng employment, you must provide writen notce to the Company of the existence of the conditon giving rise to the Good Reason, which notce must be provided within 90 days of the inital existence of such conditon, the Company must fail to cure the conditon within 30 days thereafer, and your terminaton of employment must occur no later than 30 days following the expiraton of that 30-day cure period.</w:t>
      </w:r>
    </w:p>
    <w:p>
      <w:pPr>
        <w:spacing w:after="0" w:line="217"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All severance or change of control payments are intended to be exempt from or, if not, shall be made in full compliance with Secton 409A and shall begin only upon the date of your "separaton from service" (as defned below), which occurs on or afer the date of terminaton of the employment relatonship, and shall be subject to the rules set forth below.</w:t>
      </w:r>
    </w:p>
    <w:p>
      <w:pPr>
        <w:spacing w:after="0" w:line="213" w:lineRule="exact"/>
        <w:rPr>
          <w:sz w:val="20"/>
          <w:szCs w:val="20"/>
          <w:color w:val="auto"/>
        </w:rPr>
      </w:pPr>
    </w:p>
    <w:p>
      <w:pPr>
        <w:jc w:val="both"/>
        <w:ind w:left="760" w:hanging="3"/>
        <w:spacing w:after="0" w:line="274" w:lineRule="auto"/>
        <w:tabs>
          <w:tab w:leader="none" w:pos="1045" w:val="left"/>
        </w:tabs>
        <w:numPr>
          <w:ilvl w:val="0"/>
          <w:numId w:val="52"/>
        </w:numPr>
        <w:rPr>
          <w:rFonts w:ascii="Arial" w:cs="Arial" w:eastAsia="Arial" w:hAnsi="Arial"/>
          <w:sz w:val="19"/>
          <w:szCs w:val="19"/>
          <w:color w:val="auto"/>
        </w:rPr>
      </w:pPr>
      <w:r>
        <w:rPr>
          <w:rFonts w:ascii="Arial" w:cs="Arial" w:eastAsia="Arial" w:hAnsi="Arial"/>
          <w:sz w:val="19"/>
          <w:szCs w:val="19"/>
          <w:color w:val="auto"/>
        </w:rPr>
        <w:t>It is intended that each installment, if any, of the severance or change of control payments and benefts provided under this Agreement shall be treated as a separate "payment" for purposes of Secton 409 A of the Internal Revenue Code and the guidance issued thereunder ("Secton 409A"). Neither you nor the Company shall have the right to accelerate or defer the delivery of any such payments or benefts except to the extent specifcally permited or required by Secton 409A.</w:t>
      </w:r>
    </w:p>
    <w:p>
      <w:pPr>
        <w:spacing w:after="0" w:line="217" w:lineRule="exact"/>
        <w:rPr>
          <w:rFonts w:ascii="Arial" w:cs="Arial" w:eastAsia="Arial" w:hAnsi="Arial"/>
          <w:sz w:val="19"/>
          <w:szCs w:val="19"/>
          <w:color w:val="auto"/>
        </w:rPr>
      </w:pPr>
    </w:p>
    <w:p>
      <w:pPr>
        <w:jc w:val="both"/>
        <w:ind w:left="760" w:hanging="3"/>
        <w:spacing w:after="0" w:line="278" w:lineRule="auto"/>
        <w:tabs>
          <w:tab w:leader="none" w:pos="1032" w:val="left"/>
        </w:tabs>
        <w:numPr>
          <w:ilvl w:val="0"/>
          <w:numId w:val="52"/>
        </w:numPr>
        <w:rPr>
          <w:rFonts w:ascii="Arial" w:cs="Arial" w:eastAsia="Arial" w:hAnsi="Arial"/>
          <w:sz w:val="19"/>
          <w:szCs w:val="19"/>
          <w:color w:val="auto"/>
        </w:rPr>
      </w:pPr>
      <w:r>
        <w:rPr>
          <w:rFonts w:ascii="Arial" w:cs="Arial" w:eastAsia="Arial" w:hAnsi="Arial"/>
          <w:sz w:val="19"/>
          <w:szCs w:val="19"/>
          <w:color w:val="auto"/>
        </w:rPr>
        <w:t>If, as of the date of your "separaton from service" from the Company, you are not a "specifed employee" (within the meaning of Secton 409A), then each installment, if any, of the severance or change of control payments and benefts shall be made on the dates and terms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0760"/>
        <w:spacing w:after="0"/>
        <w:rPr>
          <w:sz w:val="20"/>
          <w:szCs w:val="20"/>
          <w:color w:val="auto"/>
        </w:rPr>
      </w:pPr>
      <w:r>
        <w:rPr>
          <w:rFonts w:ascii="Arial" w:cs="Arial" w:eastAsia="Arial" w:hAnsi="Arial"/>
          <w:sz w:val="12"/>
          <w:szCs w:val="12"/>
          <w:color w:val="auto"/>
        </w:rPr>
        <w:t xml:space="preserve">4 </w:t>
      </w:r>
      <w:r>
        <w:rPr>
          <w:rFonts w:ascii="Arial" w:cs="Arial" w:eastAsia="Arial" w:hAnsi="Arial"/>
          <w:sz w:val="12"/>
          <w:szCs w:val="12"/>
          <w:b w:val="1"/>
          <w:bCs w:val="1"/>
          <w:color w:val="auto"/>
        </w:rPr>
        <w:t>|</w:t>
      </w:r>
      <w:r>
        <w:rPr>
          <w:rFonts w:ascii="Arial" w:cs="Arial" w:eastAsia="Arial" w:hAnsi="Arial"/>
          <w:sz w:val="12"/>
          <w:szCs w:val="12"/>
          <w:color w:val="auto"/>
        </w:rPr>
        <w:t xml:space="preserve"> </w:t>
      </w:r>
      <w:r>
        <w:rPr>
          <w:rFonts w:ascii="Arial" w:cs="Arial" w:eastAsia="Arial" w:hAnsi="Arial"/>
          <w:sz w:val="12"/>
          <w:szCs w:val="12"/>
          <w:color w:val="808080"/>
        </w:rPr>
        <w:t>Page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85" w:name="page86"/>
    <w:bookmarkEnd w:id="85"/>
    <w:p>
      <w:pPr>
        <w:ind w:left="1000" w:hanging="243"/>
        <w:spacing w:after="0"/>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If, as of the date of your "separaton from service" from the Company, you are a "specifed employee" (within the meaning of Secton</w:t>
      </w:r>
    </w:p>
    <w:p>
      <w:pPr>
        <w:spacing w:after="0" w:line="47"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9"/>
          <w:szCs w:val="19"/>
          <w:color w:val="auto"/>
        </w:rPr>
        <w:t>409A), then:</w:t>
      </w:r>
    </w:p>
    <w:p>
      <w:pPr>
        <w:spacing w:after="0" w:line="267" w:lineRule="exact"/>
        <w:rPr>
          <w:rFonts w:ascii="Arial" w:cs="Arial" w:eastAsia="Arial" w:hAnsi="Arial"/>
          <w:sz w:val="17"/>
          <w:szCs w:val="17"/>
          <w:color w:val="auto"/>
        </w:rPr>
      </w:pPr>
    </w:p>
    <w:p>
      <w:pPr>
        <w:jc w:val="both"/>
        <w:ind w:left="1500" w:firstLine="5"/>
        <w:spacing w:after="0" w:line="316" w:lineRule="auto"/>
        <w:tabs>
          <w:tab w:leader="none" w:pos="1720" w:val="left"/>
        </w:tabs>
        <w:numPr>
          <w:ilvl w:val="1"/>
          <w:numId w:val="53"/>
        </w:numPr>
        <w:rPr>
          <w:rFonts w:ascii="Arial" w:cs="Arial" w:eastAsia="Arial" w:hAnsi="Arial"/>
          <w:sz w:val="17"/>
          <w:szCs w:val="17"/>
          <w:color w:val="auto"/>
        </w:rPr>
      </w:pPr>
      <w:r>
        <w:rPr>
          <w:rFonts w:ascii="Arial" w:cs="Arial" w:eastAsia="Arial" w:hAnsi="Arial"/>
          <w:sz w:val="17"/>
          <w:szCs w:val="17"/>
          <w:color w:val="auto"/>
        </w:rPr>
        <w:t>Each installment, if any, of the severance or change of control payments and benefts due under this Agreement that, in accordance with the dates and terms set forth herein, will in all circumstances, regardless of when the separaton from service occurs, be paid within the short-term deferral period (as defned under Secton 409A) shall be treated as a short-term deferral within the meaning of Treasury Regulaton Secton 1.409A-l(b)(4) to the maximum extent permissible under Secton 409A; and</w:t>
      </w:r>
    </w:p>
    <w:p>
      <w:pPr>
        <w:spacing w:after="0" w:line="185" w:lineRule="exact"/>
        <w:rPr>
          <w:rFonts w:ascii="Arial" w:cs="Arial" w:eastAsia="Arial" w:hAnsi="Arial"/>
          <w:sz w:val="17"/>
          <w:szCs w:val="17"/>
          <w:color w:val="auto"/>
        </w:rPr>
      </w:pPr>
    </w:p>
    <w:p>
      <w:pPr>
        <w:jc w:val="both"/>
        <w:ind w:left="1500" w:firstLine="5"/>
        <w:spacing w:after="0" w:line="285" w:lineRule="auto"/>
        <w:tabs>
          <w:tab w:leader="none" w:pos="175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Each installment, if any, of the severance or change of control payments and benefts due under this Agreement that is not described in paragraph (i) above and that would, absent this subsecton, be paid within the six-month period following your "separaton from service" from the Company shall not be paid untl the date that is six months and one day afer such separaton from service (or, if earlier, upon your death), with any such installments that are required to be delayed being accumulated during the six-month period and paid in a lump sum on the date that is six months and one day following your separaton from service and any subsequent installments, if any, being paid in accordance with the dates and terms set forth herein; provided, however, that the preceding provisions of this sentence shall not apply to any installment of severance or change of control payments and benefts if and to the maximum extent that that such installment is deemed to be paid under a separaton pay plan that does not provide for a deferral of compensaton by reason of the applicaton of Treasury Regulaton Secton 1.409A-l(b)(9)(iii) (relatng to separaton pay upon an involuntary separaton from service). Any installments that qualify for the excepton under Treasury Regulaton Secton 1.409A-l(b)(9)(iii) must be paid no later than the last day of your second taxable year following the taxable year in which the separaton from service occurs.</w:t>
      </w:r>
    </w:p>
    <w:p>
      <w:pPr>
        <w:spacing w:after="0" w:line="209" w:lineRule="exact"/>
        <w:rPr>
          <w:rFonts w:ascii="Arial" w:cs="Arial" w:eastAsia="Arial" w:hAnsi="Arial"/>
          <w:sz w:val="18"/>
          <w:szCs w:val="18"/>
          <w:color w:val="auto"/>
        </w:rPr>
      </w:pPr>
    </w:p>
    <w:p>
      <w:pPr>
        <w:jc w:val="both"/>
        <w:ind w:left="760" w:hanging="3"/>
        <w:spacing w:after="0" w:line="274" w:lineRule="auto"/>
        <w:tabs>
          <w:tab w:leader="none" w:pos="1045"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determinaton of whether and when your separaton from service from the Company has occurred shall be made and in a manner consistent with and based on the presumptons set forth in, Treasury Regulaton Secton 1.409A-l(h). Solely for purposes of this paragraph (d), "the Company" shall include all persons with whom the Company would be considered a single employer under Sectons 414(b) and 414(c) of the Code.</w:t>
      </w:r>
    </w:p>
    <w:p>
      <w:pPr>
        <w:spacing w:after="0" w:line="217" w:lineRule="exact"/>
        <w:rPr>
          <w:rFonts w:ascii="Arial" w:cs="Arial" w:eastAsia="Arial" w:hAnsi="Arial"/>
          <w:sz w:val="19"/>
          <w:szCs w:val="19"/>
          <w:color w:val="auto"/>
        </w:rPr>
      </w:pPr>
    </w:p>
    <w:p>
      <w:pPr>
        <w:jc w:val="both"/>
        <w:ind w:left="760" w:hanging="3"/>
        <w:spacing w:after="0" w:line="270" w:lineRule="auto"/>
        <w:tabs>
          <w:tab w:leader="none" w:pos="1061" w:val="left"/>
        </w:tabs>
        <w:numPr>
          <w:ilvl w:val="0"/>
          <w:numId w:val="53"/>
        </w:numPr>
        <w:rPr>
          <w:rFonts w:ascii="Arial" w:cs="Arial" w:eastAsia="Arial" w:hAnsi="Arial"/>
          <w:sz w:val="19"/>
          <w:szCs w:val="19"/>
          <w:color w:val="auto"/>
        </w:rPr>
      </w:pPr>
      <w:r>
        <w:rPr>
          <w:rFonts w:ascii="Arial" w:cs="Arial" w:eastAsia="Arial" w:hAnsi="Arial"/>
          <w:sz w:val="19"/>
          <w:szCs w:val="19"/>
          <w:color w:val="auto"/>
        </w:rPr>
        <w:t>All reimbursements and in-kind benefts provided under this Agreement shall be made or provided in accordance with the requirements of Secton 409A to the extent that such reimbursements or in-kind benefts are subject to Secton 409A, including, where applicable, the requirement that (i) any reimbursement is for expenses incurred during your lifetme (or during a shorter period of tme specifed in this Agreement), (ii) the amount of expenses eligible for reimbursement during a calendar year may not afect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 or liquidaton or exchange for any other beneft.</w:t>
      </w:r>
    </w:p>
    <w:p>
      <w:pPr>
        <w:spacing w:after="0" w:line="223" w:lineRule="exact"/>
        <w:rPr>
          <w:rFonts w:ascii="Arial" w:cs="Arial" w:eastAsia="Arial" w:hAnsi="Arial"/>
          <w:sz w:val="19"/>
          <w:szCs w:val="19"/>
          <w:color w:val="auto"/>
        </w:rPr>
      </w:pPr>
    </w:p>
    <w:p>
      <w:pPr>
        <w:jc w:val="both"/>
        <w:ind w:left="760" w:hanging="3"/>
        <w:spacing w:after="0" w:line="274" w:lineRule="auto"/>
        <w:tabs>
          <w:tab w:leader="none" w:pos="994" w:val="left"/>
        </w:tabs>
        <w:numPr>
          <w:ilvl w:val="0"/>
          <w:numId w:val="53"/>
        </w:numPr>
        <w:rPr>
          <w:rFonts w:ascii="Arial" w:cs="Arial" w:eastAsia="Arial" w:hAnsi="Arial"/>
          <w:sz w:val="19"/>
          <w:szCs w:val="19"/>
          <w:color w:val="auto"/>
        </w:rPr>
      </w:pPr>
      <w:r>
        <w:rPr>
          <w:rFonts w:ascii="Arial" w:cs="Arial" w:eastAsia="Arial" w:hAnsi="Arial"/>
          <w:sz w:val="19"/>
          <w:szCs w:val="19"/>
          <w:color w:val="auto"/>
        </w:rPr>
        <w:t>If either you or the Company reasonably determines that any payment hereunder will violate Secton 409A, you and the Company shall use best eforts to restructure the payment in a manner that is either exempt from or compliant with Secton 409A. You and the Company agree that they will execute any and all amendments to this Agreement as may be necessary to ensure compliance with the distributon provisions of Secton 409A in an efort to avoid or minimize, to the extent allowable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0760"/>
        <w:spacing w:after="0"/>
        <w:rPr>
          <w:sz w:val="20"/>
          <w:szCs w:val="20"/>
          <w:color w:val="auto"/>
        </w:rPr>
      </w:pPr>
      <w:r>
        <w:rPr>
          <w:rFonts w:ascii="Arial" w:cs="Arial" w:eastAsia="Arial" w:hAnsi="Arial"/>
          <w:sz w:val="12"/>
          <w:szCs w:val="12"/>
          <w:color w:val="auto"/>
        </w:rPr>
        <w:t xml:space="preserve">5 </w:t>
      </w:r>
      <w:r>
        <w:rPr>
          <w:rFonts w:ascii="Arial" w:cs="Arial" w:eastAsia="Arial" w:hAnsi="Arial"/>
          <w:sz w:val="12"/>
          <w:szCs w:val="12"/>
          <w:b w:val="1"/>
          <w:bCs w:val="1"/>
          <w:color w:val="auto"/>
        </w:rPr>
        <w:t>|</w:t>
      </w:r>
      <w:r>
        <w:rPr>
          <w:rFonts w:ascii="Arial" w:cs="Arial" w:eastAsia="Arial" w:hAnsi="Arial"/>
          <w:sz w:val="12"/>
          <w:szCs w:val="12"/>
          <w:color w:val="auto"/>
        </w:rPr>
        <w:t xml:space="preserve"> </w:t>
      </w:r>
      <w:r>
        <w:rPr>
          <w:rFonts w:ascii="Arial" w:cs="Arial" w:eastAsia="Arial" w:hAnsi="Arial"/>
          <w:sz w:val="12"/>
          <w:szCs w:val="12"/>
          <w:color w:val="808080"/>
        </w:rPr>
        <w:t>Page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86" w:name="page87"/>
    <w:bookmarkEnd w:id="86"/>
    <w:p>
      <w:pPr>
        <w:jc w:val="both"/>
        <w:ind w:left="760"/>
        <w:spacing w:after="0" w:line="274" w:lineRule="auto"/>
        <w:rPr>
          <w:sz w:val="20"/>
          <w:szCs w:val="20"/>
          <w:color w:val="auto"/>
        </w:rPr>
      </w:pPr>
      <w:r>
        <w:rPr>
          <w:rFonts w:ascii="Arial" w:cs="Arial" w:eastAsia="Arial" w:hAnsi="Arial"/>
          <w:sz w:val="19"/>
          <w:szCs w:val="19"/>
          <w:color w:val="auto"/>
        </w:rPr>
        <w:t>by law, the tax (and any interest or penaltes thereon) associated with Secton 409A. If it is determined that a payment under this Agreement was (or may be) made in violaton of Secton 409A, the Company will cooperate reasonably with any efort by you to mitgate the tax consequences of such violaton, including cooperaton with your partcipaton in any IRS voluntary compliance program or other correcton procedure under Secton 409A that may be available to you.</w:t>
      </w:r>
    </w:p>
    <w:p>
      <w:pPr>
        <w:spacing w:after="0" w:line="200" w:lineRule="exact"/>
        <w:rPr>
          <w:sz w:val="20"/>
          <w:szCs w:val="20"/>
          <w:color w:val="auto"/>
        </w:rPr>
      </w:pPr>
    </w:p>
    <w:p>
      <w:pPr>
        <w:spacing w:after="0" w:line="260"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This Agreement will be binding on the partes and their successors and assigns. The Company shall require any successors or assigns to expressly assume and agree to perform this Agreement in the same manner and to the same extent that the Company would be required to perform it if no such succession or assignment had taken place. The terms of this Agreement and all of your rights hereunder will inure to the beneft of, and be enforceable by, your personal representatves, executors, administrators, successors, heirs, distributes, devisees and legatees.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be governed by and construed in accordance with California law, without regard to the confict of law rules thereof.</w:t>
      </w:r>
    </w:p>
    <w:p>
      <w:pPr>
        <w:spacing w:after="0" w:line="27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If any provision of this Agreement is determined to be illegal or unenforceable, then the remainder of this Agreement nonetheless shall be fully enforceable and binding upon the partes hereto, and it is the intent of the partes that a court or arbitrator shall enforce the remainder of this Agreement to the maximum extent permited by law. The prevailing party in any dispute concerning the interpretaton or enforcement of this Agreement will be enttled to an award of his or its costs and reasonable atorneys' fees, in additon to any other eligible relief.</w:t>
      </w:r>
    </w:p>
    <w:p>
      <w:pPr>
        <w:spacing w:after="0" w:line="197"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This Agreement (a) represents our entre understanding regarding the subject mater hereof, and supersedes and replaces all prior and contemporaneous understandings regarding such subject mater, whether oral or writen, including, without limitaton, the Prior Agreement and</w:t>
      </w:r>
    </w:p>
    <w:p>
      <w:pPr>
        <w:spacing w:after="0" w:line="1" w:lineRule="exact"/>
        <w:rPr>
          <w:sz w:val="20"/>
          <w:szCs w:val="20"/>
          <w:color w:val="auto"/>
        </w:rPr>
      </w:pPr>
    </w:p>
    <w:p>
      <w:pPr>
        <w:jc w:val="both"/>
        <w:ind w:firstLine="8"/>
        <w:spacing w:after="0" w:line="278" w:lineRule="auto"/>
        <w:tabs>
          <w:tab w:leader="none" w:pos="271" w:val="left"/>
        </w:tabs>
        <w:numPr>
          <w:ilvl w:val="0"/>
          <w:numId w:val="54"/>
        </w:numPr>
        <w:rPr>
          <w:rFonts w:ascii="Arial" w:cs="Arial" w:eastAsia="Arial" w:hAnsi="Arial"/>
          <w:sz w:val="19"/>
          <w:szCs w:val="19"/>
          <w:color w:val="auto"/>
        </w:rPr>
      </w:pPr>
      <w:r>
        <w:rPr>
          <w:rFonts w:ascii="Arial" w:cs="Arial" w:eastAsia="Arial" w:hAnsi="Arial"/>
          <w:sz w:val="19"/>
          <w:szCs w:val="19"/>
          <w:color w:val="auto"/>
        </w:rPr>
        <w:t>may not be modifed or amended, except by a writen instrument executed by you and by a duly authorized ofcer of the Company. In the event of any confict between any of the terms in this Agreement and the terms of any other agreement between you and the Company, the terms of this Agreement shall control.</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ACCEPTANCE</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The undersigned agrees to and accepts the terms and conditons set forth above.</w:t>
      </w:r>
    </w:p>
    <w:p>
      <w:pPr>
        <w:sectPr>
          <w:pgSz w:w="11900" w:h="16838" w:orient="portrait"/>
          <w:cols w:equalWidth="0" w:num="1">
            <w:col w:w="11240"/>
          </w:cols>
          <w:pgMar w:left="320" w:top="11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389" w:lineRule="auto"/>
        <w:rPr>
          <w:sz w:val="20"/>
          <w:szCs w:val="20"/>
          <w:color w:val="auto"/>
        </w:rPr>
      </w:pPr>
      <w:r>
        <w:rPr>
          <w:rFonts w:ascii="Arial" w:cs="Arial" w:eastAsia="Arial" w:hAnsi="Arial"/>
          <w:sz w:val="16"/>
          <w:szCs w:val="16"/>
          <w:color w:val="auto"/>
        </w:rPr>
        <w:t>___________________________________ Date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w:t>
      </w:r>
    </w:p>
    <w:p>
      <w:pPr>
        <w:spacing w:after="0" w:line="600" w:lineRule="exact"/>
        <w:rPr>
          <w:sz w:val="20"/>
          <w:szCs w:val="20"/>
          <w:color w:val="auto"/>
        </w:rPr>
      </w:pPr>
    </w:p>
    <w:p>
      <w:pPr>
        <w:sectPr>
          <w:pgSz w:w="11900" w:h="16838" w:orient="portrait"/>
          <w:cols w:equalWidth="0" w:num="2">
            <w:col w:w="3300" w:space="460"/>
            <w:col w:w="7480"/>
          </w:cols>
          <w:pgMar w:left="320" w:top="110" w:right="339" w:bottom="1440" w:gutter="0" w:footer="0" w:header="0"/>
          <w:type w:val="continuous"/>
        </w:sectPr>
      </w:pPr>
    </w:p>
    <w:p>
      <w:pPr>
        <w:spacing w:after="0" w:line="200" w:lineRule="exact"/>
        <w:rPr>
          <w:sz w:val="20"/>
          <w:szCs w:val="20"/>
          <w:color w:val="auto"/>
        </w:rPr>
      </w:pPr>
    </w:p>
    <w:p>
      <w:pPr>
        <w:spacing w:after="0" w:line="219" w:lineRule="exact"/>
        <w:rPr>
          <w:sz w:val="20"/>
          <w:szCs w:val="20"/>
          <w:color w:val="auto"/>
        </w:rPr>
      </w:pPr>
    </w:p>
    <w:p>
      <w:pPr>
        <w:spacing w:after="0" w:line="338" w:lineRule="auto"/>
        <w:rPr>
          <w:sz w:val="20"/>
          <w:szCs w:val="20"/>
          <w:color w:val="auto"/>
        </w:rPr>
      </w:pPr>
      <w:r>
        <w:rPr>
          <w:rFonts w:ascii="Arial" w:cs="Arial" w:eastAsia="Arial" w:hAnsi="Arial"/>
          <w:sz w:val="16"/>
          <w:szCs w:val="16"/>
          <w:color w:val="auto"/>
        </w:rPr>
        <w:t>___________________________________ Date [ ]</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203200</wp:posOffset>
            </wp:positionV>
            <wp:extent cx="71323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3" w:lineRule="exact"/>
        <w:rPr>
          <w:sz w:val="20"/>
          <w:szCs w:val="20"/>
          <w:color w:val="auto"/>
        </w:rPr>
      </w:pPr>
    </w:p>
    <w:p>
      <w:pPr>
        <w:sectPr>
          <w:pgSz w:w="11900" w:h="16838" w:orient="portrait"/>
          <w:cols w:equalWidth="0" w:num="2">
            <w:col w:w="3300" w:space="460"/>
            <w:col w:w="7480"/>
          </w:cols>
          <w:pgMar w:left="320" w:top="110" w:right="339" w:bottom="1440" w:gutter="0" w:footer="0" w:header="0"/>
          <w:type w:val="continuous"/>
        </w:sectPr>
      </w:pPr>
    </w:p>
    <w:p>
      <w:pPr>
        <w:ind w:left="10760"/>
        <w:spacing w:after="0"/>
        <w:rPr>
          <w:sz w:val="20"/>
          <w:szCs w:val="20"/>
          <w:color w:val="auto"/>
        </w:rPr>
      </w:pPr>
      <w:r>
        <w:rPr>
          <w:rFonts w:ascii="Arial" w:cs="Arial" w:eastAsia="Arial" w:hAnsi="Arial"/>
          <w:sz w:val="12"/>
          <w:szCs w:val="12"/>
          <w:color w:val="auto"/>
        </w:rPr>
        <w:t xml:space="preserve">6 </w:t>
      </w:r>
      <w:r>
        <w:rPr>
          <w:rFonts w:ascii="Arial" w:cs="Arial" w:eastAsia="Arial" w:hAnsi="Arial"/>
          <w:sz w:val="12"/>
          <w:szCs w:val="12"/>
          <w:b w:val="1"/>
          <w:bCs w:val="1"/>
          <w:color w:val="auto"/>
        </w:rPr>
        <w:t>|</w:t>
      </w:r>
      <w:r>
        <w:rPr>
          <w:rFonts w:ascii="Arial" w:cs="Arial" w:eastAsia="Arial" w:hAnsi="Arial"/>
          <w:sz w:val="12"/>
          <w:szCs w:val="12"/>
          <w:color w:val="auto"/>
        </w:rPr>
        <w:t xml:space="preserve"> </w:t>
      </w:r>
      <w:r>
        <w:rPr>
          <w:rFonts w:ascii="Arial" w:cs="Arial" w:eastAsia="Arial" w:hAnsi="Arial"/>
          <w:sz w:val="12"/>
          <w:szCs w:val="12"/>
          <w:color w:val="808080"/>
        </w:rPr>
        <w:t>Page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type w:val="continuous"/>
        </w:sectPr>
      </w:pPr>
    </w:p>
    <w:bookmarkStart w:id="87" w:name="page88"/>
    <w:bookmarkEnd w:id="8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8" w:name="page89"/>
    <w:bookmarkEnd w:id="88"/>
    <w:p>
      <w:pPr>
        <w:jc w:val="right"/>
        <w:spacing w:after="0"/>
        <w:rPr>
          <w:sz w:val="20"/>
          <w:szCs w:val="20"/>
          <w:color w:val="auto"/>
        </w:rPr>
      </w:pPr>
      <w:r>
        <w:rPr>
          <w:rFonts w:ascii="Arial" w:cs="Arial" w:eastAsia="Arial" w:hAnsi="Arial"/>
          <w:sz w:val="19"/>
          <w:szCs w:val="19"/>
          <w:b w:val="1"/>
          <w:bCs w:val="1"/>
          <w:color w:val="auto"/>
        </w:rPr>
        <w:t>Exhibit 10.3</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SENT VIA DOCUSIGN</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March 13, 2021</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Jef Landau</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jeffreylandau@gmail.com</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Dear Jef,</w:t>
      </w:r>
    </w:p>
    <w:p>
      <w:pPr>
        <w:spacing w:after="0" w:line="268" w:lineRule="exact"/>
        <w:rPr>
          <w:sz w:val="20"/>
          <w:szCs w:val="20"/>
          <w:color w:val="auto"/>
        </w:rPr>
      </w:pPr>
    </w:p>
    <w:p>
      <w:pPr>
        <w:jc w:val="both"/>
        <w:spacing w:after="0" w:line="319" w:lineRule="auto"/>
        <w:rPr>
          <w:sz w:val="20"/>
          <w:szCs w:val="20"/>
          <w:color w:val="auto"/>
        </w:rPr>
      </w:pPr>
      <w:r>
        <w:rPr>
          <w:rFonts w:ascii="Arial" w:cs="Arial" w:eastAsia="Arial" w:hAnsi="Arial"/>
          <w:sz w:val="18"/>
          <w:szCs w:val="18"/>
          <w:color w:val="auto"/>
        </w:rPr>
        <w:t>On behalf of Cytomx Therapeutcs (“CytomX” or the “Company”), I am pleased to ofer you an exempt positon of Senior Vice President, Chief Business Ofcer, and Head of Strategy Development, reportng to Sean McCarthy, D. Phil., President, Chief Executve Ofcer and Chairman.</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Rewards: Compensaton</w:t>
      </w:r>
    </w:p>
    <w:p>
      <w:pPr>
        <w:spacing w:after="0" w:line="2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Your salary will be paid at the rate of $31,666.66 per month ($380,000.00 annualized) less payroll deductons and all required withholdings. You will be eligible to receive CytomX’s complete package of benefts and discretonary bonus program that is made available to all of the Company’s full-tme employees. Details about these beneft plans will be made available for your review. The Company may modify compensaton and benefts from tme to tme as it deems necessary.</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Rewards: Target Bonus</w:t>
      </w:r>
    </w:p>
    <w:p>
      <w:pPr>
        <w:spacing w:after="0" w:line="25"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You will be eligible to receive a pro-rated target discretonary annual bonus of up to 40.0% of your base salary, based on the Company’s performance and your individual performance, subject to CytomX’s policy for paying annual bonuses set forth in CytomX’s Employee Handbook, as may be amended from tme to tme. Employees who start employment on or afer November 1 of the year are not eligible for the discretonary annual bonus for the same performance year. Whether the Company awards bonuses for any given year, the allocaton of the bonuses for Company and individual performance, and the amounts of such bonuses, if awarded, will be in the sole discreton of the Company as determined by its Board of Directors (the “Board”). If the Board approves payment of bonuses for any given year, the bonus amounts generally will be determined and paid within the frst calendar quarter of the year based on the prior year’s performance. To incentvize you to remain employed with the Company, you must be employed on the date any bonus is paid in order to earn the bonus. If your employment terminates for any reason prior to the payment of the bonus, then you will not have earned the bonus and will not receive any porton of it.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Rewards: Equity</w:t>
      </w:r>
    </w:p>
    <w:p>
      <w:pPr>
        <w:spacing w:after="0" w:line="25"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Subject to approval by the Board, you will be granted an opton to purchase 275,000 shares of the Company’s common stock, pursuant to terms and conditons that will be provided to you under a stock opton agreement. The grant agreement will include a four (4) year vestng schedule, such that 25% of the shares will vest on the frst anniversary of the commencement of your employment, with the balance vestng in equal monthly installments over the subsequent thirty-six (36) months, untl either your opton shares are fully vested or your employment ends, whichever occurs frst.</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Rewards: Additonal Benefts</w:t>
      </w:r>
    </w:p>
    <w:p>
      <w:pPr>
        <w:spacing w:after="0" w:line="230"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3"/>
          <w:szCs w:val="13"/>
          <w:color w:val="A6A6A6"/>
        </w:rPr>
      </w:pPr>
      <w:r>
        <w:rPr>
          <w:rFonts w:ascii="Arial" w:cs="Arial" w:eastAsia="Arial" w:hAnsi="Arial"/>
          <w:sz w:val="13"/>
          <w:szCs w:val="13"/>
          <w:color w:val="A6A6A6"/>
        </w:rPr>
        <w:t>351-0353</w:t>
      </w:r>
    </w:p>
    <w:p>
      <w:pPr>
        <w:ind w:left="340" w:hanging="332"/>
        <w:spacing w:after="0" w:line="216" w:lineRule="auto"/>
        <w:tabs>
          <w:tab w:leader="none" w:pos="340" w:val="left"/>
        </w:tabs>
        <w:numPr>
          <w:ilvl w:val="0"/>
          <w:numId w:val="56"/>
        </w:numPr>
        <w:rPr>
          <w:rFonts w:ascii="Arial" w:cs="Arial" w:eastAsia="Arial" w:hAnsi="Arial"/>
          <w:sz w:val="13"/>
          <w:szCs w:val="13"/>
          <w:color w:val="A6A6A6"/>
        </w:rPr>
      </w:pPr>
      <w:r>
        <w:rPr>
          <w:rFonts w:ascii="Arial" w:cs="Arial" w:eastAsia="Arial" w:hAnsi="Arial"/>
          <w:sz w:val="13"/>
          <w:szCs w:val="13"/>
          <w:color w:val="A6A6A6"/>
        </w:rPr>
        <w:t>515-3185</w:t>
      </w:r>
    </w:p>
    <w:p>
      <w:pPr>
        <w:spacing w:after="0"/>
        <w:rPr>
          <w:rFonts w:ascii="Arial" w:cs="Arial" w:eastAsia="Arial" w:hAnsi="Arial"/>
          <w:sz w:val="13"/>
          <w:szCs w:val="13"/>
          <w:color w:val="A6A6A6"/>
        </w:rPr>
      </w:pPr>
      <w:r>
        <w:rPr>
          <w:rFonts w:ascii="Arial" w:cs="Arial" w:eastAsia="Arial" w:hAnsi="Arial"/>
          <w:sz w:val="13"/>
          <w:szCs w:val="13"/>
          <w:color w:val="A6A6A6"/>
        </w:rPr>
        <w:t>South San Francisco, CA 94080</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6A6A6"/>
        </w:rPr>
        <w:t>151 Oyster Point Blvd. Suite 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sectPr>
      </w:pPr>
    </w:p>
    <w:bookmarkStart w:id="89" w:name="page90"/>
    <w:bookmarkEnd w:id="89"/>
    <w:p>
      <w:pPr>
        <w:spacing w:after="0"/>
        <w:rPr>
          <w:sz w:val="20"/>
          <w:szCs w:val="20"/>
          <w:color w:val="auto"/>
        </w:rPr>
      </w:pPr>
      <w:r>
        <w:rPr>
          <w:rFonts w:ascii="Arial" w:cs="Arial" w:eastAsia="Arial" w:hAnsi="Arial"/>
          <w:sz w:val="19"/>
          <w:szCs w:val="19"/>
          <w:color w:val="auto"/>
        </w:rPr>
        <w:t>In additon to your compensaton package, you will receive the following:</w:t>
      </w:r>
    </w:p>
    <w:p>
      <w:pPr>
        <w:spacing w:after="0" w:line="259" w:lineRule="exact"/>
        <w:rPr>
          <w:sz w:val="20"/>
          <w:szCs w:val="20"/>
          <w:color w:val="auto"/>
        </w:rPr>
      </w:pPr>
    </w:p>
    <w:p>
      <w:pPr>
        <w:jc w:val="both"/>
        <w:spacing w:after="0" w:line="277" w:lineRule="auto"/>
        <w:rPr>
          <w:sz w:val="20"/>
          <w:szCs w:val="20"/>
          <w:color w:val="auto"/>
        </w:rPr>
      </w:pPr>
      <w:r>
        <w:rPr>
          <w:rFonts w:ascii="Arial" w:cs="Arial" w:eastAsia="Arial" w:hAnsi="Arial"/>
          <w:sz w:val="20"/>
          <w:szCs w:val="20"/>
          <w:b w:val="1"/>
          <w:bCs w:val="1"/>
          <w:color w:val="auto"/>
        </w:rPr>
        <w:t xml:space="preserve">Sign-On Bonus: </w:t>
      </w:r>
      <w:r>
        <w:rPr>
          <w:rFonts w:ascii="Arial" w:cs="Arial" w:eastAsia="Arial" w:hAnsi="Arial"/>
          <w:sz w:val="18"/>
          <w:szCs w:val="18"/>
          <w:color w:val="auto"/>
        </w:rPr>
        <w:t>Payable upon your frst pay check you will receive a one-tme sign-on bonus payment of $115,000.00, less required taxes and</w:t>
      </w:r>
      <w:r>
        <w:rPr>
          <w:rFonts w:ascii="Arial" w:cs="Arial" w:eastAsia="Arial" w:hAnsi="Arial"/>
          <w:sz w:val="20"/>
          <w:szCs w:val="20"/>
          <w:b w:val="1"/>
          <w:bCs w:val="1"/>
          <w:color w:val="auto"/>
        </w:rPr>
        <w:t xml:space="preserve"> </w:t>
      </w:r>
      <w:r>
        <w:rPr>
          <w:rFonts w:ascii="Arial" w:cs="Arial" w:eastAsia="Arial" w:hAnsi="Arial"/>
          <w:sz w:val="18"/>
          <w:szCs w:val="18"/>
          <w:color w:val="auto"/>
        </w:rPr>
        <w:t>withholdings. You are required to repay this amount to the Company per the following terms if you terminate your employment with the Company for any reason, or are terminated for cause, within the frst twenty-four (24) months of your employment:</w:t>
      </w:r>
    </w:p>
    <w:p>
      <w:pPr>
        <w:spacing w:after="0" w:line="211" w:lineRule="exact"/>
        <w:rPr>
          <w:sz w:val="20"/>
          <w:szCs w:val="20"/>
          <w:color w:val="auto"/>
        </w:rPr>
      </w:pPr>
    </w:p>
    <w:p>
      <w:pPr>
        <w:ind w:left="760" w:hanging="378"/>
        <w:spacing w:after="0"/>
        <w:tabs>
          <w:tab w:leader="none" w:pos="7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Repayment of 100% of the advance should you leave before completng 12-months of contnuous actve service</w:t>
      </w:r>
    </w:p>
    <w:p>
      <w:pPr>
        <w:spacing w:after="0" w:line="29" w:lineRule="exact"/>
        <w:rPr>
          <w:rFonts w:ascii="Arial" w:cs="Arial" w:eastAsia="Arial" w:hAnsi="Arial"/>
          <w:sz w:val="19"/>
          <w:szCs w:val="19"/>
          <w:color w:val="auto"/>
        </w:rPr>
      </w:pPr>
    </w:p>
    <w:p>
      <w:pPr>
        <w:ind w:left="760" w:hanging="378"/>
        <w:spacing w:after="0"/>
        <w:tabs>
          <w:tab w:leader="none" w:pos="7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Repayment of 50% of the advance should you leave afer completng 12- but before completng 24-months of contnuous actve service.</w:t>
      </w:r>
    </w:p>
    <w:p>
      <w:pPr>
        <w:spacing w:after="0" w:line="313"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You authorize the Company to deduct such amounts from any wages, vacaton pay, expense reimbursements or other compensaton due to you upon terminaton of employment, subject to the requirements of applicable law. You agree to repay to the Company any remaining amounts owed by you that are not satsfed by such deductons within sixty (60) days following your employment terminaton date.</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Confdentality</w:t>
      </w:r>
    </w:p>
    <w:p>
      <w:pPr>
        <w:spacing w:after="0" w:line="2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As a CytomX employee, you will be expected to abide by Company rules and regulatons and sign and comply with the Company’s Proprietary Informaton and Inventons Agreement which prohibits unauthorized use or disclosure of company proprietary informaton.</w:t>
      </w:r>
    </w:p>
    <w:p>
      <w:pPr>
        <w:spacing w:after="0" w:line="20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In your work for the Company, you will be expected not to use or disclose any confdental informaton, including trade secrets, of any former employer or other person to whom you have an obligaton of confdentality. Rather, you will be expected to use only that informaton which is generally known and used by persons with training and experience comparable to your own, which is common knowledge in the industry or otherwise legally in the public domain, or which is otherwise provided or developed by the Company.</w:t>
      </w:r>
    </w:p>
    <w:p>
      <w:pPr>
        <w:spacing w:after="0" w:line="19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You agree that you will not bring onto Company premises any unpublished documents or property belonging to any former employer or other person to whom you have an obligaton of confdentality.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Arbitraton</w:t>
      </w:r>
    </w:p>
    <w:p>
      <w:pPr>
        <w:spacing w:after="0" w:line="25"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In the event of any dispute or claim relatng to or arising out of our employment relatonship, you and the Company agree that such dispute shall be resolved by fnal and binding arbitraton in San Francisco, California conducted through JAMS before a single neutral arbitrator, in accordance with the JAMS employment arbitraton rules then in efect. The decision of the arbitrator shall be fnal and binding on the partes, and judgment thereon may be entered in a court of competent jurisdicton. The partes acknowledge and agree that they are each waiving their rights to a jury trial in favor of having their disputes resolved by fnal and binding arbitraton. The disputes that the partes agree to submit to fnal and binding arbitraton include but are not limited to any statutory claims under any state or federal law, as well as any common law claims of harassment, discriminaton, wrongful terminaton, retaliaton, fraud, negligent misrepresentaton, breach of contract and any statutory or common law claims for unpaid wages, commissions, bonus or other compensaton. Notwithstanding anything to contrary herein, either party may seek a temporary restraining order, preliminary injuncton or other provisional injunctve or declaratory relief in any court of competent jurisdicton at any tme to ensure that the relief sought in arbitraton is not rendered inefectual by any interim harm. The Company will pay all arbitraton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312420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90" w:name="page91"/>
    <w:bookmarkEnd w:id="90"/>
    <w:p>
      <w:pPr>
        <w:spacing w:after="0"/>
        <w:rPr>
          <w:sz w:val="20"/>
          <w:szCs w:val="20"/>
          <w:color w:val="auto"/>
        </w:rPr>
      </w:pPr>
      <w:r>
        <w:rPr>
          <w:rFonts w:ascii="Arial" w:cs="Arial" w:eastAsia="Arial" w:hAnsi="Arial"/>
          <w:sz w:val="22"/>
          <w:szCs w:val="22"/>
          <w:b w:val="1"/>
          <w:bCs w:val="1"/>
          <w:color w:val="auto"/>
        </w:rPr>
        <w:t>Acknowledgements</w:t>
      </w:r>
    </w:p>
    <w:p>
      <w:pPr>
        <w:spacing w:after="0" w:line="25"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By signing below, you agree that your employment with CytomX is “at will,” which means you may terminate your employment with the Company at any tme and for any reason whatsoever simply by notfying CytomX, and likewise, CytomX may terminate your employment at any tme and for any reason whatsoever, with or without cause or advance notce. This at-will employment relatonship cannot be changed except in a writng signed by a Company ofcer. The Company reserves the right, in its sole discreton, to adjust salaries, incentve compensaton, stock plans, employee benefts, job ttles, locatons, dutes, responsibilites and reportng relatonships.</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This leter, together with the Proprietary Informaton and Inventons Agreement, forms the complete and exclusive statement of your agreement with CytomX. The terms in this leter supersede any other agreements or promises made to you by anyone, whether oral or writen. Changes in your agreement terms, other than those changes expressly reserved to the Company’s discreton in this leter, require a writen modifcaton signed by an ofcer of the Company. As required by law, this ofer is subject to satsfactory proof of your right to work in the United States of America.</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The Company reserves the right to conduct background investgatons and/or reference checks on all of its potental employees. Your employment ofer, therefore, is contngent upon a clearance of such a background investgaton and/or reference check.</w:t>
      </w:r>
    </w:p>
    <w:p>
      <w:pPr>
        <w:spacing w:after="0" w:line="201" w:lineRule="exact"/>
        <w:rPr>
          <w:sz w:val="20"/>
          <w:szCs w:val="20"/>
          <w:color w:val="auto"/>
        </w:rPr>
      </w:pPr>
    </w:p>
    <w:p>
      <w:pPr>
        <w:jc w:val="both"/>
        <w:spacing w:after="0" w:line="292" w:lineRule="auto"/>
        <w:rPr>
          <w:sz w:val="20"/>
          <w:szCs w:val="20"/>
          <w:color w:val="auto"/>
        </w:rPr>
      </w:pPr>
      <w:r>
        <w:rPr>
          <w:rFonts w:ascii="Arial" w:cs="Arial" w:eastAsia="Arial" w:hAnsi="Arial"/>
          <w:sz w:val="19"/>
          <w:szCs w:val="19"/>
          <w:b w:val="1"/>
          <w:bCs w:val="1"/>
          <w:color w:val="auto"/>
        </w:rPr>
        <w:t>Please sign and date this leter and return it to the Company by 5:00 PM, Wednesday, March 17, 2021</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if you wish to accept employment at CytomX under the terms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color w:val="auto"/>
        </w:rPr>
        <w:t>We welcome you to the CytomX team and look forward to your contributon to the Company’s success.</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Sincerely,</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/s/ Danielle Olander</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Danielle T. Olander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Senior Vice President, Talent and Systems Development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460" w:type="dxa"/>
            <w:vAlign w:val="bottom"/>
          </w:tcPr>
          <w:p>
            <w:pPr>
              <w:spacing w:after="0"/>
              <w:rPr>
                <w:sz w:val="20"/>
                <w:szCs w:val="20"/>
                <w:color w:val="auto"/>
              </w:rPr>
            </w:pPr>
            <w:r>
              <w:rPr>
                <w:rFonts w:ascii="Arial" w:cs="Arial" w:eastAsia="Arial" w:hAnsi="Arial"/>
                <w:sz w:val="19"/>
                <w:szCs w:val="19"/>
                <w:color w:val="auto"/>
              </w:rPr>
              <w:t>Accepted:</w:t>
            </w:r>
          </w:p>
        </w:tc>
        <w:tc>
          <w:tcPr>
            <w:tcW w:w="8780" w:type="dxa"/>
            <w:vAlign w:val="bottom"/>
          </w:tcPr>
          <w:p>
            <w:pPr>
              <w:spacing w:after="0"/>
              <w:rPr>
                <w:sz w:val="20"/>
                <w:szCs w:val="20"/>
                <w:color w:val="auto"/>
              </w:rPr>
            </w:pPr>
          </w:p>
        </w:tc>
      </w:tr>
      <w:tr>
        <w:trPr>
          <w:trHeight w:val="486"/>
        </w:trPr>
        <w:tc>
          <w:tcPr>
            <w:tcW w:w="2460" w:type="dxa"/>
            <w:vAlign w:val="bottom"/>
          </w:tcPr>
          <w:p>
            <w:pPr>
              <w:spacing w:after="0"/>
              <w:rPr>
                <w:sz w:val="20"/>
                <w:szCs w:val="20"/>
                <w:color w:val="auto"/>
              </w:rPr>
            </w:pPr>
            <w:r>
              <w:rPr>
                <w:rFonts w:ascii="Arial" w:cs="Arial" w:eastAsia="Arial" w:hAnsi="Arial"/>
                <w:sz w:val="19"/>
                <w:szCs w:val="19"/>
                <w:color w:val="auto"/>
              </w:rPr>
              <w:t>/s/ Jefrey Landau</w:t>
            </w:r>
          </w:p>
        </w:tc>
        <w:tc>
          <w:tcPr>
            <w:tcW w:w="8780" w:type="dxa"/>
            <w:vAlign w:val="bottom"/>
          </w:tcPr>
          <w:p>
            <w:pPr>
              <w:jc w:val="right"/>
              <w:ind w:right="7246"/>
              <w:spacing w:after="0"/>
              <w:rPr>
                <w:sz w:val="20"/>
                <w:szCs w:val="20"/>
                <w:color w:val="auto"/>
              </w:rPr>
            </w:pPr>
            <w:r>
              <w:rPr>
                <w:rFonts w:ascii="Arial" w:cs="Arial" w:eastAsia="Arial" w:hAnsi="Arial"/>
                <w:sz w:val="19"/>
                <w:szCs w:val="19"/>
                <w:color w:val="auto"/>
              </w:rPr>
              <w:t>April 12, 2021</w:t>
            </w:r>
          </w:p>
        </w:tc>
      </w:tr>
      <w:tr>
        <w:trPr>
          <w:trHeight w:val="243"/>
        </w:trPr>
        <w:tc>
          <w:tcPr>
            <w:tcW w:w="2460" w:type="dxa"/>
            <w:vAlign w:val="bottom"/>
          </w:tcPr>
          <w:p>
            <w:pPr>
              <w:spacing w:after="0"/>
              <w:rPr>
                <w:sz w:val="20"/>
                <w:szCs w:val="20"/>
                <w:color w:val="auto"/>
              </w:rPr>
            </w:pPr>
            <w:r>
              <w:rPr>
                <w:rFonts w:ascii="Arial" w:cs="Arial" w:eastAsia="Arial" w:hAnsi="Arial"/>
                <w:sz w:val="19"/>
                <w:szCs w:val="19"/>
                <w:color w:val="auto"/>
              </w:rPr>
              <w:t>_______________________</w:t>
            </w:r>
          </w:p>
        </w:tc>
        <w:tc>
          <w:tcPr>
            <w:tcW w:w="8780" w:type="dxa"/>
            <w:vAlign w:val="bottom"/>
          </w:tcPr>
          <w:p>
            <w:pPr>
              <w:jc w:val="right"/>
              <w:ind w:right="6246"/>
              <w:spacing w:after="0"/>
              <w:rPr>
                <w:sz w:val="20"/>
                <w:szCs w:val="20"/>
                <w:color w:val="auto"/>
              </w:rPr>
            </w:pPr>
            <w:r>
              <w:rPr>
                <w:rFonts w:ascii="Arial" w:cs="Arial" w:eastAsia="Arial" w:hAnsi="Arial"/>
                <w:sz w:val="19"/>
                <w:szCs w:val="19"/>
                <w:color w:val="auto"/>
                <w:w w:val="99"/>
              </w:rPr>
              <w:t>_______________________</w:t>
            </w:r>
          </w:p>
        </w:tc>
      </w:tr>
      <w:tr>
        <w:trPr>
          <w:trHeight w:val="243"/>
        </w:trPr>
        <w:tc>
          <w:tcPr>
            <w:tcW w:w="2460" w:type="dxa"/>
            <w:vAlign w:val="bottom"/>
          </w:tcPr>
          <w:p>
            <w:pPr>
              <w:spacing w:after="0"/>
              <w:rPr>
                <w:sz w:val="20"/>
                <w:szCs w:val="20"/>
                <w:color w:val="auto"/>
              </w:rPr>
            </w:pPr>
            <w:r>
              <w:rPr>
                <w:rFonts w:ascii="Arial" w:cs="Arial" w:eastAsia="Arial" w:hAnsi="Arial"/>
                <w:sz w:val="19"/>
                <w:szCs w:val="19"/>
                <w:color w:val="auto"/>
              </w:rPr>
              <w:t>Jef Landau</w:t>
            </w:r>
          </w:p>
        </w:tc>
        <w:tc>
          <w:tcPr>
            <w:tcW w:w="8780" w:type="dxa"/>
            <w:vAlign w:val="bottom"/>
          </w:tcPr>
          <w:p>
            <w:pPr>
              <w:jc w:val="right"/>
              <w:ind w:right="7586"/>
              <w:spacing w:after="0"/>
              <w:rPr>
                <w:sz w:val="20"/>
                <w:szCs w:val="20"/>
                <w:color w:val="auto"/>
              </w:rPr>
            </w:pPr>
            <w:r>
              <w:rPr>
                <w:rFonts w:ascii="Arial" w:cs="Arial" w:eastAsia="Arial" w:hAnsi="Arial"/>
                <w:sz w:val="19"/>
                <w:szCs w:val="19"/>
                <w:color w:val="auto"/>
              </w:rPr>
              <w:t>Start Date</w:t>
            </w:r>
          </w:p>
        </w:tc>
      </w:tr>
      <w:tr>
        <w:trPr>
          <w:trHeight w:val="729"/>
        </w:trPr>
        <w:tc>
          <w:tcPr>
            <w:tcW w:w="2460" w:type="dxa"/>
            <w:vAlign w:val="bottom"/>
          </w:tcPr>
          <w:p>
            <w:pPr>
              <w:spacing w:after="0"/>
              <w:rPr>
                <w:sz w:val="20"/>
                <w:szCs w:val="20"/>
                <w:color w:val="auto"/>
              </w:rPr>
            </w:pPr>
            <w:r>
              <w:rPr>
                <w:rFonts w:ascii="Arial" w:cs="Arial" w:eastAsia="Arial" w:hAnsi="Arial"/>
                <w:sz w:val="19"/>
                <w:szCs w:val="19"/>
                <w:color w:val="auto"/>
              </w:rPr>
              <w:t>3/13/2021</w:t>
            </w:r>
          </w:p>
        </w:tc>
        <w:tc>
          <w:tcPr>
            <w:tcW w:w="8780" w:type="dxa"/>
            <w:vAlign w:val="bottom"/>
          </w:tcPr>
          <w:p>
            <w:pPr>
              <w:spacing w:after="0"/>
              <w:rPr>
                <w:sz w:val="24"/>
                <w:szCs w:val="24"/>
                <w:color w:val="auto"/>
              </w:rPr>
            </w:pPr>
          </w:p>
        </w:tc>
      </w:tr>
      <w:tr>
        <w:trPr>
          <w:trHeight w:val="243"/>
        </w:trPr>
        <w:tc>
          <w:tcPr>
            <w:tcW w:w="2460" w:type="dxa"/>
            <w:vAlign w:val="bottom"/>
          </w:tcPr>
          <w:p>
            <w:pPr>
              <w:spacing w:after="0"/>
              <w:rPr>
                <w:sz w:val="20"/>
                <w:szCs w:val="20"/>
                <w:color w:val="auto"/>
              </w:rPr>
            </w:pPr>
            <w:r>
              <w:rPr>
                <w:rFonts w:ascii="Arial" w:cs="Arial" w:eastAsia="Arial" w:hAnsi="Arial"/>
                <w:sz w:val="19"/>
                <w:szCs w:val="19"/>
                <w:color w:val="auto"/>
              </w:rPr>
              <w:t>_______________________</w:t>
            </w:r>
          </w:p>
        </w:tc>
        <w:tc>
          <w:tcPr>
            <w:tcW w:w="8780" w:type="dxa"/>
            <w:vAlign w:val="bottom"/>
          </w:tcPr>
          <w:p>
            <w:pPr>
              <w:spacing w:after="0"/>
              <w:rPr>
                <w:sz w:val="21"/>
                <w:szCs w:val="21"/>
                <w:color w:val="auto"/>
              </w:rPr>
            </w:pPr>
          </w:p>
        </w:tc>
      </w:tr>
      <w:tr>
        <w:trPr>
          <w:trHeight w:val="243"/>
        </w:trPr>
        <w:tc>
          <w:tcPr>
            <w:tcW w:w="2460" w:type="dxa"/>
            <w:vAlign w:val="bottom"/>
          </w:tcPr>
          <w:p>
            <w:pPr>
              <w:spacing w:after="0"/>
              <w:rPr>
                <w:sz w:val="20"/>
                <w:szCs w:val="20"/>
                <w:color w:val="auto"/>
              </w:rPr>
            </w:pPr>
            <w:r>
              <w:rPr>
                <w:rFonts w:ascii="Arial" w:cs="Arial" w:eastAsia="Arial" w:hAnsi="Arial"/>
                <w:sz w:val="19"/>
                <w:szCs w:val="19"/>
                <w:color w:val="auto"/>
              </w:rPr>
              <w:t>Signature Date</w:t>
            </w:r>
          </w:p>
        </w:tc>
        <w:tc>
          <w:tcPr>
            <w:tcW w:w="8780" w:type="dxa"/>
            <w:vAlign w:val="bottom"/>
          </w:tcPr>
          <w:p>
            <w:pPr>
              <w:spacing w:after="0"/>
              <w:rPr>
                <w:sz w:val="21"/>
                <w:szCs w:val="21"/>
                <w:color w:val="auto"/>
              </w:rPr>
            </w:pPr>
          </w:p>
        </w:tc>
      </w:tr>
      <w:tr>
        <w:trPr>
          <w:trHeight w:val="1053"/>
        </w:trPr>
        <w:tc>
          <w:tcPr>
            <w:tcW w:w="2460" w:type="dxa"/>
            <w:vAlign w:val="bottom"/>
            <w:tcBorders>
              <w:bottom w:val="single" w:sz="8" w:color="9A9A9A"/>
            </w:tcBorders>
          </w:tcPr>
          <w:p>
            <w:pPr>
              <w:spacing w:after="0"/>
              <w:rPr>
                <w:sz w:val="24"/>
                <w:szCs w:val="24"/>
                <w:color w:val="auto"/>
              </w:rPr>
            </w:pPr>
          </w:p>
        </w:tc>
        <w:tc>
          <w:tcPr>
            <w:tcW w:w="8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91" w:name="page92"/>
    <w:bookmarkEnd w:id="9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Sean A. McCarthy, Chief Executive Officer of CytomX Therapeutics, Inc., certify that:</w:t>
      </w:r>
    </w:p>
    <w:p>
      <w:pPr>
        <w:spacing w:after="0" w:line="117" w:lineRule="exact"/>
        <w:rPr>
          <w:sz w:val="20"/>
          <w:szCs w:val="20"/>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CytomX Therapeutics, Inc.;</w:t>
      </w:r>
    </w:p>
    <w:p>
      <w:pPr>
        <w:spacing w:after="0" w:line="225" w:lineRule="exact"/>
        <w:rPr>
          <w:rFonts w:ascii="Arial" w:cs="Arial" w:eastAsia="Arial" w:hAnsi="Arial"/>
          <w:sz w:val="18"/>
          <w:szCs w:val="18"/>
          <w:color w:val="auto"/>
        </w:rPr>
      </w:pPr>
    </w:p>
    <w:p>
      <w:pPr>
        <w:jc w:val="both"/>
        <w:ind w:left="1020" w:right="20" w:hanging="503"/>
        <w:spacing w:after="0" w:line="263"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020" w:right="500" w:hanging="503"/>
        <w:spacing w:after="0" w:line="342" w:lineRule="auto"/>
        <w:tabs>
          <w:tab w:leader="none" w:pos="10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020" w:right="120" w:hanging="503"/>
        <w:spacing w:after="0" w:line="220" w:lineRule="exact"/>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15d-15(e)) and internal control over financial reporting (as defined in Exchange Act Rules 13a-15(f) and 15d-15(f)) for the registrant and have:</w:t>
      </w:r>
    </w:p>
    <w:p>
      <w:pPr>
        <w:spacing w:after="0" w:line="96" w:lineRule="exact"/>
        <w:rPr>
          <w:rFonts w:ascii="Arial" w:cs="Arial" w:eastAsia="Arial" w:hAnsi="Arial"/>
          <w:sz w:val="18"/>
          <w:szCs w:val="18"/>
          <w:color w:val="auto"/>
        </w:rPr>
      </w:pPr>
    </w:p>
    <w:p>
      <w:pPr>
        <w:ind w:left="1540" w:right="600" w:hanging="514"/>
        <w:spacing w:after="0" w:line="263" w:lineRule="auto"/>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540" w:right="180" w:hanging="514"/>
        <w:spacing w:after="0" w:line="263" w:lineRule="auto"/>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40" w:hanging="514"/>
        <w:spacing w:after="0" w:line="263" w:lineRule="auto"/>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40" w:right="380" w:hanging="514"/>
        <w:spacing w:after="0" w:line="286" w:lineRule="auto"/>
        <w:tabs>
          <w:tab w:leader="none" w:pos="1540" w:val="left"/>
        </w:tabs>
        <w:numPr>
          <w:ilvl w:val="1"/>
          <w:numId w:val="5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020" w:right="80" w:hanging="503"/>
        <w:spacing w:after="0" w:line="342" w:lineRule="auto"/>
        <w:tabs>
          <w:tab w:leader="none" w:pos="10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220" w:hanging="514"/>
        <w:spacing w:after="0" w:line="342" w:lineRule="auto"/>
        <w:tabs>
          <w:tab w:leader="none" w:pos="15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500" w:hanging="514"/>
        <w:spacing w:after="0" w:line="277" w:lineRule="auto"/>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400" w:type="dxa"/>
            <w:vAlign w:val="bottom"/>
          </w:tcPr>
          <w:p>
            <w:pPr>
              <w:ind w:left="20"/>
              <w:spacing w:after="0"/>
              <w:rPr>
                <w:sz w:val="20"/>
                <w:szCs w:val="20"/>
                <w:color w:val="auto"/>
              </w:rPr>
            </w:pPr>
            <w:r>
              <w:rPr>
                <w:rFonts w:ascii="Arial" w:cs="Arial" w:eastAsia="Arial" w:hAnsi="Arial"/>
                <w:sz w:val="18"/>
                <w:szCs w:val="18"/>
                <w:color w:val="auto"/>
              </w:rPr>
              <w:t>Date: August 8, 2023</w:t>
            </w:r>
          </w:p>
        </w:tc>
        <w:tc>
          <w:tcPr>
            <w:tcW w:w="2740" w:type="dxa"/>
            <w:vAlign w:val="bottom"/>
          </w:tcPr>
          <w:p>
            <w:pPr>
              <w:ind w:left="1840"/>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Sean A. McCarthy</w:t>
            </w:r>
          </w:p>
        </w:tc>
        <w:tc>
          <w:tcPr>
            <w:tcW w:w="600" w:type="dxa"/>
            <w:vAlign w:val="bottom"/>
          </w:tcPr>
          <w:p>
            <w:pPr>
              <w:spacing w:after="0"/>
              <w:rPr>
                <w:sz w:val="21"/>
                <w:szCs w:val="21"/>
                <w:color w:val="auto"/>
              </w:rPr>
            </w:pPr>
          </w:p>
        </w:tc>
      </w:tr>
      <w:tr>
        <w:trPr>
          <w:trHeight w:val="228"/>
        </w:trPr>
        <w:tc>
          <w:tcPr>
            <w:tcW w:w="3400" w:type="dxa"/>
            <w:vAlign w:val="bottom"/>
          </w:tcPr>
          <w:p>
            <w:pPr>
              <w:spacing w:after="0"/>
              <w:rPr>
                <w:sz w:val="19"/>
                <w:szCs w:val="19"/>
                <w:color w:val="auto"/>
              </w:rPr>
            </w:pPr>
          </w:p>
        </w:tc>
        <w:tc>
          <w:tcPr>
            <w:tcW w:w="2740" w:type="dxa"/>
            <w:vAlign w:val="bottom"/>
          </w:tcPr>
          <w:p>
            <w:pPr>
              <w:ind w:left="1840"/>
              <w:spacing w:after="0"/>
              <w:rPr>
                <w:sz w:val="20"/>
                <w:szCs w:val="20"/>
                <w:color w:val="auto"/>
              </w:rPr>
            </w:pPr>
            <w:r>
              <w:rPr>
                <w:rFonts w:ascii="Arial" w:cs="Arial" w:eastAsia="Arial" w:hAnsi="Arial"/>
                <w:sz w:val="18"/>
                <w:szCs w:val="18"/>
                <w:color w:val="auto"/>
              </w:rPr>
              <w:t>Name:</w:t>
            </w: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2"/>
              </w:rPr>
              <w:t>Sean A. McCarthy, D. Phil.</w:t>
            </w:r>
          </w:p>
        </w:tc>
        <w:tc>
          <w:tcPr>
            <w:tcW w:w="600" w:type="dxa"/>
            <w:vAlign w:val="bottom"/>
          </w:tcPr>
          <w:p>
            <w:pPr>
              <w:spacing w:after="0"/>
              <w:rPr>
                <w:sz w:val="19"/>
                <w:szCs w:val="19"/>
                <w:color w:val="auto"/>
              </w:rPr>
            </w:pPr>
          </w:p>
        </w:tc>
      </w:tr>
      <w:tr>
        <w:trPr>
          <w:trHeight w:val="238"/>
        </w:trPr>
        <w:tc>
          <w:tcPr>
            <w:tcW w:w="3400" w:type="dxa"/>
            <w:vAlign w:val="bottom"/>
          </w:tcPr>
          <w:p>
            <w:pPr>
              <w:spacing w:after="0"/>
              <w:rPr>
                <w:sz w:val="20"/>
                <w:szCs w:val="20"/>
                <w:color w:val="auto"/>
              </w:rPr>
            </w:pPr>
          </w:p>
        </w:tc>
        <w:tc>
          <w:tcPr>
            <w:tcW w:w="2740" w:type="dxa"/>
            <w:vAlign w:val="bottom"/>
          </w:tcPr>
          <w:p>
            <w:pPr>
              <w:ind w:left="1840"/>
              <w:spacing w:after="0"/>
              <w:rPr>
                <w:sz w:val="20"/>
                <w:szCs w:val="20"/>
                <w:color w:val="auto"/>
              </w:rPr>
            </w:pPr>
            <w:r>
              <w:rPr>
                <w:rFonts w:ascii="Arial" w:cs="Arial" w:eastAsia="Arial" w:hAnsi="Arial"/>
                <w:sz w:val="18"/>
                <w:szCs w:val="18"/>
                <w:color w:val="auto"/>
              </w:rPr>
              <w:t>Title:</w:t>
            </w: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c>
          <w:tcPr>
            <w:tcW w:w="600" w:type="dxa"/>
            <w:vAlign w:val="bottom"/>
          </w:tcPr>
          <w:p>
            <w:pPr>
              <w:spacing w:after="0"/>
              <w:rPr>
                <w:sz w:val="20"/>
                <w:szCs w:val="20"/>
                <w:color w:val="auto"/>
              </w:rPr>
            </w:pPr>
          </w:p>
        </w:tc>
      </w:tr>
      <w:tr>
        <w:trPr>
          <w:trHeight w:val="243"/>
        </w:trPr>
        <w:tc>
          <w:tcPr>
            <w:tcW w:w="34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450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c>
          <w:tcPr>
            <w:tcW w:w="600" w:type="dxa"/>
            <w:vAlign w:val="bottom"/>
          </w:tcPr>
          <w:p>
            <w:pPr>
              <w:spacing w:after="0"/>
              <w:rPr>
                <w:sz w:val="21"/>
                <w:szCs w:val="21"/>
                <w:color w:val="auto"/>
              </w:rPr>
            </w:pPr>
          </w:p>
        </w:tc>
      </w:tr>
      <w:tr>
        <w:trPr>
          <w:trHeight w:val="560"/>
        </w:trPr>
        <w:tc>
          <w:tcPr>
            <w:tcW w:w="34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3" w:name="page94"/>
    <w:bookmarkEnd w:id="9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Christopher W. Ogden, Senior Vice President, Finance and Accounting of CytomX Therapeutics, Inc., certify that:</w:t>
      </w:r>
    </w:p>
    <w:p>
      <w:pPr>
        <w:spacing w:after="0" w:line="117" w:lineRule="exact"/>
        <w:rPr>
          <w:sz w:val="20"/>
          <w:szCs w:val="20"/>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CytomX Therapeutics, Inc.;</w:t>
      </w:r>
    </w:p>
    <w:p>
      <w:pPr>
        <w:spacing w:after="0" w:line="225" w:lineRule="exact"/>
        <w:rPr>
          <w:rFonts w:ascii="Arial" w:cs="Arial" w:eastAsia="Arial" w:hAnsi="Arial"/>
          <w:sz w:val="18"/>
          <w:szCs w:val="18"/>
          <w:color w:val="auto"/>
        </w:rPr>
      </w:pPr>
    </w:p>
    <w:p>
      <w:pPr>
        <w:jc w:val="both"/>
        <w:ind w:left="1020" w:right="20" w:hanging="503"/>
        <w:spacing w:after="0" w:line="263"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020" w:right="500" w:hanging="503"/>
        <w:spacing w:after="0" w:line="342" w:lineRule="auto"/>
        <w:tabs>
          <w:tab w:leader="none" w:pos="10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020" w:right="120" w:hanging="503"/>
        <w:spacing w:after="0" w:line="220" w:lineRule="exact"/>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15d-15(e)) and internal control over financial reporting (as defined in Exchange Act Rules 13a-15(f) and 15d-15(f)) for the registrant and have:</w:t>
      </w:r>
    </w:p>
    <w:p>
      <w:pPr>
        <w:spacing w:after="0" w:line="96" w:lineRule="exact"/>
        <w:rPr>
          <w:rFonts w:ascii="Arial" w:cs="Arial" w:eastAsia="Arial" w:hAnsi="Arial"/>
          <w:sz w:val="18"/>
          <w:szCs w:val="18"/>
          <w:color w:val="auto"/>
        </w:rPr>
      </w:pPr>
    </w:p>
    <w:p>
      <w:pPr>
        <w:ind w:left="1540" w:right="600" w:hanging="514"/>
        <w:spacing w:after="0" w:line="263" w:lineRule="auto"/>
        <w:tabs>
          <w:tab w:leader="none" w:pos="15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540" w:right="180" w:hanging="514"/>
        <w:spacing w:after="0" w:line="263" w:lineRule="auto"/>
        <w:tabs>
          <w:tab w:leader="none" w:pos="15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40" w:hanging="514"/>
        <w:spacing w:after="0" w:line="263" w:lineRule="auto"/>
        <w:tabs>
          <w:tab w:leader="none" w:pos="15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40" w:right="380" w:hanging="514"/>
        <w:spacing w:after="0" w:line="286" w:lineRule="auto"/>
        <w:tabs>
          <w:tab w:leader="none" w:pos="1540" w:val="left"/>
        </w:tabs>
        <w:numPr>
          <w:ilvl w:val="1"/>
          <w:numId w:val="5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020" w:right="80" w:hanging="503"/>
        <w:spacing w:after="0" w:line="342" w:lineRule="auto"/>
        <w:tabs>
          <w:tab w:leader="none" w:pos="10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220" w:hanging="514"/>
        <w:spacing w:after="0" w:line="342" w:lineRule="auto"/>
        <w:tabs>
          <w:tab w:leader="none" w:pos="154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500" w:hanging="514"/>
        <w:spacing w:after="0" w:line="277" w:lineRule="auto"/>
        <w:tabs>
          <w:tab w:leader="none" w:pos="15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400" w:type="dxa"/>
            <w:vAlign w:val="bottom"/>
          </w:tcPr>
          <w:p>
            <w:pPr>
              <w:ind w:left="20"/>
              <w:spacing w:after="0"/>
              <w:rPr>
                <w:sz w:val="20"/>
                <w:szCs w:val="20"/>
                <w:color w:val="auto"/>
              </w:rPr>
            </w:pPr>
            <w:r>
              <w:rPr>
                <w:rFonts w:ascii="Arial" w:cs="Arial" w:eastAsia="Arial" w:hAnsi="Arial"/>
                <w:sz w:val="18"/>
                <w:szCs w:val="18"/>
                <w:color w:val="auto"/>
              </w:rPr>
              <w:t>Date: August 8, 2023</w:t>
            </w:r>
          </w:p>
        </w:tc>
        <w:tc>
          <w:tcPr>
            <w:tcW w:w="2620" w:type="dxa"/>
            <w:vAlign w:val="bottom"/>
          </w:tcPr>
          <w:p>
            <w:pPr>
              <w:ind w:left="184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Christopher W. Ogden</w:t>
            </w:r>
          </w:p>
        </w:tc>
        <w:tc>
          <w:tcPr>
            <w:tcW w:w="600" w:type="dxa"/>
            <w:vAlign w:val="bottom"/>
          </w:tcPr>
          <w:p>
            <w:pPr>
              <w:spacing w:after="0"/>
              <w:rPr>
                <w:sz w:val="21"/>
                <w:szCs w:val="21"/>
                <w:color w:val="auto"/>
              </w:rPr>
            </w:pPr>
          </w:p>
        </w:tc>
      </w:tr>
      <w:tr>
        <w:trPr>
          <w:trHeight w:val="228"/>
        </w:trPr>
        <w:tc>
          <w:tcPr>
            <w:tcW w:w="3400" w:type="dxa"/>
            <w:vAlign w:val="bottom"/>
          </w:tcPr>
          <w:p>
            <w:pPr>
              <w:spacing w:after="0"/>
              <w:rPr>
                <w:sz w:val="19"/>
                <w:szCs w:val="19"/>
                <w:color w:val="auto"/>
              </w:rPr>
            </w:pPr>
          </w:p>
        </w:tc>
        <w:tc>
          <w:tcPr>
            <w:tcW w:w="2620" w:type="dxa"/>
            <w:vAlign w:val="bottom"/>
          </w:tcPr>
          <w:p>
            <w:pPr>
              <w:ind w:left="1840"/>
              <w:spacing w:after="0"/>
              <w:rPr>
                <w:sz w:val="20"/>
                <w:szCs w:val="20"/>
                <w:color w:val="auto"/>
              </w:rPr>
            </w:pPr>
            <w:r>
              <w:rPr>
                <w:rFonts w:ascii="Arial" w:cs="Arial" w:eastAsia="Arial" w:hAnsi="Arial"/>
                <w:sz w:val="18"/>
                <w:szCs w:val="18"/>
                <w:color w:val="auto"/>
              </w:rPr>
              <w:t>Name:</w:t>
            </w:r>
          </w:p>
        </w:tc>
        <w:tc>
          <w:tcPr>
            <w:tcW w:w="4620" w:type="dxa"/>
            <w:vAlign w:val="bottom"/>
          </w:tcPr>
          <w:p>
            <w:pPr>
              <w:jc w:val="center"/>
              <w:spacing w:after="0"/>
              <w:rPr>
                <w:sz w:val="20"/>
                <w:szCs w:val="20"/>
                <w:color w:val="auto"/>
              </w:rPr>
            </w:pPr>
            <w:r>
              <w:rPr>
                <w:rFonts w:ascii="Arial" w:cs="Arial" w:eastAsia="Arial" w:hAnsi="Arial"/>
                <w:sz w:val="18"/>
                <w:szCs w:val="18"/>
                <w:b w:val="1"/>
                <w:bCs w:val="1"/>
                <w:color w:val="auto"/>
                <w:w w:val="91"/>
              </w:rPr>
              <w:t>Christopher W. Ogden</w:t>
            </w:r>
          </w:p>
        </w:tc>
        <w:tc>
          <w:tcPr>
            <w:tcW w:w="600" w:type="dxa"/>
            <w:vAlign w:val="bottom"/>
          </w:tcPr>
          <w:p>
            <w:pPr>
              <w:spacing w:after="0"/>
              <w:rPr>
                <w:sz w:val="19"/>
                <w:szCs w:val="19"/>
                <w:color w:val="auto"/>
              </w:rPr>
            </w:pPr>
          </w:p>
        </w:tc>
      </w:tr>
      <w:tr>
        <w:trPr>
          <w:trHeight w:val="238"/>
        </w:trPr>
        <w:tc>
          <w:tcPr>
            <w:tcW w:w="3400" w:type="dxa"/>
            <w:vAlign w:val="bottom"/>
          </w:tcPr>
          <w:p>
            <w:pPr>
              <w:spacing w:after="0"/>
              <w:rPr>
                <w:sz w:val="20"/>
                <w:szCs w:val="20"/>
                <w:color w:val="auto"/>
              </w:rPr>
            </w:pPr>
          </w:p>
        </w:tc>
        <w:tc>
          <w:tcPr>
            <w:tcW w:w="2620" w:type="dxa"/>
            <w:vAlign w:val="bottom"/>
          </w:tcPr>
          <w:p>
            <w:pPr>
              <w:ind w:left="1840"/>
              <w:spacing w:after="0"/>
              <w:rPr>
                <w:sz w:val="20"/>
                <w:szCs w:val="20"/>
                <w:color w:val="auto"/>
              </w:rPr>
            </w:pPr>
            <w:r>
              <w:rPr>
                <w:rFonts w:ascii="Arial" w:cs="Arial" w:eastAsia="Arial" w:hAnsi="Arial"/>
                <w:sz w:val="18"/>
                <w:szCs w:val="18"/>
                <w:color w:val="auto"/>
              </w:rPr>
              <w:t>Title:</w:t>
            </w:r>
          </w:p>
        </w:tc>
        <w:tc>
          <w:tcPr>
            <w:tcW w:w="4620" w:type="dxa"/>
            <w:vAlign w:val="bottom"/>
          </w:tcPr>
          <w:p>
            <w:pPr>
              <w:jc w:val="center"/>
              <w:spacing w:after="0"/>
              <w:rPr>
                <w:sz w:val="20"/>
                <w:szCs w:val="20"/>
                <w:color w:val="auto"/>
              </w:rPr>
            </w:pPr>
            <w:r>
              <w:rPr>
                <w:rFonts w:ascii="Arial" w:cs="Arial" w:eastAsia="Arial" w:hAnsi="Arial"/>
                <w:sz w:val="18"/>
                <w:szCs w:val="18"/>
                <w:b w:val="1"/>
                <w:bCs w:val="1"/>
                <w:color w:val="auto"/>
                <w:w w:val="88"/>
              </w:rPr>
              <w:t>Senior Vice President, Finance and Accounting</w:t>
            </w:r>
          </w:p>
        </w:tc>
        <w:tc>
          <w:tcPr>
            <w:tcW w:w="600" w:type="dxa"/>
            <w:vAlign w:val="bottom"/>
          </w:tcPr>
          <w:p>
            <w:pPr>
              <w:spacing w:after="0"/>
              <w:rPr>
                <w:sz w:val="20"/>
                <w:szCs w:val="20"/>
                <w:color w:val="auto"/>
              </w:rPr>
            </w:pPr>
          </w:p>
        </w:tc>
      </w:tr>
      <w:tr>
        <w:trPr>
          <w:trHeight w:val="243"/>
        </w:trPr>
        <w:tc>
          <w:tcPr>
            <w:tcW w:w="34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462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c>
          <w:tcPr>
            <w:tcW w:w="600" w:type="dxa"/>
            <w:vAlign w:val="bottom"/>
          </w:tcPr>
          <w:p>
            <w:pPr>
              <w:spacing w:after="0"/>
              <w:rPr>
                <w:sz w:val="21"/>
                <w:szCs w:val="21"/>
                <w:color w:val="auto"/>
              </w:rPr>
            </w:pPr>
          </w:p>
        </w:tc>
      </w:tr>
      <w:tr>
        <w:trPr>
          <w:trHeight w:val="560"/>
        </w:trPr>
        <w:tc>
          <w:tcPr>
            <w:tcW w:w="340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5" w:name="page96"/>
    <w:bookmarkEnd w:id="9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connection with the Quarterly Report of CytomX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quarter ended June 30, 2023,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Sean A. McCarthy, Chief Executive Officer of the Company, certify, pursuant to 18 U.S.C. Section 1350, as adopted pursuant to Section 906 of the Sarbanes-Oxley Act of 2002 (the “</w:t>
      </w:r>
      <w:r>
        <w:rPr>
          <w:rFonts w:ascii="Arial" w:cs="Arial" w:eastAsia="Arial" w:hAnsi="Arial"/>
          <w:sz w:val="17"/>
          <w:szCs w:val="17"/>
          <w:u w:val="single" w:color="auto"/>
          <w:color w:val="auto"/>
        </w:rPr>
        <w:t>Act</w:t>
      </w:r>
      <w:r>
        <w:rPr>
          <w:rFonts w:ascii="Arial" w:cs="Arial" w:eastAsia="Arial" w:hAnsi="Arial"/>
          <w:sz w:val="17"/>
          <w:szCs w:val="17"/>
          <w:color w:val="auto"/>
        </w:rPr>
        <w:t>”), that:</w:t>
      </w:r>
    </w:p>
    <w:p>
      <w:pPr>
        <w:spacing w:after="0" w:line="57" w:lineRule="exact"/>
        <w:rPr>
          <w:sz w:val="20"/>
          <w:szCs w:val="20"/>
          <w:color w:val="auto"/>
        </w:rPr>
      </w:pPr>
    </w:p>
    <w:p>
      <w:pPr>
        <w:ind w:left="520" w:hanging="512"/>
        <w:spacing w:after="0"/>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3400" w:type="dxa"/>
            <w:vAlign w:val="bottom"/>
          </w:tcPr>
          <w:p>
            <w:pPr>
              <w:spacing w:after="0"/>
              <w:rPr>
                <w:sz w:val="20"/>
                <w:szCs w:val="20"/>
                <w:color w:val="auto"/>
              </w:rPr>
            </w:pPr>
            <w:r>
              <w:rPr>
                <w:rFonts w:ascii="Arial" w:cs="Arial" w:eastAsia="Arial" w:hAnsi="Arial"/>
                <w:sz w:val="18"/>
                <w:szCs w:val="18"/>
                <w:color w:val="auto"/>
              </w:rPr>
              <w:t>Date: August 8, 2023</w:t>
            </w:r>
          </w:p>
        </w:tc>
        <w:tc>
          <w:tcPr>
            <w:tcW w:w="2560" w:type="dxa"/>
            <w:vAlign w:val="bottom"/>
          </w:tcPr>
          <w:p>
            <w:pPr>
              <w:ind w:left="1860"/>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Sean A. McCarthy</w:t>
            </w:r>
          </w:p>
        </w:tc>
      </w:tr>
      <w:tr>
        <w:trPr>
          <w:trHeight w:val="228"/>
        </w:trPr>
        <w:tc>
          <w:tcPr>
            <w:tcW w:w="3400" w:type="dxa"/>
            <w:vAlign w:val="bottom"/>
          </w:tcPr>
          <w:p>
            <w:pPr>
              <w:spacing w:after="0"/>
              <w:rPr>
                <w:sz w:val="19"/>
                <w:szCs w:val="19"/>
                <w:color w:val="auto"/>
              </w:rPr>
            </w:pPr>
          </w:p>
        </w:tc>
        <w:tc>
          <w:tcPr>
            <w:tcW w:w="2560" w:type="dxa"/>
            <w:vAlign w:val="bottom"/>
          </w:tcPr>
          <w:p>
            <w:pPr>
              <w:ind w:left="1860"/>
              <w:spacing w:after="0"/>
              <w:rPr>
                <w:sz w:val="20"/>
                <w:szCs w:val="20"/>
                <w:color w:val="auto"/>
              </w:rPr>
            </w:pPr>
            <w:r>
              <w:rPr>
                <w:rFonts w:ascii="Arial" w:cs="Arial" w:eastAsia="Arial" w:hAnsi="Arial"/>
                <w:sz w:val="18"/>
                <w:szCs w:val="18"/>
                <w:color w:val="auto"/>
              </w:rPr>
              <w:t>Name:</w:t>
            </w:r>
          </w:p>
        </w:tc>
        <w:tc>
          <w:tcPr>
            <w:tcW w:w="4660" w:type="dxa"/>
            <w:vAlign w:val="bottom"/>
          </w:tcPr>
          <w:p>
            <w:pPr>
              <w:jc w:val="center"/>
              <w:spacing w:after="0"/>
              <w:rPr>
                <w:sz w:val="20"/>
                <w:szCs w:val="20"/>
                <w:color w:val="auto"/>
              </w:rPr>
            </w:pPr>
            <w:r>
              <w:rPr>
                <w:rFonts w:ascii="Arial" w:cs="Arial" w:eastAsia="Arial" w:hAnsi="Arial"/>
                <w:sz w:val="18"/>
                <w:szCs w:val="18"/>
                <w:b w:val="1"/>
                <w:bCs w:val="1"/>
                <w:color w:val="auto"/>
                <w:w w:val="92"/>
              </w:rPr>
              <w:t>Sean A. McCarthy, D. Phil.</w:t>
            </w:r>
          </w:p>
        </w:tc>
      </w:tr>
      <w:tr>
        <w:trPr>
          <w:trHeight w:val="238"/>
        </w:trPr>
        <w:tc>
          <w:tcPr>
            <w:tcW w:w="3400" w:type="dxa"/>
            <w:vAlign w:val="bottom"/>
          </w:tcPr>
          <w:p>
            <w:pPr>
              <w:spacing w:after="0"/>
              <w:rPr>
                <w:sz w:val="20"/>
                <w:szCs w:val="20"/>
                <w:color w:val="auto"/>
              </w:rPr>
            </w:pPr>
          </w:p>
        </w:tc>
        <w:tc>
          <w:tcPr>
            <w:tcW w:w="2560" w:type="dxa"/>
            <w:vAlign w:val="bottom"/>
          </w:tcPr>
          <w:p>
            <w:pPr>
              <w:ind w:left="1860"/>
              <w:spacing w:after="0"/>
              <w:rPr>
                <w:sz w:val="20"/>
                <w:szCs w:val="20"/>
                <w:color w:val="auto"/>
              </w:rPr>
            </w:pPr>
            <w:r>
              <w:rPr>
                <w:rFonts w:ascii="Arial" w:cs="Arial" w:eastAsia="Arial" w:hAnsi="Arial"/>
                <w:sz w:val="18"/>
                <w:szCs w:val="18"/>
                <w:color w:val="auto"/>
              </w:rPr>
              <w:t>Title:</w:t>
            </w:r>
          </w:p>
        </w:tc>
        <w:tc>
          <w:tcPr>
            <w:tcW w:w="466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w:t>
            </w:r>
          </w:p>
        </w:tc>
      </w:tr>
      <w:tr>
        <w:trPr>
          <w:trHeight w:val="243"/>
        </w:trPr>
        <w:tc>
          <w:tcPr>
            <w:tcW w:w="34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46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bl>
    <w:p>
      <w:pPr>
        <w:spacing w:after="0" w:line="215"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In connection with the Quarterly Report of CytomX Therapeutics, Inc.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quarter ended June 30, 2023,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Christopher W. Ogden, Senior Vice President, Finance and Accounting of the Company, certify, pursuant to 18 U.S.C. Section 1350, as adopted pursuant to Section 906 of the Sarbanes-Oxley Act of 2002 (the “</w:t>
      </w:r>
      <w:r>
        <w:rPr>
          <w:rFonts w:ascii="Arial" w:cs="Arial" w:eastAsia="Arial" w:hAnsi="Arial"/>
          <w:sz w:val="16"/>
          <w:szCs w:val="16"/>
          <w:u w:val="single" w:color="auto"/>
          <w:color w:val="auto"/>
        </w:rPr>
        <w:t>Act</w:t>
      </w:r>
      <w:r>
        <w:rPr>
          <w:rFonts w:ascii="Arial" w:cs="Arial" w:eastAsia="Arial" w:hAnsi="Arial"/>
          <w:sz w:val="16"/>
          <w:szCs w:val="16"/>
          <w:color w:val="auto"/>
        </w:rPr>
        <w:t>”), that:</w:t>
      </w:r>
    </w:p>
    <w:p>
      <w:pPr>
        <w:spacing w:after="0" w:line="41" w:lineRule="exact"/>
        <w:rPr>
          <w:sz w:val="20"/>
          <w:szCs w:val="20"/>
          <w:color w:val="auto"/>
        </w:rPr>
      </w:pPr>
    </w:p>
    <w:p>
      <w:pPr>
        <w:ind w:left="520" w:hanging="512"/>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3400" w:type="dxa"/>
            <w:vAlign w:val="bottom"/>
          </w:tcPr>
          <w:p>
            <w:pPr>
              <w:spacing w:after="0"/>
              <w:rPr>
                <w:sz w:val="20"/>
                <w:szCs w:val="20"/>
                <w:color w:val="auto"/>
              </w:rPr>
            </w:pPr>
            <w:r>
              <w:rPr>
                <w:rFonts w:ascii="Arial" w:cs="Arial" w:eastAsia="Arial" w:hAnsi="Arial"/>
                <w:sz w:val="18"/>
                <w:szCs w:val="18"/>
                <w:color w:val="auto"/>
              </w:rPr>
              <w:t>Date: August 8, 2023</w:t>
            </w:r>
          </w:p>
        </w:tc>
        <w:tc>
          <w:tcPr>
            <w:tcW w:w="2540" w:type="dxa"/>
            <w:vAlign w:val="bottom"/>
          </w:tcPr>
          <w:p>
            <w:pPr>
              <w:ind w:left="186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Christopher W. Ogden</w:t>
            </w:r>
          </w:p>
        </w:tc>
      </w:tr>
      <w:tr>
        <w:trPr>
          <w:trHeight w:val="228"/>
        </w:trPr>
        <w:tc>
          <w:tcPr>
            <w:tcW w:w="3400" w:type="dxa"/>
            <w:vAlign w:val="bottom"/>
          </w:tcPr>
          <w:p>
            <w:pPr>
              <w:spacing w:after="0"/>
              <w:rPr>
                <w:sz w:val="19"/>
                <w:szCs w:val="19"/>
                <w:color w:val="auto"/>
              </w:rPr>
            </w:pPr>
          </w:p>
        </w:tc>
        <w:tc>
          <w:tcPr>
            <w:tcW w:w="2540" w:type="dxa"/>
            <w:vAlign w:val="bottom"/>
          </w:tcPr>
          <w:p>
            <w:pPr>
              <w:ind w:left="1860"/>
              <w:spacing w:after="0"/>
              <w:rPr>
                <w:sz w:val="20"/>
                <w:szCs w:val="20"/>
                <w:color w:val="auto"/>
              </w:rPr>
            </w:pPr>
            <w:r>
              <w:rPr>
                <w:rFonts w:ascii="Arial" w:cs="Arial" w:eastAsia="Arial" w:hAnsi="Arial"/>
                <w:sz w:val="18"/>
                <w:szCs w:val="18"/>
                <w:color w:val="auto"/>
              </w:rPr>
              <w:t>Name:</w:t>
            </w:r>
          </w:p>
        </w:tc>
        <w:tc>
          <w:tcPr>
            <w:tcW w:w="4680" w:type="dxa"/>
            <w:vAlign w:val="bottom"/>
          </w:tcPr>
          <w:p>
            <w:pPr>
              <w:jc w:val="center"/>
              <w:spacing w:after="0"/>
              <w:rPr>
                <w:sz w:val="20"/>
                <w:szCs w:val="20"/>
                <w:color w:val="auto"/>
              </w:rPr>
            </w:pPr>
            <w:r>
              <w:rPr>
                <w:rFonts w:ascii="Arial" w:cs="Arial" w:eastAsia="Arial" w:hAnsi="Arial"/>
                <w:sz w:val="18"/>
                <w:szCs w:val="18"/>
                <w:b w:val="1"/>
                <w:bCs w:val="1"/>
                <w:color w:val="auto"/>
                <w:w w:val="91"/>
              </w:rPr>
              <w:t>Christopher W. Ogden</w:t>
            </w:r>
          </w:p>
        </w:tc>
      </w:tr>
      <w:tr>
        <w:trPr>
          <w:trHeight w:val="238"/>
        </w:trPr>
        <w:tc>
          <w:tcPr>
            <w:tcW w:w="3400" w:type="dxa"/>
            <w:vAlign w:val="bottom"/>
          </w:tcPr>
          <w:p>
            <w:pPr>
              <w:spacing w:after="0"/>
              <w:rPr>
                <w:sz w:val="20"/>
                <w:szCs w:val="20"/>
                <w:color w:val="auto"/>
              </w:rPr>
            </w:pPr>
          </w:p>
        </w:tc>
        <w:tc>
          <w:tcPr>
            <w:tcW w:w="2540" w:type="dxa"/>
            <w:vAlign w:val="bottom"/>
          </w:tcPr>
          <w:p>
            <w:pPr>
              <w:ind w:left="1860"/>
              <w:spacing w:after="0"/>
              <w:rPr>
                <w:sz w:val="20"/>
                <w:szCs w:val="20"/>
                <w:color w:val="auto"/>
              </w:rPr>
            </w:pPr>
            <w:r>
              <w:rPr>
                <w:rFonts w:ascii="Arial" w:cs="Arial" w:eastAsia="Arial" w:hAnsi="Arial"/>
                <w:sz w:val="18"/>
                <w:szCs w:val="18"/>
                <w:color w:val="auto"/>
              </w:rPr>
              <w:t>Title:</w:t>
            </w:r>
          </w:p>
        </w:tc>
        <w:tc>
          <w:tcPr>
            <w:tcW w:w="4680" w:type="dxa"/>
            <w:vAlign w:val="bottom"/>
          </w:tcPr>
          <w:p>
            <w:pPr>
              <w:jc w:val="center"/>
              <w:spacing w:after="0"/>
              <w:rPr>
                <w:sz w:val="20"/>
                <w:szCs w:val="20"/>
                <w:color w:val="auto"/>
              </w:rPr>
            </w:pPr>
            <w:r>
              <w:rPr>
                <w:rFonts w:ascii="Arial" w:cs="Arial" w:eastAsia="Arial" w:hAnsi="Arial"/>
                <w:sz w:val="18"/>
                <w:szCs w:val="18"/>
                <w:b w:val="1"/>
                <w:bCs w:val="1"/>
                <w:color w:val="auto"/>
                <w:w w:val="89"/>
              </w:rPr>
              <w:t>Senior Vice President, Finance and Accounting</w:t>
            </w:r>
          </w:p>
        </w:tc>
      </w:tr>
      <w:tr>
        <w:trPr>
          <w:trHeight w:val="243"/>
        </w:trPr>
        <w:tc>
          <w:tcPr>
            <w:tcW w:w="340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468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bl>
    <w:p>
      <w:pPr>
        <w:spacing w:after="0" w:line="215"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296545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1."/>
      <w:numFmt w:val="decimal"/>
      <w:start w:val="6"/>
    </w:lvl>
    <w:lvl w:ilvl="1">
      <w:lvlJc w:val="left"/>
      <w:lvlText w:val="•"/>
      <w:numFmt w:val="bullet"/>
      <w:start w:val="1"/>
    </w:lvl>
  </w:abstractNum>
  <w:abstractNum w:abstractNumId="8">
    <w:nsid w:val="5577F8E1"/>
    <w:multiLevelType w:val="hybridMultilevel"/>
    <w:lvl w:ilvl="0">
      <w:lvlJc w:val="left"/>
      <w:lvlText w:val="%1."/>
      <w:numFmt w:val="decimal"/>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1."/>
      <w:numFmt w:val="decimal"/>
      <w:start w:val="1"/>
    </w:lvl>
  </w:abstractNum>
  <w:abstractNum w:abstractNumId="49">
    <w:nsid w:val="649BB77C"/>
    <w:multiLevelType w:val="hybridMultilevel"/>
    <w:lvl w:ilvl="0">
      <w:lvlJc w:val="left"/>
      <w:lvlText w:val="%1."/>
      <w:numFmt w:val="decimal"/>
      <w:start w:val="3"/>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lowerLetter"/>
      <w:start w:val="1"/>
    </w:lvl>
  </w:abstractNum>
  <w:abstractNum w:abstractNumId="52">
    <w:nsid w:val="1CF10FD8"/>
    <w:multiLevelType w:val="hybridMultilevel"/>
    <w:lvl w:ilvl="0">
      <w:lvlJc w:val="left"/>
      <w:lvlText w:val="(%1)"/>
      <w:numFmt w:val="lowerLetter"/>
      <w:start w:val="3"/>
    </w:lvl>
    <w:lvl w:ilvl="1">
      <w:lvlJc w:val="left"/>
      <w:lvlText w:val="(%2)"/>
      <w:numFmt w:val="lowerRoman"/>
      <w:start w:val="1"/>
    </w:lvl>
  </w:abstractNum>
  <w:abstractNum w:abstractNumId="53">
    <w:nsid w:val="180115BE"/>
    <w:multiLevelType w:val="hybridMultilevel"/>
    <w:lvl w:ilvl="0">
      <w:lvlJc w:val="left"/>
      <w:lvlText w:val="(%1)"/>
      <w:numFmt w:val="lowerLetter"/>
      <w:start w:val="2"/>
    </w:lvl>
  </w:abstractNum>
  <w:abstractNum w:abstractNumId="54">
    <w:nsid w:val="235BA861"/>
    <w:multiLevelType w:val="hybridMultilevel"/>
    <w:lvl w:ilvl="0">
      <w:lvlJc w:val="left"/>
      <w:lvlText w:val="(%1)"/>
      <w:numFmt w:val="decimal"/>
      <w:start w:val="650"/>
    </w:lvl>
  </w:abstractNum>
  <w:abstractNum w:abstractNumId="55">
    <w:nsid w:val="47398C89"/>
    <w:multiLevelType w:val="hybridMultilevel"/>
    <w:lvl w:ilvl="0">
      <w:lvlJc w:val="left"/>
      <w:lvlText w:val="(%1)"/>
      <w:numFmt w:val="decimal"/>
      <w:start w:val="650"/>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9" Type="http://schemas.openxmlformats.org/officeDocument/2006/relationships/image" Target="media/image245.png"/><Relationship Id="rId260" Type="http://schemas.openxmlformats.org/officeDocument/2006/relationships/image" Target="media/image246.png"/><Relationship Id="rId261" Type="http://schemas.openxmlformats.org/officeDocument/2006/relationships/image" Target="media/image247.png"/><Relationship Id="rId262" Type="http://schemas.openxmlformats.org/officeDocument/2006/relationships/image" Target="media/image248.png"/><Relationship Id="rId263" Type="http://schemas.openxmlformats.org/officeDocument/2006/relationships/image" Target="media/image249.png"/><Relationship Id="rId264" Type="http://schemas.openxmlformats.org/officeDocument/2006/relationships/image" Target="media/image250.png"/><Relationship Id="rId265" Type="http://schemas.openxmlformats.org/officeDocument/2006/relationships/image" Target="media/image251.png"/><Relationship Id="rId266" Type="http://schemas.openxmlformats.org/officeDocument/2006/relationships/image" Target="media/image252.png"/><Relationship Id="rId267" Type="http://schemas.openxmlformats.org/officeDocument/2006/relationships/image" Target="media/image253.png"/><Relationship Id="rId268" Type="http://schemas.openxmlformats.org/officeDocument/2006/relationships/image" Target="media/image254.jpeg"/><Relationship Id="rId269" Type="http://schemas.openxmlformats.org/officeDocument/2006/relationships/image" Target="media/image255.png"/><Relationship Id="rId270" Type="http://schemas.openxmlformats.org/officeDocument/2006/relationships/image" Target="media/image256.png"/><Relationship Id="rId271" Type="http://schemas.openxmlformats.org/officeDocument/2006/relationships/image" Target="media/image257.png"/><Relationship Id="rId272" Type="http://schemas.openxmlformats.org/officeDocument/2006/relationships/image" Target="media/image258.png"/><Relationship Id="rId273" Type="http://schemas.openxmlformats.org/officeDocument/2006/relationships/image" Target="media/image259.png"/><Relationship Id="rId274" Type="http://schemas.openxmlformats.org/officeDocument/2006/relationships/image" Target="media/image260.png"/><Relationship Id="rId275" Type="http://schemas.openxmlformats.org/officeDocument/2006/relationships/image" Target="media/image261.png"/><Relationship Id="rId276" Type="http://schemas.openxmlformats.org/officeDocument/2006/relationships/image" Target="media/image262.png"/><Relationship Id="rId277" Type="http://schemas.openxmlformats.org/officeDocument/2006/relationships/image" Target="media/image263.png"/><Relationship Id="rId278" Type="http://schemas.openxmlformats.org/officeDocument/2006/relationships/image" Target="media/image264.png"/><Relationship Id="rId279" Type="http://schemas.openxmlformats.org/officeDocument/2006/relationships/image" Target="media/image265.png"/><Relationship Id="rId280" Type="http://schemas.openxmlformats.org/officeDocument/2006/relationships/image" Target="media/image266.png"/><Relationship Id="rId281" Type="http://schemas.openxmlformats.org/officeDocument/2006/relationships/image" Target="media/image267.png"/><Relationship Id="rId282" Type="http://schemas.openxmlformats.org/officeDocument/2006/relationships/image" Target="media/image268.png"/><Relationship Id="rId283" Type="http://schemas.openxmlformats.org/officeDocument/2006/relationships/image" Target="media/image269.png"/><Relationship Id="rId284" Type="http://schemas.openxmlformats.org/officeDocument/2006/relationships/image" Target="media/image270.png"/><Relationship Id="rId285" Type="http://schemas.openxmlformats.org/officeDocument/2006/relationships/image" Target="media/image271.png"/><Relationship Id="rId286" Type="http://schemas.openxmlformats.org/officeDocument/2006/relationships/image" Target="media/image272.png"/><Relationship Id="rId287" Type="http://schemas.openxmlformats.org/officeDocument/2006/relationships/image" Target="media/image273.png"/><Relationship Id="rId288" Type="http://schemas.openxmlformats.org/officeDocument/2006/relationships/image" Target="media/image274.png"/><Relationship Id="rId289" Type="http://schemas.openxmlformats.org/officeDocument/2006/relationships/image" Target="media/image275.png"/><Relationship Id="rId290" Type="http://schemas.openxmlformats.org/officeDocument/2006/relationships/image" Target="media/image276.png"/><Relationship Id="rId252" Type="http://schemas.openxmlformats.org/officeDocument/2006/relationships/hyperlink" Target="https://www.sec.gov/Archives/edgar/data/0001501989/000119312515347080/d78795dex31.htm" TargetMode="External"/><Relationship Id="rId253" Type="http://schemas.openxmlformats.org/officeDocument/2006/relationships/hyperlink" Target="https://www.sec.gov/Archives/edgar/data/1501989/000119312520176532/d920733dex31.htm" TargetMode="External"/><Relationship Id="rId254" Type="http://schemas.openxmlformats.org/officeDocument/2006/relationships/hyperlink" Target="https://www.sec.gov/Archives/edgar/data/0001501989/000119312515347080/d78795dex32.htm" TargetMode="External"/><Relationship Id="rId255" Type="http://schemas.openxmlformats.org/officeDocument/2006/relationships/hyperlink" Target="https://www.sec.gov/Archives/edgar/data/0001501989/000119312515329662/d948537dex41.htm" TargetMode="External"/><Relationship Id="rId256" Type="http://schemas.openxmlformats.org/officeDocument/2006/relationships/hyperlink" Target="https://www.sec.gov/Archives/edgar/data/1501989/000119312523180722/d500160dex41.htm" TargetMode="External"/><Relationship Id="rId257" Type="http://schemas.openxmlformats.org/officeDocument/2006/relationships/hyperlink" Target="https://www.sec.gov/Archives/edgar/data/1501989/000119312523180722/d500160dex42.htm" TargetMode="External"/><Relationship Id="rId258" Type="http://schemas.openxmlformats.org/officeDocument/2006/relationships/hyperlink" Target="https://www.sec.gov/Archives/edgar/data/1501989/000119312523180722/d50016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2023-08-08T15:27:49Z</dcterms:created>
  <dcterms:modified xsi:type="dcterms:W3CDTF">2023-08-08T15:27:49Z</dcterms:modified>
</cp:coreProperties>
</file>