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Charles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CYTOMX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OYSTER POINT BLVD., STE.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CytomX Therapeutics, Inc.</w:t>
              </w:r>
            </w:hyperlink>
            <w:r>
              <w:rPr/>
              <w:t xml:space="preserve"> [ </w:t>
            </w:r>
            <w:r>
              <w:rPr>
                <w:rFonts w:ascii="Times;serif" w:hAnsi="Times;serif"/>
                <w:color w:val="0000FF"/>
                <w:sz w:val="24"/>
                <w:shd w:fill="FFFFFF" w:val="clear"/>
              </w:rPr>
              <w:t>CTMX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1/36th of the shares subject to the option vest on each monthly anniversary measured from July 24, 2026 (the "Vesting Commencement Date"), such that 100% of the shares subject to the option will be fully vested and exercisable on the third anniversary of the Vesting Commencement Date, subject to the Reporting Person's continued service to the Issuer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Ogden, as Attorney-in-Fact for Charles S. Fuchs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576" TargetMode="External"/><Relationship Id="rId5" Type="http://schemas.openxmlformats.org/officeDocument/2006/relationships/hyperlink" Target="http://www.sec.gov/cgi-bin/browse-edgar?action=getcompany&amp;CIK=0001501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3484</Characters>
  <CharactersWithSpaces>4056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