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tmx-20250930.htm"/>
      <w:bookmarkStart w:id="1" w:name="ksctmx20250930"/>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QUARTERLY REPORT PURSUANT TO SECTION 13 OR 15(d) OF THE SECURITIES EXCHANGE ACT OF 1934</w:t>
            </w:r>
            <w:r>
              <w:rPr>
                <w:rFonts w:ascii="Times New Roman" w:hAnsi="Times New Roman"/>
                <w:color w:val="000000"/>
                <w:sz w:val="24"/>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12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4"/>
              </w:rPr>
            </w:pP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4"/>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 to _</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 001-37587</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8"/>
        </w:rPr>
        <w:t>CytomX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27-3521219</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151 Oyster Point Blvd., Suite 400</w:t>
            </w:r>
          </w:p>
          <w:p>
            <w:pPr>
              <w:pStyle w:val="TableContents"/>
              <w:bidi w:val="0"/>
              <w:jc w:val="center"/>
              <w:rPr>
                <w:rFonts w:ascii="Times New Roman" w:hAnsi="Times New Roman"/>
                <w:b/>
                <w:color w:val="000000"/>
                <w:sz w:val="20"/>
              </w:rPr>
            </w:pPr>
            <w:r>
              <w:rPr>
                <w:rFonts w:ascii="Times New Roman" w:hAnsi="Times New Roman"/>
                <w:b/>
                <w:color w:val="000000"/>
                <w:sz w:val="20"/>
              </w:rPr>
              <w:t>South San Francisco, CA</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94080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sz w:val="20"/>
        </w:rPr>
      </w:pPr>
      <w:r>
        <w:rPr>
          <w:rFonts w:ascii="Times New Roman" w:hAnsi="Times New Roman"/>
          <w:b/>
          <w:color w:val="000000"/>
          <w:sz w:val="20"/>
        </w:rPr>
        <w:t>(650) 515-3185</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rFonts w:ascii="Times New Roman" w:hAnsi="Times New Roman"/>
          <w:b/>
          <w:color w:val="000000"/>
          <w:sz w:val="16"/>
        </w:rPr>
      </w:pPr>
      <w:r>
        <w:rPr>
          <w:rFonts w:ascii="Times New Roman" w:hAnsi="Times New Roman"/>
          <w:b/>
          <w:color w:val="000000"/>
          <w:sz w:val="16"/>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jc w:val="center"/>
        <w:rPr>
          <w:rFonts w:ascii="Times New Roman" w:hAnsi="Times New Roman"/>
          <w:b/>
          <w:color w:val="000000"/>
          <w:sz w:val="16"/>
        </w:rPr>
      </w:pPr>
      <w:r>
        <w:rPr>
          <w:rFonts w:ascii="Times New Roman" w:hAnsi="Times New Roman"/>
          <w:b/>
          <w:color w:val="000000"/>
          <w:sz w:val="16"/>
        </w:rPr>
        <w:t>__________________________________</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755" w:type="dxa"/>
        <w:jc w:val="left"/>
        <w:tblInd w:w="0" w:type="dxa"/>
        <w:tblLayout w:type="fixed"/>
        <w:tblCellMar>
          <w:top w:w="28" w:type="dxa"/>
          <w:left w:w="28" w:type="dxa"/>
          <w:bottom w:w="28" w:type="dxa"/>
          <w:right w:w="28" w:type="dxa"/>
        </w:tblCellMar>
      </w:tblPr>
      <w:tblGrid>
        <w:gridCol w:w="3421"/>
        <w:gridCol w:w="146"/>
        <w:gridCol w:w="1561"/>
        <w:gridCol w:w="146"/>
        <w:gridCol w:w="348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Common Stock, $0.00001 par value per share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CTMX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Global Select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rFonts w:ascii="Times New Roman" w:hAnsi="Times New Roman"/>
          <w:color w:val="000000"/>
          <w:sz w:val="20"/>
        </w:rPr>
      </w:pPr>
      <w:r>
        <w:rPr>
          <w:rFonts w:ascii="Times New Roman" w:hAnsi="Times New Roman"/>
          <w:color w:val="000000"/>
          <w:sz w:val="20"/>
        </w:rPr>
        <w:t xml:space="preserve">As of October 31, 2025, the registrant had 169,435,395 shares of common stock, $0.00001 par value per share, outstanding.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FORM 10-Q FOR THE QUARTER ENDED SEPTEMBER 30, 2025</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30" w:type="dxa"/>
        <w:jc w:val="left"/>
        <w:tblInd w:w="0" w:type="dxa"/>
        <w:tblLayout w:type="fixed"/>
        <w:tblCellMar>
          <w:top w:w="28" w:type="dxa"/>
          <w:left w:w="28" w:type="dxa"/>
          <w:bottom w:w="28" w:type="dxa"/>
          <w:right w:w="28" w:type="dxa"/>
        </w:tblCellMar>
      </w:tblPr>
      <w:tblGrid>
        <w:gridCol w:w="811"/>
        <w:gridCol w:w="146"/>
        <w:gridCol w:w="7366"/>
        <w:gridCol w:w="146"/>
        <w:gridCol w:w="36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 – FINANCIAL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financial_statements">
              <w:r>
                <w:rPr>
                  <w:rStyle w:val="InternetLink"/>
                  <w:rFonts w:ascii="Times New Roman" w:hAnsi="Times New Roman"/>
                  <w:color w:val="0000FF"/>
                  <w:sz w:val="20"/>
                  <w:u w:val="single"/>
                </w:rPr>
                <w:t>Condensed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statements_operations_comprehe">
              <w:r>
                <w:rPr>
                  <w:rStyle w:val="InternetLink"/>
                  <w:rFonts w:ascii="Times New Roman" w:hAnsi="Times New Roman"/>
                  <w:color w:val="0000FF"/>
                  <w:sz w:val="20"/>
                  <w:u w:val="single"/>
                </w:rPr>
                <w:t>Condensed Statements of Operations and Comprehensive Income (Loss)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statements_stockholders_equity">
              <w:r>
                <w:rPr>
                  <w:rStyle w:val="InternetLink"/>
                  <w:rFonts w:ascii="Times New Roman" w:hAnsi="Times New Roman"/>
                  <w:color w:val="0000FF"/>
                  <w:sz w:val="20"/>
                  <w:u w:val="single"/>
                </w:rPr>
                <w:t>Condensed Statements of Stockholders’ Equity (Deficit)</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Condensed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quantitative_and_qualitative_disclosure">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 – OTHER INFORMATION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323"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expectations regarding the potential benefits, activity, effectiveness and safety of our product candidates and therapeutics developed utilizing our PROBODY® conditionally activated platform technology;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timing of the completion of our ongoing clinical trials and the timing and availability of clinical data from such clinical trials;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identify and develop additional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dependence on collaborators for developing, obtaining regulatory approval for and commercializing product candidates in the collaboration;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or a collaborator’s ability to obtain and maintain regulatory approval of any of our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receipt and timing of any milestone payments or royalties under any research collaboration and license agreements or arrangements;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expectations and beliefs regarding the evolution of the market for cancer therapies and development of the oncology industry;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rate and degree of market acceptance of any approved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commercialization of any approved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establish and maintain collaborations and retain commercial rights for our product candidates in such collaborations;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implementation of our business model and strategic plans for our business, technologies and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estimates of our expenses, ongoing losses, future revenue and capital requirements;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or any collaborator’s ability to obtain and maintain intellectual property protection for our technologies and product candidates and our ability to operate our business without infringing the intellectual property rights of others;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reliance on third parties to conduct our preclinical studies or any future clinical trials;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reliance on third-party supply and manufacturing partners to supply the materials and components for, and manufacture, our research and development, preclinical and clinical trial product supplies, including third parties in Europe and China;</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attract and retain qualified key management and technical personnel;</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secure and maintain licenses of intellectual property to protect our technologies and product candidates;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developments relating to our competitors, our industry, international conflict or uncertainties;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extent to which any future pandemic and related governmental regulations and restrictions may impact our business, including our research, clinical trials, which include ongoing site initiation and patient enrollment, manufacturing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where the context otherwise requires, in this Quarterly Report on Form 10-Q, “we,” “us,” “our” and the “Company” refer to CytomX Therapeutics, Inc.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Trademarks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includes trademarks, service marks and trade names owned by us or other companies. All trademarks, service marks and trade names included in this Quarterly Report on Form 10-Q are the property of their respective owners.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2" w:name="condensed_financial_statements"/>
      <w:bookmarkEnd w:id="2"/>
      <w:r>
        <w:rPr>
          <w:rFonts w:ascii="Times New Roman" w:hAnsi="Times New Roman"/>
          <w:b/>
          <w:color w:val="000000"/>
          <w:sz w:val="20"/>
        </w:rPr>
        <w:t>Item 1. Condensed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bookmarkStart w:id="3" w:name="condensed_balance_sheets"/>
      <w:bookmarkEnd w:id="3"/>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7180" w:type="dxa"/>
        <w:jc w:val="left"/>
        <w:tblInd w:w="0" w:type="dxa"/>
        <w:tblLayout w:type="fixed"/>
        <w:tblCellMar>
          <w:top w:w="28" w:type="dxa"/>
          <w:left w:w="28" w:type="dxa"/>
          <w:bottom w:w="28" w:type="dxa"/>
          <w:right w:w="28" w:type="dxa"/>
        </w:tblCellMar>
      </w:tblPr>
      <w:tblGrid>
        <w:gridCol w:w="4096"/>
        <w:gridCol w:w="146"/>
        <w:gridCol w:w="228"/>
        <w:gridCol w:w="912"/>
        <w:gridCol w:w="166"/>
        <w:gridCol w:w="146"/>
        <w:gridCol w:w="219"/>
        <w:gridCol w:w="876"/>
        <w:gridCol w:w="3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 short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long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 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(691,579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condensed balance sheet as of December 31, 2024 was derived from the audited financial statements included in the Company's Annual Report on Form 10-K for the year ended December 31, 2024.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bookmarkStart w:id="4" w:name="condensed_statements_operations_comprehe"/>
      <w:bookmarkEnd w:id="4"/>
      <w:r>
        <w:rPr>
          <w:rFonts w:ascii="Times New Roman" w:hAnsi="Times New Roman"/>
          <w:b/>
          <w:color w:val="000000"/>
          <w:sz w:val="20"/>
        </w:rPr>
        <w:t>CONDENSED STATEMENTS OF 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500"/>
        <w:gridCol w:w="211"/>
        <w:gridCol w:w="1141"/>
        <w:gridCol w:w="166"/>
        <w:gridCol w:w="146"/>
        <w:gridCol w:w="211"/>
        <w:gridCol w:w="1036"/>
        <w:gridCol w:w="166"/>
        <w:gridCol w:w="146"/>
        <w:gridCol w:w="211"/>
        <w:gridCol w:w="1141"/>
        <w:gridCol w:w="146"/>
        <w:gridCol w:w="146"/>
        <w:gridCol w:w="211"/>
        <w:gridCol w:w="1036"/>
        <w:gridCol w:w="591"/>
      </w:tblGrid>
      <w:tr>
        <w:trPr/>
        <w:tc>
          <w:tcPr>
            <w:tcW w:w="3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100,010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0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investments, net of tax</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used to compute net income (loss) per share</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165,004,291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85,093,227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127,352,366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84,005,093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165,004,291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85,204,709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128,859,852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84,428,843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bookmarkStart w:id="5" w:name="statements_stockholders_equity"/>
      <w:bookmarkEnd w:id="5"/>
      <w:r>
        <w:rPr>
          <w:rFonts w:ascii="Times New Roman" w:hAnsi="Times New Roman"/>
          <w:b/>
          <w:color w:val="000000"/>
          <w:sz w:val="20"/>
        </w:rPr>
        <w:t>CONDENSED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2"/>
        <w:gridCol w:w="146"/>
        <w:gridCol w:w="146"/>
        <w:gridCol w:w="1141"/>
        <w:gridCol w:w="146"/>
        <w:gridCol w:w="146"/>
        <w:gridCol w:w="261"/>
        <w:gridCol w:w="430"/>
        <w:gridCol w:w="146"/>
        <w:gridCol w:w="146"/>
        <w:gridCol w:w="211"/>
        <w:gridCol w:w="781"/>
        <w:gridCol w:w="146"/>
        <w:gridCol w:w="146"/>
        <w:gridCol w:w="404"/>
        <w:gridCol w:w="812"/>
        <w:gridCol w:w="166"/>
        <w:gridCol w:w="146"/>
        <w:gridCol w:w="211"/>
        <w:gridCol w:w="841"/>
        <w:gridCol w:w="166"/>
        <w:gridCol w:w="146"/>
        <w:gridCol w:w="226"/>
        <w:gridCol w:w="840"/>
        <w:gridCol w:w="213"/>
      </w:tblGrid>
      <w:tr>
        <w:trPr/>
        <w:tc>
          <w:tcPr>
            <w:tcW w:w="2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80,099,889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and release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80,621,293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and release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in follow-on offering, net of issuance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76,923,076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164,911,115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119,910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165,069,647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107,389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172"/>
        <w:gridCol w:w="146"/>
        <w:gridCol w:w="146"/>
        <w:gridCol w:w="1036"/>
        <w:gridCol w:w="146"/>
        <w:gridCol w:w="146"/>
        <w:gridCol w:w="261"/>
        <w:gridCol w:w="430"/>
        <w:gridCol w:w="146"/>
        <w:gridCol w:w="146"/>
        <w:gridCol w:w="211"/>
        <w:gridCol w:w="781"/>
        <w:gridCol w:w="146"/>
        <w:gridCol w:w="146"/>
        <w:gridCol w:w="370"/>
        <w:gridCol w:w="846"/>
        <w:gridCol w:w="166"/>
        <w:gridCol w:w="146"/>
        <w:gridCol w:w="211"/>
        <w:gridCol w:w="841"/>
        <w:gridCol w:w="166"/>
        <w:gridCol w:w="146"/>
        <w:gridCol w:w="231"/>
        <w:gridCol w:w="810"/>
        <w:gridCol w:w="213"/>
      </w:tblGrid>
      <w:tr>
        <w:trPr/>
        <w:tc>
          <w:tcPr>
            <w:tcW w:w="2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67,310,838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and release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68,137,635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and release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Open Market Sale Agreement, net of issuance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7,499,951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78,117,601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78,232,601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(710,455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sz w:val="20"/>
        </w:rPr>
      </w:pPr>
      <w:bookmarkStart w:id="6" w:name="condensed_statements_cash_flows"/>
      <w:bookmarkEnd w:id="6"/>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809" w:type="dxa"/>
        <w:jc w:val="left"/>
        <w:tblInd w:w="0" w:type="dxa"/>
        <w:tblLayout w:type="fixed"/>
        <w:tblCellMar>
          <w:top w:w="28" w:type="dxa"/>
          <w:left w:w="28" w:type="dxa"/>
          <w:bottom w:w="28" w:type="dxa"/>
          <w:right w:w="28" w:type="dxa"/>
        </w:tblCellMar>
      </w:tblPr>
      <w:tblGrid>
        <w:gridCol w:w="5646"/>
        <w:gridCol w:w="146"/>
        <w:gridCol w:w="196"/>
        <w:gridCol w:w="751"/>
        <w:gridCol w:w="166"/>
        <w:gridCol w:w="146"/>
        <w:gridCol w:w="196"/>
        <w:gridCol w:w="751"/>
        <w:gridCol w:w="811"/>
      </w:tblGrid>
      <w:tr>
        <w:trPr/>
        <w:tc>
          <w:tcPr>
            <w:tcW w:w="5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12,993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Accretion of discounts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Accrued liabilities and 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(82,696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(66,323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(105,706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190,501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84,565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employee purchase plan and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23,515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41,603</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bookmarkStart w:id="7" w:name="notes_to_condensed_financial_statements"/>
      <w:bookmarkEnd w:id="7"/>
      <w:r>
        <w:rPr>
          <w:rFonts w:ascii="Times New Roman" w:hAnsi="Times New Roman"/>
          <w:b/>
          <w:color w:val="000000"/>
          <w:sz w:val="20"/>
        </w:rPr>
        <w:t>1. Description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CytomX Therapeutics, Inc. (the “Company”) is a clinical-stage, oncology-focused biopharmaceutical company developing potent biologics designed to remain masked and inactive in healthy tissue and to be unmasked and preferentially activated in the tumor microenvironment. The Company aims to build a commercial enterprise to maximize its impact on the treatment of cancer. The Company is advancing potential first-in-class and best-in-class therapeutics created using its PROBODY® therapeutic technology platform that could meaningfully improve outcomes for cancer patients. Its proprietary and unique PROBODY technology platform is designed to enable “conditional activation” of masked drug candidates in the tumor microenvironment across multiple therapeutic modalities. The Company is located in South San Francisco, California and was incorporated in the state of Delaware in September 2010.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Basis of Presentation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results of operations for this interim period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2024 filed with the SEC.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financial statements in conformity with U.S. GAAP requires management to make estimates and assumptions that affect the reported amounts of assets and liabilities, disclosure of contingent liabilities at the date of the financial statements and reported amounts of revenues and expenses during the reporting periods. Actual results could differ from those estimates.</w:t>
      </w:r>
    </w:p>
    <w:p>
      <w:pPr>
        <w:pStyle w:val="TextBody"/>
        <w:bidi w:val="0"/>
        <w:spacing w:before="360" w:after="283"/>
        <w:jc w:val="left"/>
        <w:rPr>
          <w:rFonts w:ascii="Times New Roman" w:hAnsi="Times New Roman"/>
          <w:sz w:val="20"/>
        </w:rPr>
      </w:pPr>
      <w:r>
        <w:rPr>
          <w:rFonts w:ascii="Times New Roman" w:hAnsi="Times New Roman"/>
          <w:b/>
          <w:i/>
          <w:color w:val="000000"/>
          <w:sz w:val="20"/>
        </w:rPr>
        <w:t>Significant Accounting Policie</w:t>
      </w:r>
      <w:r>
        <w:rPr>
          <w:rFonts w:ascii="Times New Roman" w:hAnsi="Times New Roman"/>
          <w:b/>
          <w:color w:val="000000"/>
          <w:sz w:val="20"/>
        </w:rPr>
        <w: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significant accounting policies this interim period, as compared to the significant accounting policies disclosed in “Note 2. Basis of Presentation and Summary of Significant Accounting Policies” of the “Notes to Financial Statements” included in Part II, Item 8 of our 2024 Annual Report on Form 10-K for the year ended December 31, 2024 filed with the SEC.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Standards Not Yet Adopted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November 2024, the Financial Accounting Standards Board (“FASB”) issued Accounts Standards Update (“ASU”) 2024-03, Disaggregation of Income Statement Expenses ("ASU 2024-03"), which enhances transparency in income statement disclosures. ASU 2024-03 requires entities to disclose detailed information about specific components of income statement expenses, such as employee compensation, depreciation, and amortization, as well as other significant expense categories. The objective is to provide financial statement users with greater insight into the nature and variability of expenses, improving their ability to analyze financial performance and make informed decisions. ASU 2025-01 clarified that this ASU 2024-03 is effective for the annual reporting periods beginning after December 15, 2026 and for interim periods within annual reporting periods beginning after December 15, 2027 with early adoption permitted. The Company expects to adopt this ASU during the year ended December 31, 2027 on a prospective basis and is currently evaluating the impact on its financial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In December 2023, the FASB issued ASU 2023-09, Income Taxes (Topic 740): Improvements to Income Tax Disclosures ("ASU 2023-09"), which enhances transparency in income tax disclosures. ASU 2023-09 requires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requires entities to disclose their income tax payments to international, federal, state and local jurisdictions, among other changes. The Company will adopt this ASU as of December 31, 2025 on a prospective basis and is currently evaluating the impact on its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Net Income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Basic net income (loss) per share is calculated by dividing the net income (loss) by the weighted-average number of shares of common stock outstanding for the period. Diluted net income (loss) per share is calculated using the weighted-average number of common shares outstanding, plus potential dilutive common stock during the period. Diluted net loss per share is the same as basic net loss per share in the period when the effect of the potentially dilutive securities is anti-dilutive. The pre-funded warrants are included in both the basic and diluted EPS calculation.</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calculation of basic and diluted net income per share: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20"/>
        <w:gridCol w:w="211"/>
        <w:gridCol w:w="1141"/>
        <w:gridCol w:w="166"/>
        <w:gridCol w:w="146"/>
        <w:gridCol w:w="211"/>
        <w:gridCol w:w="1036"/>
        <w:gridCol w:w="146"/>
        <w:gridCol w:w="146"/>
        <w:gridCol w:w="211"/>
        <w:gridCol w:w="1141"/>
        <w:gridCol w:w="146"/>
        <w:gridCol w:w="146"/>
        <w:gridCol w:w="211"/>
        <w:gridCol w:w="1036"/>
        <w:gridCol w:w="491"/>
      </w:tblGrid>
      <w:tr>
        <w:trPr/>
        <w:tc>
          <w:tcPr>
            <w:tcW w:w="36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data)</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Basic</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165,004,291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78,170,101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127,352,366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77,081,967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pre-funded warrants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6,923,126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 outstanding used to calculate basic net income (loss) per share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165,004,291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85,093,227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127,352,366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84,005,093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Diluted</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used to calculate basic net income (loss) per share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165,004,291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85,093,227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127,352,366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84,005,093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potentially dilutive securities:</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62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 options, ESPP &amp; 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423,750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 outstanding used to calculate diluted net income (loss) per share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165,004,291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85,204,709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128,859,852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84,428,843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weighted-average outstanding shares of potentially dilutive securities are excluded from the computation of diluted net income (loss) per share for the periods presented, because including them would have been anti-dilutive:</w:t>
      </w:r>
    </w:p>
    <w:p>
      <w:pPr>
        <w:pStyle w:val="TextBody"/>
        <w:bidi w:val="0"/>
        <w:jc w:val="left"/>
        <w:rPr/>
      </w:pPr>
      <w:r>
        <w:rPr/>
        <w:t> </w:t>
      </w:r>
    </w:p>
    <w:tbl>
      <w:tblPr>
        <w:tblW w:w="9691" w:type="dxa"/>
        <w:jc w:val="left"/>
        <w:tblInd w:w="0" w:type="dxa"/>
        <w:tblLayout w:type="fixed"/>
        <w:tblCellMar>
          <w:top w:w="28" w:type="dxa"/>
          <w:left w:w="28" w:type="dxa"/>
          <w:bottom w:w="28" w:type="dxa"/>
          <w:right w:w="28" w:type="dxa"/>
        </w:tblCellMar>
      </w:tblPr>
      <w:tblGrid>
        <w:gridCol w:w="3796"/>
        <w:gridCol w:w="146"/>
        <w:gridCol w:w="1036"/>
        <w:gridCol w:w="146"/>
        <w:gridCol w:w="146"/>
        <w:gridCol w:w="146"/>
        <w:gridCol w:w="1036"/>
        <w:gridCol w:w="146"/>
        <w:gridCol w:w="146"/>
        <w:gridCol w:w="146"/>
        <w:gridCol w:w="1036"/>
        <w:gridCol w:w="146"/>
        <w:gridCol w:w="146"/>
        <w:gridCol w:w="146"/>
        <w:gridCol w:w="1036"/>
        <w:gridCol w:w="2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and ESPP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15,984,069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14,583,619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13,584,042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14,262,791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11,538,462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9,615,385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11,538,462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24,661,881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27,860,294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23,321,529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26,018,980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Measurements and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the fair value of financial and non-financial assets and liabilities using the fair value hierarchy, which establishes three levels of inputs that may be used to measure fair value,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I: Inputs which include quoted prices in active markets for identical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III: Unobservable inputs that are supported by little or no market activity and that are significant to the fair value of the assets or liabilities.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carrying amounts of the Company’s financial instruments, including restricted cash, accounts receivable, accounts payable and accrued liabilities approximate fair value due to their relatively short maturities. The Company’s financial instruments consist of Level I and Level II assets which consist primarily of highly liquid money market funds, some of which are included in restricted cash and U.S. Treasury securities that are included in cash equivalents or short-term investments. Our Level II marketable securities are valued using third-party pricing sources, which can include observable market prices, interest rates and yield curves observable at commonly quoted intervals for similar assets as observable inputs for pricing.</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tables set forth the fair value of the Company’s investments subject to fair value measurements on a recurring basis and the level of inputs used in such measurements:</w:t>
      </w:r>
    </w:p>
    <w:p>
      <w:pPr>
        <w:pStyle w:val="TextBody"/>
        <w:bidi w:val="0"/>
        <w:jc w:val="left"/>
        <w:rPr/>
      </w:pPr>
      <w:r>
        <w:rPr/>
        <w:t> </w:t>
      </w:r>
    </w:p>
    <w:tbl>
      <w:tblPr>
        <w:tblW w:w="8057" w:type="dxa"/>
        <w:jc w:val="left"/>
        <w:tblInd w:w="0" w:type="dxa"/>
        <w:tblLayout w:type="fixed"/>
        <w:tblCellMar>
          <w:top w:w="28" w:type="dxa"/>
          <w:left w:w="28" w:type="dxa"/>
          <w:bottom w:w="28" w:type="dxa"/>
          <w:right w:w="28" w:type="dxa"/>
        </w:tblCellMar>
      </w:tblPr>
      <w:tblGrid>
        <w:gridCol w:w="3266"/>
        <w:gridCol w:w="856"/>
        <w:gridCol w:w="146"/>
        <w:gridCol w:w="211"/>
        <w:gridCol w:w="781"/>
        <w:gridCol w:w="146"/>
        <w:gridCol w:w="146"/>
        <w:gridCol w:w="309"/>
        <w:gridCol w:w="621"/>
        <w:gridCol w:w="146"/>
        <w:gridCol w:w="146"/>
        <w:gridCol w:w="211"/>
        <w:gridCol w:w="781"/>
        <w:gridCol w:w="291"/>
      </w:tblGrid>
      <w:tr>
        <w:trPr/>
        <w:tc>
          <w:tcPr>
            <w:tcW w:w="326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 xml:space="preserve">Unrealized </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 (money market funds)</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124,403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8359" w:type="dxa"/>
        <w:jc w:val="left"/>
        <w:tblInd w:w="0" w:type="dxa"/>
        <w:tblLayout w:type="fixed"/>
        <w:tblCellMar>
          <w:top w:w="28" w:type="dxa"/>
          <w:left w:w="28" w:type="dxa"/>
          <w:bottom w:w="28" w:type="dxa"/>
          <w:right w:w="28" w:type="dxa"/>
        </w:tblCellMar>
      </w:tblPr>
      <w:tblGrid>
        <w:gridCol w:w="3266"/>
        <w:gridCol w:w="346"/>
        <w:gridCol w:w="856"/>
        <w:gridCol w:w="146"/>
        <w:gridCol w:w="211"/>
        <w:gridCol w:w="781"/>
        <w:gridCol w:w="146"/>
        <w:gridCol w:w="146"/>
        <w:gridCol w:w="335"/>
        <w:gridCol w:w="551"/>
        <w:gridCol w:w="146"/>
        <w:gridCol w:w="146"/>
        <w:gridCol w:w="211"/>
        <w:gridCol w:w="781"/>
        <w:gridCol w:w="291"/>
      </w:tblGrid>
      <w:tr>
        <w:trPr/>
        <w:tc>
          <w:tcPr>
            <w:tcW w:w="32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 (money market funds)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101,870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September 30, 2025, the remaining contractual terms of those investments are less than a year. Based on the scheduled maturities of our marketable securities, we determined that it was more likely than not that we will hold these marketable securities to maturity for a recovery of our cost basis.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consisted of the following:</w:t>
      </w:r>
    </w:p>
    <w:tbl>
      <w:tblPr>
        <w:tblW w:w="5810" w:type="dxa"/>
        <w:jc w:val="left"/>
        <w:tblInd w:w="0" w:type="dxa"/>
        <w:tblLayout w:type="fixed"/>
        <w:tblCellMar>
          <w:top w:w="28" w:type="dxa"/>
          <w:left w:w="28" w:type="dxa"/>
          <w:bottom w:w="28" w:type="dxa"/>
          <w:right w:w="28" w:type="dxa"/>
        </w:tblCellMar>
      </w:tblPr>
      <w:tblGrid>
        <w:gridCol w:w="2746"/>
        <w:gridCol w:w="146"/>
        <w:gridCol w:w="271"/>
        <w:gridCol w:w="869"/>
        <w:gridCol w:w="146"/>
        <w:gridCol w:w="146"/>
        <w:gridCol w:w="260"/>
        <w:gridCol w:w="835"/>
        <w:gridCol w:w="3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Collaboration and 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revenue by collaboration partner:</w:t>
      </w:r>
    </w:p>
    <w:p>
      <w:pPr>
        <w:pStyle w:val="TextBody"/>
        <w:bidi w:val="0"/>
        <w:jc w:val="left"/>
        <w:rPr/>
      </w:pPr>
      <w:r>
        <w:rPr/>
        <w:t> </w:t>
      </w:r>
    </w:p>
    <w:tbl>
      <w:tblPr>
        <w:tblW w:w="7296" w:type="dxa"/>
        <w:jc w:val="left"/>
        <w:tblInd w:w="0" w:type="dxa"/>
        <w:tblLayout w:type="fixed"/>
        <w:tblCellMar>
          <w:top w:w="28" w:type="dxa"/>
          <w:left w:w="28" w:type="dxa"/>
          <w:bottom w:w="28" w:type="dxa"/>
          <w:right w:w="28" w:type="dxa"/>
        </w:tblCellMar>
      </w:tblPr>
      <w:tblGrid>
        <w:gridCol w:w="2061"/>
        <w:gridCol w:w="211"/>
        <w:gridCol w:w="571"/>
        <w:gridCol w:w="146"/>
        <w:gridCol w:w="146"/>
        <w:gridCol w:w="211"/>
        <w:gridCol w:w="676"/>
        <w:gridCol w:w="366"/>
        <w:gridCol w:w="346"/>
        <w:gridCol w:w="211"/>
        <w:gridCol w:w="676"/>
        <w:gridCol w:w="146"/>
        <w:gridCol w:w="146"/>
        <w:gridCol w:w="211"/>
        <w:gridCol w:w="781"/>
        <w:gridCol w:w="391"/>
      </w:tblGrid>
      <w:tr>
        <w:trPr/>
        <w:tc>
          <w:tcPr>
            <w:tcW w:w="2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Amgen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Astellas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Bristol Myers Squibb</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Regeneron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Moderna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Amgen,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29, 2017, the Company and Amgen, Inc. (“Amgen”) entered into a Collaboration and License Agreement (the “Amgen Agreement”). Pursuant to the Amgen Agreement, the Company received an upfront payment of $40.0 million in October 2017. Concurrent with the Amgen Agreement, the Company and Amgen entered into a Share Purchase Agreement pursuant to which Amgen purchased 1,156,069 shares of the Company’s common stock at a price of $17.30 per share for total proceeds of $20.0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terms of the Amgen Agreement, as amended, the Company and Amgen were co-developing a conditionally activated T-cell engager (“TCE”) targeting epidermal growth factor receptor (the “EGFR Products”). The Company was responsible for early-stage development of EGFR Products and Amgen was to be responsible for late-stage development and commercialization of EGFR Products. Following potential advancement beyond early-stage development, the Company had the right to elect to participate financially in the global co-development of EGFR Products with Amgen, during which the Company would have been responsible for a certain percentage of the worldwide development costs and entitled to certain percentage of profit sharing in the U.S., for EGFR Products. In addition, the Company was also eligible to receive up to $460.0 million in development, regulatory, and commercial milestone payments for EGFR Products, and royalties in certain percentages of worldwide commercial sales.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October 2021, CytomX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 In each of May 2023 and March 2024, CytomX and Amgen executed an amendment to the Amgen Agreement to extend the target selection period for Amgen to select its additional targets.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Amgen had the right to select a total of up to three targets, including the two additional targets. The Company and Amgen collaborated in the research and development of conditionally activated T-cell engaging bispecifics therapies directed against such targets. Amgen had selected one such target (the “Amgen Other Product”). Except with respect to preclinical activities to be conducted by CytomX, Amgen would have been responsible, at its expense, for the development, manufacture, and commercialization of all Amgen Products.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2022, the IND for the EGFR product (CX-904) was allowed to proceed by the U.S. Food and Drug Administration (“FDA”) and the program progressed into Phase 1 dose escalation. In March 2025, CytomX and Amgen jointly decided to not continue CX-904 development and Amgen terminated its license to the EGFR Products. In April 2025, the Amgen Other Product was also terminated with 60 days written notice pursuant to the Amgen Agreement. A cumulative adjustment from a change in estimate of $8.4 million was recognized in the first quarter of 2025 due to Amgen terminating its license to the EGFR Product effective May 2025. The Amgen research collaboration remains in effect with the current scope being the preclinical TCE that CytomX selected from Amgen’s preclinical pipeline further discussed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the initiation of the collaboration, CytomX had the option to select from programs specified in the Amgen Agreement, an existing preclinical stage TCE product from the Amgen preclinical pipeline. In March 2018, CytomX selected the program and this program, CX-908, a PROBODY® T cell engager targeting CDH3 and CD3, is currently in preclinical development. CytomX is responsible, at its expense, for converting this program to a conditionally activated TCE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2025, the Company has completed its performance obligations related to the EGFR Products and the Amgen Other Products. The remaining deferred revenue of $0.3 million was fully recognized in the second quarter of 2025. As of December 31, 2024, deferred revenues related to the EGFR Products performance obligation was $9.7 million and was immaterial for the Amgen Other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Astellas Pharma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terms of the Astellas Agreement, the Company granted Astellas an exclusive, worldwide right to develop and commercialize PROBODY therapeutics for up to four collaboration targets including one initial target and three additional targets (“Additional Targets”). In addition, Astellas had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participation is at the Company’s discretion.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Astellas Agreement, the consideration from Astellas was comprised of an upfront fee of $80.0 million and total potential contingent payments for development, regulatory and sales milestones of up to an aggregate of approximately $1.6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full-time employee ("FTE") 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January 2023, the Company announced that it achieved a clinical candidate milestone under the Astellas Agreement which triggered a $5.0 million milestone payment to the Company which was fully recognized in the first quarter of 2023 as the Company had completed its related performance obligation of the first collaboration target which resulted in the clinical candidate nomination for further development. In March 2024, the Company announced that it achieved the good laboratory practices ("GLPs") toxicology milestone for this candidate which triggered a $5.0 million milestone payment to the Company. The $5.0 million milestone payment was fully recognized in the first quarter of 2024 as the Company had completed its related performance obligation of this first collaboration target. Also, in March 2024, the Company announced that it achieved a clinical candidate milestone for a second collaboration target under the Astellas Agreement which triggered an additional $5.0 million milestone payment to the Company. The $5.0 million milestone payment was fully recognized in the first quarter of 2024 as the Company had completed its related performance obligation of the second collaboration target which resulted in the clinical candidate nomination for further development. In the first quarter of 2025, Astellas initiated GLP toxicology studies for the second collaboration target, triggering a $5.0 million milestone payment to CytomX. The $5.0 million milestone payment was fully recognized in the first quarter of 2025 as the Company had completed its related performance obligation of this second collaboration target.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and December 31, 2024, deferred revenue relating to the Astellas Agreement was $7.2 million and $17.4 million, respectively. The amount due from Astellas under the Astellas Agreement was $1.1 million as of September 30, 2025 and $1.1 million as of December 31, 2024.</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Bristol Myers Squibb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23, 2014, the Company and Bristol Myers Squibb Company (“Bristol Myers Squibb” or “BMS”) entered into a Collaboration and License Agreement (the “BMS Agreement”) to discover and develop compounds for use in human therapeutics aimed at multiple immuno-oncology targets using the Company’s PROBODY therapeutic technology, including the target CTLA-4. The effective date of the BMS Agreement was July 7, 2014.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BMS Agreement, the financial consideration from Bristol Myers Squibb was comprised of an upfront payment of $50.0 million and estimated research and development service fees, and the Company was initially entitled to receive contingent payments of up to $25.0 million for additional targets and contingent payments for development, regulatory and sales milestones. In addition, the Company was entitled to royalty payments in the mid-single digits to low double-digit percentages from potential future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17, 2017, the Company and Bristol Myers Squibb amended the BMS Agreement and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Amendment 1, the financial consideration from Bristol Myers Squibb was comprised of an upfront payment of $200.0 million, estimated research and development service fees, and contingent payments for development, regulatory and sales milestones for the eight targets. The Company was also entitled to tiered mid-single to low double-digit percentage royalties from potential future sales. Amendment 1 did not change the term of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February 2021, the Company and Bristol Myers Squibb amended the BMS Agreement and entered into Amendment Number 2 to amend the Collaboration and License Agreement (“Amendment 2”), as previously amended by Amendment 1. Subsequent to Amendment 2, in addition to Bristol Myers Squibb’s ongoing development of the CTLA-4 program, Bristol Myers Squibb also had the exclusive worldwide rights to develop and commercialize PROBODY therapeutics for up to five oncology targets. Under the terms of Amendment 2, the period for target selection was extended and in 2022, all remaining targets were selected. The Company continues to collaborate with Bristol Myers Squibb to discover and conduct preclinical development of PROBODY therapeutics against targets selected by Bristol Myers Squibb over the estimated research period, which is projected to end in April 2025. Pursuant to Amendment 2, the Company was eligible to receive contingent payments for development, regulatory and sales milestones. It is also entitled to tiered mid-single to low double-digit percentage of royalties from potential future sales. The Company accounted for Amendment 2 as a modification and reallocated the remaining unrecognized transaction price to the remaining performance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October 2022, the Company and Bristol Myers Squibb amended the BMS Agreement and entered into Amendment Number 3 (“Amendment 3”), as previously amended by Amendment 1 and Amendment 2, to clarify the rights and restrictions of certain new proprietary antibodies that the parties exchanged. There were no substantive changes to each party's performance obligations.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March 2024, following a Bristol Myers Squibb corporate portfolio prioritization process, Bristol Myers Squibb notified CytomX that it does not intend to continue the development of BMS-986288 beyond the current Phase 2 study and terminated its collaboration license to the CTLA-4 target under the collaboration. BMS-986288 was Bristol Myers Squibb’s leading next generation PROBODY CTLA-4 program that it had previously prioritized over BMS-986249, which was a PROBODY version of ipilimumab.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June 2024, Bristol Myers Squibb prioritized its pre-clinical research activities under the collaboration and revised the research scope by one collaboration target. The Company determined that it has no further obligations related to the target that was deprioritized and accounted for the reduction of the target as a modification and the related remaining unrecognized transaction price was reallocated to the remaining performance obligations. As of December 31, 2024, deferred revenue relating to BMS Agreement was $41.9 million. The Company's research efforts on all the ongoing programs were completed in April 2025 upon which the $11.6 million of remaining deferred revenue was recognized in the second quarter of 2025. In May 2025, one collaboration target was also terminated with two months written notice pursuant to the BMS Agreement and two preclinical programs remain in development with Bristol Myers Squibb responsible for further advancement.</w:t>
      </w:r>
    </w:p>
    <w:p>
      <w:pPr>
        <w:pStyle w:val="TextBody"/>
        <w:bidi w:val="0"/>
        <w:spacing w:before="360" w:after="283"/>
        <w:jc w:val="left"/>
        <w:rPr>
          <w:rFonts w:ascii="Times New Roman" w:hAnsi="Times New Roman"/>
          <w:sz w:val="20"/>
        </w:rPr>
      </w:pPr>
      <w:r>
        <w:rPr>
          <w:rFonts w:ascii="Times New Roman" w:hAnsi="Times New Roman"/>
          <w:b/>
          <w:i/>
          <w:color w:val="000000"/>
          <w:sz w:val="20"/>
        </w:rPr>
        <w:t>ModernaTX,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and ModernaTX, Inc. (“Moderna”) entered into a Collaboration and License Agreement (the “Moderna Agreement”) on December 30, 2022, the effective date, to collaborate on discovery and preclinical research and development activities to create investigational messenger RNA (mRNA) based conditionally activated therapies using the Company’s PROBODY therapeutic technology. Moderna is solely responsible for the development (preclinical and clinical), manufacturing, and commercialization of any products under the Moderna Agreement.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terms of the Moderna Agreement, the Company granted Moderna an exclusive, worldwide right to develop and commercialize PROBODY therapeutics for the collaboration programs. In exchange, the Company received an upfront payment of $35.0 million in January 2023, including $5.0 million of prepaid research and development service fees. The Company will continue to receive research and development service fees according to the preclinical research work plans based on a prescribed FTE rate and is eligible to receive up to approximately $1.2 billion in future development, regulatory, and commercial milestone payments. The Company is also eligible to receive tiered royalties from high-single digit to low-teen percentage rates of annual global net sales of any products that are commercialized under the Moderna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Due to Moderna's budget considerations in 2025, the Company's remaining activities for its performance obligation are currently expected to be carried out primarily in 2026 and 2027. As of September 30, 2025 and December 31, 2024, deferred revenue relating to the Moderna Agreement was $9.3 million and $9.3 million, respectively. The amount due from Moderna under the Moderna Agreement was $0.0 and $0.9 million as of September 30, 2025 and December 31, 2024,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Regeneron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and Regeneron Pharmaceuticals Inc. (“Regeneron”) entered into a Collaboration and License Agreement (the “Regeneron Agreement”) on November 16, 2022, to collaborate on creation of conditionally-activated investigational bispecific cancer therapies utilizing the Company’s PROBODY therapeutic platform and Regeneron’s Veloci-Bi® bispecific antibody development platform. The Company and Regeneron will collaborate on preclinical research and discovery activities for initially agreed upon collaboration programs (“Collaboration Program”) with an option to expand additional Collaboration Programs (“Additional Collaboration Program Option”).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Collaboration and License Agreement, the Company granted Regeneron an exclusive, worldwide, royalty-bearing license under certain Company intellectual property to develop, manufacture, commercialize and otherwise exploit licensed products (“Licensed Products”) for all human and non-human diagnostic, prophylactic and therapeutic uses in oncology. Regeneron is responsible for funding the cost of preclinical research and discovery activities of both parties for all Licensed Products and for funding the cost of development, manufacturing and commercialization of all Licensed Products worldwide.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Regeneron Agreement, the consideration from Regeneron is comprised of an upfront fee of $30.0 million, contingent payments for development and regulatory milestones and commercial milestone payments of up to an aggregate of approximately $0.8 billion. If Regeneron exercises its Additional Collaboration Program Option, the Company would be eligible to receive additional upfront and milestone payments aggregating up to approximately $1.2 billion. The Company is also entitled to tiered royalties from high-single digit to low-teen percentage royalties from potential future sales. In addition, the Company will receive research and development service fees based on a prescribed FTE 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and December 31, 2024, deferred revenue relating to the Regeneron Agreement was $11.4 million and $15.6 million, respectively. The amount due from Regeneron under the Regeneron Agreement was $0.4 million and $1.0 million as of September 30, 2025 and December 31, 2024, respectively.</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Contract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changes in the Company’s total contract liabilities during the nine months ended September 30, 2025 and 2024:</w:t>
      </w:r>
    </w:p>
    <w:p>
      <w:pPr>
        <w:pStyle w:val="TextBody"/>
        <w:bidi w:val="0"/>
        <w:jc w:val="left"/>
        <w:rPr/>
      </w:pPr>
      <w:r>
        <w:rPr/>
        <w:t> </w:t>
      </w:r>
    </w:p>
    <w:tbl>
      <w:tblPr>
        <w:tblW w:w="3392" w:type="dxa"/>
        <w:jc w:val="left"/>
        <w:tblInd w:w="0" w:type="dxa"/>
        <w:tblLayout w:type="fixed"/>
        <w:tblCellMar>
          <w:top w:w="28" w:type="dxa"/>
          <w:left w:w="28" w:type="dxa"/>
          <w:bottom w:w="28" w:type="dxa"/>
          <w:right w:w="28" w:type="dxa"/>
        </w:tblCellMar>
      </w:tblPr>
      <w:tblGrid>
        <w:gridCol w:w="1621"/>
        <w:gridCol w:w="332"/>
        <w:gridCol w:w="1228"/>
        <w:gridCol w:w="211"/>
      </w:tblGrid>
      <w:tr>
        <w:trPr/>
        <w:tc>
          <w:tcPr>
            <w:tcW w:w="162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2024</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Additions</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recognized</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September 30, 2025</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2023</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Additions</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recognized</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September 30, 2024</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129,619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expects that the $27.9 million of deferred revenue related to the following contracts as of September 30, 2025 will be recognized as revenue based on actual FTE effort and estimated program progress as set forth below. However, the timing of revenue recognition could differ from the estimates depending on facts and circumstances impacting the various contracts, including progress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resources assigned to the contracts by the Company or its collaboration partners or other factors outside of the Company’s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$7.2 million of deferred revenue related to the Astellas Agreement is expected to be recognized until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$9.3 million of deferred revenue related to the Moderna Agreement, together with research and development service fees, is expected to be recognized primarily in 2026 and 2027 due to Moderna's budget considerations in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$11.4 million of deferred revenue related to the Regeneron Agreement, together with research and development service fees, is expected to be recognized until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License Agreement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UCSB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2010, the Company entered into an exclusive, worldwide license agreement with University of California, Santa Barbara (“UCSB”), relating to the use of certain patents and technology relating to its core technology, including its therapeutic antibodies, and to certain patent rights the Company co-owns with UCSB covering PROBODY antibodies and other pro-proteins (the “UCSB Agreement”). Pursuant to the UCSB Agreement, the Company has annual minimum royalty obligations of $0.2 million under the terms of certain exclusive licensed patent rights. In April 2019, the Company entered into Amendment No.3 to the UCSB Agreement to adjust and clarify certain sublicense terms (“Amendment No.3”). Under the terms of Amendment No.3, the Company agreed to make an additional annual license maintenance fees of $0.8 million through 2031. In the event that the Company terminates the agreement due to material concern of the safety or efficacy of the related technology, 50% of all remaining maintenance fees will become due immediately. Otherwise, all remaining maintenance fees will become due immediately upon early termination of the agreement unless there is a material breach by UCSB.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2024, the Company incurred $0.6 million of sublicense fees triggered by achieving the GLP toxicology studies milestone for the first clinical candidate which was nominated by Astellas in 2023, as well as by achieving the clinical candidate nomination milestone for a second collaboration target under the Astellas Agreement. In the first quarter 2025, the Company incurred $0.2 million of sublicense fees triggered by achieving the GLP toxicology studies milestone for the second clinical candidate which was nominated by Astellas in March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nine months ended September 30, 2025, the Company incurred sublicense expenses of $0 and $1.1 million, respectively, under the provisions of the UCSB Agreement. For the three and nine months ended September 30, 2024, the Company incurred sublicense expenses of $0 and $1.6 million, respectively, under the provisions of the UCSB Agreement.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ImmunoGen (acquired by AbbVie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2019, the Company entered into a License Agreement (the “ImmunoGen 2019 License”) with ImmunoGen, Inc. to obtain an exclusive license with respect to epithelial cell adhesion molecule (“EPCAM”). Under the ImmunoGen 2019 License, ImmunoGen agreed to transfer its know-how, patents, intellectual property rights, and technology transfer materials and information related to its EpCAM program. The license gives the Company the sole ability to develop, manufacture, use and commercialize any licensed product that incorporates, is comprised of, or otherwise derived from PROBODY technology that targets EpCAM in any human therapeutic field on a worldwide basis. In exchange, the Company made an upfront license payment of $7.5 million, and will pay up to $35.0 million in certain clinical development milestones and up to $320.0 million in regulatory approval and commercial milestone payments, if achieved. ImmunoGen is also entitled to royalties on product sales ranging from the mid-to-high single digits percentages.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April 2024, the Company made a $5.0 million payment of the $35.0 million in potential clinical development milestone payments to AbbVie (formerly ImmunoGen) with respect to achieving the milestone of dosing the first patient for CX-2051 under the ImmunoGen 2019 License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February 2020, the Company entered into the Open Market Sale Agreement (as amended on each of March 4, 2022 and August 9, 2024, the “Sales Agreement”) with Jefferies LLC (“Jefferies”), as sales agent, providing for the sale of up to $75,000,000 of its common stock, at par value $0.00001 per share, from time to time under an at-the-market ("ATM") offering. Pursuant to the Sales Agreement, Jefferies as the sales agent will receive a commission of 3.0% of the gross sales price for shares of common stock sold under the Sales Agreement. In 2024, under the ATM offering, the Company sold approximately 3.9 million shares at a weighted average price of $1.82 per share for net proceeds of approximately $6.9 million after deducting sales commissions and related issuance cost. In October 2025, the Company sold approximately 4.3 million shares at a weighted average price of $3.43 per share under the ATM offering for net proceeds of approximately $14.4 million, after deducting sales commissions and related issuance cost.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the Company completed an underwritten public offering of 76,923,076 shares of common stock at a price of $1.30 per share. The aggregate net proceeds received by the Company from the offering were approximately $93.4 million, after deducting underwriting discounts and commissions of $6.0 million and offering expenses of $0.6 million. Longitude Venture Partners V, L.P. (“LVPV”) acquired approximately 11.5 million shares of common stock through the underwritten public offering. Longitude Capital Partners V, LLC (“LCPV”) is a general partner of LVPV. A member of the Company’s board of directors serves as a managing director of LCPV, and therefore, LCPV is considered a related party of the Company. The Company had no other significant related party transactions with LCPV.</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2023, the Company entered into an agreement with BVF Partners L.P. (“BVF”) for a private placement (the "Private Placement Agreement") and received an aggregate net proceeds of approximately $29.7 million in July 2023, after deducting issuance costs of approximately $0.3 million. In the private placement, the Company issued pre-funded warrants to BVF to purchase up to 14,423,077 shares of common stock, accompanying Tranche 1 warrants to purchase up to 5,769,231 shares of common stock and accompanying Tranche 2 warrants to purchase up to 5,769,231 shares of common stock, at a combined price of $2.08 per share. The initial exercise price of the Tranche 1 and Tranche 2 warrants was $4.16 per share and $6.24 per share, respectively. The public offering in May 2025 triggered an adjustment provision in the Tranche 1 and Tranche 2 warrants, pursuant to which the exercise prices were reduced to $2.73 and $3.77 per share,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May 2024, BVF exercised its right to purchase 7.5 million shares of common stock through its pre-funded warrants at an exercise price of $0.00001 per share. In May 2025, BVF exercised its right to purchase the remaining 6.9 million shares of common stock through its pre-funded warrants at an exercise price of $0.00001 per share.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activities of outstanding warrants for the nine months ended of September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2"/>
        <w:gridCol w:w="146"/>
        <w:gridCol w:w="146"/>
        <w:gridCol w:w="886"/>
        <w:gridCol w:w="166"/>
        <w:gridCol w:w="146"/>
        <w:gridCol w:w="232"/>
        <w:gridCol w:w="819"/>
        <w:gridCol w:w="146"/>
        <w:gridCol w:w="146"/>
        <w:gridCol w:w="146"/>
        <w:gridCol w:w="886"/>
        <w:gridCol w:w="166"/>
        <w:gridCol w:w="146"/>
        <w:gridCol w:w="328"/>
        <w:gridCol w:w="710"/>
        <w:gridCol w:w="146"/>
        <w:gridCol w:w="146"/>
        <w:gridCol w:w="146"/>
        <w:gridCol w:w="826"/>
        <w:gridCol w:w="146"/>
        <w:gridCol w:w="146"/>
        <w:gridCol w:w="328"/>
        <w:gridCol w:w="710"/>
        <w:gridCol w:w="494"/>
      </w:tblGrid>
      <w:tr>
        <w:trPr/>
        <w:tc>
          <w:tcPr>
            <w:tcW w:w="1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Pre-funded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Tranche 1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Tranche 2 Warrants</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Number of</w:t>
              <w:b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Weighted-</w:t>
              <w:br/>
              <w:t>Average</w:t>
              <w:br/>
              <w:t xml:space="preserve">Exercise Price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Number of</w:t>
              <w:b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Weighted-</w:t>
              <w:br/>
              <w:t>Average</w:t>
              <w:br/>
              <w:t xml:space="preserve">Exercise Price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Number of</w:t>
              <w:b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Weighted-</w:t>
              <w:br/>
              <w:t>Average</w:t>
              <w:br/>
              <w:t xml:space="preserve">Exercise Price </w:t>
              <w:br/>
              <w:t>Per Share</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9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6,923,077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5,769,231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5,769,231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6.24</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90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(6,923,077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190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7"/>
              </w:rPr>
            </w:pPr>
            <w:r>
              <w:rPr>
                <w:rFonts w:ascii="Times New Roman" w:hAnsi="Times New Roman"/>
                <w:color w:val="000000"/>
                <w:sz w:val="17"/>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(5,769,231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5,769,231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3.77</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Tranche 1 warrants expired without being exercised in July 2025 and the Tranche 2 warrants expire in July 2026.</w:t>
      </w:r>
    </w:p>
    <w:p>
      <w:pPr>
        <w:pStyle w:val="TextBody"/>
        <w:bidi w:val="0"/>
        <w:spacing w:before="360" w:after="283"/>
        <w:jc w:val="left"/>
        <w:rPr>
          <w:rFonts w:ascii="Times New Roman" w:hAnsi="Times New Roman"/>
          <w:sz w:val="20"/>
        </w:rPr>
      </w:pPr>
      <w:r>
        <w:rPr>
          <w:rFonts w:ascii="Times New Roman" w:hAnsi="Times New Roman"/>
          <w:b/>
          <w:color w:val="000000"/>
          <w:sz w:val="20"/>
        </w:rPr>
        <w:t>9.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Activities for the Company’s stock option plans for the nine months ended September 30, 2025 were as follows: </w:t>
      </w:r>
    </w:p>
    <w:p>
      <w:pPr>
        <w:pStyle w:val="TextBody"/>
        <w:bidi w:val="0"/>
        <w:jc w:val="left"/>
        <w:rPr/>
      </w:pPr>
      <w:r>
        <w:rPr/>
        <w:t> </w:t>
      </w:r>
    </w:p>
    <w:tbl>
      <w:tblPr>
        <w:tblW w:w="5932" w:type="dxa"/>
        <w:jc w:val="left"/>
        <w:tblInd w:w="0" w:type="dxa"/>
        <w:tblLayout w:type="fixed"/>
        <w:tblCellMar>
          <w:top w:w="28" w:type="dxa"/>
          <w:left w:w="28" w:type="dxa"/>
          <w:bottom w:w="28" w:type="dxa"/>
          <w:right w:w="28" w:type="dxa"/>
        </w:tblCellMar>
      </w:tblPr>
      <w:tblGrid>
        <w:gridCol w:w="2731"/>
        <w:gridCol w:w="146"/>
        <w:gridCol w:w="146"/>
        <w:gridCol w:w="1036"/>
        <w:gridCol w:w="166"/>
        <w:gridCol w:w="146"/>
        <w:gridCol w:w="363"/>
        <w:gridCol w:w="807"/>
        <w:gridCol w:w="3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Exercise Price </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14,562,061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 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16,176,712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recorded $0.8 million and $1.5 million of stock-based compensation expense related to the stock option plans for the three months ended September 30, 2025 and 2024,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recorded $2.9 million and $4.4 million of stock-based compensation expense related to the stock option plans for the nine months ended September 30, 2025 and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Time-based RSUs ("TRSU")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Activities for the Company’s TRSUs for the nine months ended September 30, 2025 were as follows:</w:t>
      </w:r>
    </w:p>
    <w:p>
      <w:pPr>
        <w:pStyle w:val="TextBody"/>
        <w:bidi w:val="0"/>
        <w:jc w:val="left"/>
        <w:rPr/>
      </w:pPr>
      <w:r>
        <w:rPr/>
        <w:t> </w:t>
      </w:r>
    </w:p>
    <w:tbl>
      <w:tblPr>
        <w:tblW w:w="8587" w:type="dxa"/>
        <w:jc w:val="left"/>
        <w:tblInd w:w="0" w:type="dxa"/>
        <w:tblLayout w:type="fixed"/>
        <w:tblCellMar>
          <w:top w:w="28" w:type="dxa"/>
          <w:left w:w="28" w:type="dxa"/>
          <w:bottom w:w="28" w:type="dxa"/>
          <w:right w:w="28" w:type="dxa"/>
        </w:tblCellMar>
      </w:tblPr>
      <w:tblGrid>
        <w:gridCol w:w="2731"/>
        <w:gridCol w:w="146"/>
        <w:gridCol w:w="146"/>
        <w:gridCol w:w="931"/>
        <w:gridCol w:w="166"/>
        <w:gridCol w:w="146"/>
        <w:gridCol w:w="1224"/>
        <w:gridCol w:w="2706"/>
        <w:gridCol w:w="3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recorded $0.5 million and $0.4 million of stock-based compensation expense related to the TRSUs for the three months end September 30, 2025 and 2024,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recorded $1.1 million and $1.1 million of stock-based compensation expense related to the TRSUs for the nine months end September 30, 2025 and 2024,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Performance-based RSUs ("PSUs")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2023 PSU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Company granted 760,000 PSUs to executive employees with an aggregated grant date fair value of approximately $1.9 million. Vesting for 50% of the PSUs granted occurred upon attaining certain specific milestones by December 2024 (“2023-Tranche-1”), and the remaining 50% will vest upon attaining certain specific milestones by December 2025 (“2023-Tranche-2”). As of December 31, 2024, the PSUs for 2023-Tranche-1 were canceled as the related performance condition was not met by December 2024. The performance condition for 2023-Tranche-2 was determined to be probable as of March 31, 2025 and as a result $0.5 million compensation cost was recorded for the first quarter of 2025. As of June 30, 2025, the performance condition was determined to be satisfied and the 2023-Tranche-2 PSUs were fully vested. As a result, the Company recorded $0.2 million and $0.7 million compensation cost for the three and six months ended June 30, 2025.</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2024 PSU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granted 810,000 PSUs to executive employees with an aggregated grant date fair value of approximately $1.3 million. Vesting for 50% of the PSUs granted will occur upon attaining certain specific milestones by December 2025 (“2024-Tranche-1”), and the remaining 50% will vest upon attaining certain specific milestones by December 2026 (“2024-Tranche-2”). The Company determined that it is not probable that the performance conditions will be satisfied for each of these tranches and hence no compensation cost was recorded for these awards through September 30, 2025.</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2025 PSU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Company granted 413,350 PSUs to executive employees with an aggregated grant date fair value of approximately $1.2 million. Vesting for one third of the PSUs granted will occur upon attaining a certain specific milestone (“2025-Tranche-1”), vesting for one third of the PSUs granted will occur upon attaining a certain specific milestone (“2025-Tranche-2”) on June 30, 2027 or later, and the remaining one third will vest upon attaining a certain specific milestone on June 30, 2028 or later (“2025-Tranche-3”). The Company determined that it is not probable that the performance conditions will be satisfied for each of these tranches and hence no compensation cost was recorded for these awards through September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Activities for the Company’s PSUs for the nine months ended September 30, 2025, were as follows: </w:t>
      </w:r>
    </w:p>
    <w:p>
      <w:pPr>
        <w:pStyle w:val="TextBody"/>
        <w:bidi w:val="0"/>
        <w:jc w:val="left"/>
        <w:rPr/>
      </w:pPr>
      <w:r>
        <w:rPr/>
        <w:t> </w:t>
      </w:r>
    </w:p>
    <w:tbl>
      <w:tblPr>
        <w:tblW w:w="8587" w:type="dxa"/>
        <w:jc w:val="left"/>
        <w:tblInd w:w="0" w:type="dxa"/>
        <w:tblLayout w:type="fixed"/>
        <w:tblCellMar>
          <w:top w:w="28" w:type="dxa"/>
          <w:left w:w="28" w:type="dxa"/>
          <w:bottom w:w="28" w:type="dxa"/>
          <w:right w:w="28" w:type="dxa"/>
        </w:tblCellMar>
      </w:tblPr>
      <w:tblGrid>
        <w:gridCol w:w="2731"/>
        <w:gridCol w:w="146"/>
        <w:gridCol w:w="146"/>
        <w:gridCol w:w="931"/>
        <w:gridCol w:w="166"/>
        <w:gridCol w:w="146"/>
        <w:gridCol w:w="1224"/>
        <w:gridCol w:w="2706"/>
        <w:gridCol w:w="3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PSU's 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PSU's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stock-based compensation recorded was as follows:</w:t>
      </w:r>
    </w:p>
    <w:tbl>
      <w:tblPr>
        <w:tblW w:w="8992" w:type="dxa"/>
        <w:jc w:val="left"/>
        <w:tblInd w:w="0" w:type="dxa"/>
        <w:tblLayout w:type="fixed"/>
        <w:tblCellMar>
          <w:top w:w="28" w:type="dxa"/>
          <w:left w:w="28" w:type="dxa"/>
          <w:bottom w:w="28" w:type="dxa"/>
          <w:right w:w="28" w:type="dxa"/>
        </w:tblCellMar>
      </w:tblPr>
      <w:tblGrid>
        <w:gridCol w:w="3851"/>
        <w:gridCol w:w="546"/>
        <w:gridCol w:w="211"/>
        <w:gridCol w:w="571"/>
        <w:gridCol w:w="146"/>
        <w:gridCol w:w="146"/>
        <w:gridCol w:w="211"/>
        <w:gridCol w:w="571"/>
        <w:gridCol w:w="146"/>
        <w:gridCol w:w="146"/>
        <w:gridCol w:w="211"/>
        <w:gridCol w:w="571"/>
        <w:gridCol w:w="146"/>
        <w:gridCol w:w="146"/>
        <w:gridCol w:w="211"/>
        <w:gridCol w:w="571"/>
        <w:gridCol w:w="591"/>
      </w:tblGrid>
      <w:tr>
        <w:trPr/>
        <w:tc>
          <w:tcPr>
            <w:tcW w:w="385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stock-based compensation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Company maintains a full valuation allowance against its net deferred tax assets through December 31, 2024</w:t>
      </w:r>
      <w:r>
        <w:rPr>
          <w:rFonts w:ascii="Times New Roman" w:hAnsi="Times New Roman"/>
          <w:i/>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files income taxes in the U.S. federal jurisdiction, the state of California and various other U.S. states. The state of California contested the Company’s tax position on revenue apportionment for upfront and milestone payments resulting from the Company’s collaboration and licensing agreements for the years 2017 and 2018. In September 2023, the Company received Notice of Proposed Assessment (“NOPA”) from the Franchise Tax Board. The Company recorded an uncertain tax position of $4.3 million in long term liabilities for the proposed tax assessment, penalties and interest through September 30, 2025. Of the unrecognized tax benefits as of September 30, 2025, approximately $5.0 million would affect the Company’s effective tax rate if recognized. In addition, utilization of carryforward attributes and indirect federal tax effects of the assessment would result in a reduction in deferred tax assets of $5.0 million. The Company filed a protest to contest the proposed assessment in November 2023. Due to the ongoing nature of the examination and discussions with the state of California, the Company is unable to estimate a date by which this matter will be resolved.</w:t>
      </w:r>
    </w:p>
    <w:p>
      <w:pPr>
        <w:pStyle w:val="TextBody"/>
        <w:bidi w:val="0"/>
        <w:spacing w:before="40"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One Big Beautiful Bill Act (OBBBA) was signed into law in July 2025. The OBBBA may be subject to further clarification and interpretative guidance. The provisions do not have </w:t>
      </w:r>
      <w:r>
        <w:rPr>
          <w:rFonts w:ascii="Georgia;serif" w:hAnsi="Georgia;serif"/>
          <w:color w:val="000000"/>
          <w:sz w:val="19"/>
        </w:rPr>
        <w:t>a material impact on the Company’s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Segment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as a single operating segment. The Chief Executive Officer is identified as the Chief Operating Decision Maker (CODM). The CODM primarily reviews the Company’s financial information on an aggregate basis. The CODM utilizes the aggregated financial information to make strategic decisions, assess performance, and allocate resources across the Company. The aggregate information includes the revenue by collaboration partner, research and development expense by program, as well as net income that is reported on the Condensed Statements of Operations and Comprehensive Income. Net income is used to monitor budget versus actual results in assessing performance of the segment and in establishing management's compensation. The measure of segment assets is reported on the Condensed Balance Sheets as total assets. All of the Company’s long-lived assets are located in the United States. In addition to the revenue by collaborative partners disclosed in Note 6, the CODM reviews the following significant expenses in making decisions about the allocation of resources and assessing performance (in thousands):</w:t>
      </w:r>
    </w:p>
    <w:p>
      <w:pPr>
        <w:pStyle w:val="TextBody"/>
        <w:bidi w:val="0"/>
        <w:spacing w:before="120" w:after="283"/>
        <w:jc w:val="left"/>
        <w:rPr/>
      </w:pPr>
      <w:r>
        <w:rPr/>
        <w:t> </w:t>
      </w:r>
    </w:p>
    <w:tbl>
      <w:tblPr>
        <w:tblW w:w="10107" w:type="dxa"/>
        <w:jc w:val="left"/>
        <w:tblInd w:w="0" w:type="dxa"/>
        <w:tblLayout w:type="fixed"/>
        <w:tblCellMar>
          <w:top w:w="28" w:type="dxa"/>
          <w:left w:w="28" w:type="dxa"/>
          <w:bottom w:w="28" w:type="dxa"/>
          <w:right w:w="28" w:type="dxa"/>
        </w:tblCellMar>
      </w:tblPr>
      <w:tblGrid>
        <w:gridCol w:w="4741"/>
        <w:gridCol w:w="146"/>
        <w:gridCol w:w="211"/>
        <w:gridCol w:w="736"/>
        <w:gridCol w:w="166"/>
        <w:gridCol w:w="146"/>
        <w:gridCol w:w="211"/>
        <w:gridCol w:w="676"/>
        <w:gridCol w:w="166"/>
        <w:gridCol w:w="146"/>
        <w:gridCol w:w="211"/>
        <w:gridCol w:w="676"/>
        <w:gridCol w:w="146"/>
        <w:gridCol w:w="146"/>
        <w:gridCol w:w="211"/>
        <w:gridCol w:w="781"/>
        <w:gridCol w:w="5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100,010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External costs incurred by product candidate (target):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CX-904 (EGFRxCD3)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CX-2051 (EpCAM)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CX-801 (IFNα2b)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wholly owned and partnered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Total 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Internal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and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Financial Statements (Unaudited)</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Restructuring</w:t>
      </w:r>
    </w:p>
    <w:p>
      <w:pPr>
        <w:pStyle w:val="TextBody"/>
        <w:bidi w:val="0"/>
        <w:spacing w:before="120" w:after="283"/>
        <w:jc w:val="left"/>
        <w:rPr>
          <w:rFonts w:ascii="Times New Roman" w:hAnsi="Times New Roman"/>
          <w:sz w:val="20"/>
        </w:rPr>
      </w:pPr>
      <w:r>
        <w:rPr>
          <w:rFonts w:ascii="Times New Roman" w:hAnsi="Times New Roman"/>
          <w:color w:val="000000"/>
          <w:sz w:val="20"/>
        </w:rPr>
        <w:t>On January 6, 2025, the Company announced a restructuring plan to streamline its organization and prioritize CX-2051 (EpCAM PROBODY</w:t>
      </w:r>
      <w:r>
        <w:rPr>
          <w:rFonts w:ascii="Times New Roman" w:hAnsi="Times New Roman"/>
          <w:color w:val="000000"/>
          <w:sz w:val="13"/>
        </w:rPr>
        <w:t>®</w:t>
      </w:r>
      <w:r>
        <w:rPr>
          <w:rFonts w:ascii="Times New Roman" w:hAnsi="Times New Roman"/>
          <w:color w:val="000000"/>
          <w:sz w:val="20"/>
        </w:rPr>
        <w:t>ADC), CX-801 and its activities to support its research collaborations. This plan resulted in a reduction of approximately 40% of its workforce and was substantially completed in the first quarter of 2025. The Company incurred the total restructuring charges of $2.8 million, primarily related to one-time severance payments and other employee-related costs. This includes $1.7 million of research and development expenses and $1.1 million of general and administrative expenses that were recorded during the nine months ended September 30, 2025.</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summary of activities of restructuring costs (in thousands):</w:t>
      </w:r>
    </w:p>
    <w:tbl>
      <w:tblPr>
        <w:tblW w:w="8724" w:type="dxa"/>
        <w:jc w:val="left"/>
        <w:tblInd w:w="0" w:type="dxa"/>
        <w:tblLayout w:type="fixed"/>
        <w:tblCellMar>
          <w:top w:w="28" w:type="dxa"/>
          <w:left w:w="28" w:type="dxa"/>
          <w:bottom w:w="28" w:type="dxa"/>
          <w:right w:w="28" w:type="dxa"/>
        </w:tblCellMar>
      </w:tblPr>
      <w:tblGrid>
        <w:gridCol w:w="2641"/>
        <w:gridCol w:w="146"/>
        <w:gridCol w:w="552"/>
        <w:gridCol w:w="1653"/>
        <w:gridCol w:w="166"/>
        <w:gridCol w:w="146"/>
        <w:gridCol w:w="738"/>
        <w:gridCol w:w="1317"/>
        <w:gridCol w:w="166"/>
        <w:gridCol w:w="146"/>
        <w:gridCol w:w="211"/>
        <w:gridCol w:w="631"/>
        <w:gridCol w:w="2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Severance and Benefits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Based Compensation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 recorded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estimates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Non-cash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Restructuring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estimates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Changes in estimates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Subsequent Event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Lease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2025, the Company entered into a lease (the “2026 Lease”) of office and laboratory space located in Emeryville, California for the Company’s corporate headquarters. The 2026 Lease will commence on October 1, 2026 and end on December 31, 2029, and the Company has two options to extend the term, each for an additional two years, at the then fair market rent as determined under the term of the 2026 Lease. Under the terms of the lease, the Company is obligated to make aggregate future minimum lease payments totaling approximately $5.7 million over the lease term, exclusive of operating expenses and other common area charges.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managements_discussion_and_analysis"/>
      <w:bookmarkEnd w:id="8"/>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2024, included in our Annual Report on Form 10-K as filed with the U.S. Securities and Exchange Commission (“SEC”) on March 6, 2025.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are a clinical-stage, oncology-focused biopharmaceutical company focused on developing novel, conditionally activated, masked biologics designed to be preferentially unmasked and activated in the tumor microenvironment. We aim to build a commercial enterprise to maximize our impact on the treatment of cancer. By pioneering a novel class of localized biologic drug candidates, powered by our PROBODY</w:t>
      </w:r>
      <w:r>
        <w:rPr>
          <w:rFonts w:ascii="Times New Roman" w:hAnsi="Times New Roman"/>
          <w:color w:val="000000"/>
          <w:sz w:val="13"/>
        </w:rPr>
        <w:t>®</w:t>
      </w:r>
      <w:r>
        <w:rPr>
          <w:rFonts w:ascii="Times New Roman" w:hAnsi="Times New Roman"/>
          <w:color w:val="000000"/>
          <w:sz w:val="20"/>
        </w:rPr>
        <w:t xml:space="preserve"> therapeutic technology platform, we are a leader in the field of masked, conditionally activated oncology therapeutics and have established biologics localization as a strategic area of research and development in the biopharmaceutical industry. Our vision is to transform lives with safer, more effective therapies with the goal to address major unmet needs in oncology.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proprietary, versatile, multi-modality PROBODY technology platform is designed to enable conditional activation of potent masked biologic therapeutic candidates within the tumor microenvironment while minimizing drug activity in healthy tissues and circulation. Our platform is built on a strong foundation of tumor biology expertise, including deep knowledge of tumor-associated enzymes known as proteases. Proteases are tightly controlled in normal tissues but often dysregulated and active in tumor microenvironments where they play important roles in cancer cell migration, invasion and metastasis. Leveraging our deep scientific knowledge, we conceived of and constructed our PROBODY therapeutic platform which allows us to genetically engineer biologic therapeutic candidates to contain protease-cleavable masks. Our masking strategy is designed to reduce binding of biologic therapeutics to their targets until the mask is removed by proteases in the tumor microenvironment, providing more selective targeting of the tumor.</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 are employing our leading, masking platform technology to address some of the biggest challenges in oncology biologics research and development. These include the validation of potential new targets for antibody-drug conjugates (“ADCs”), increasing the therapeutic index for immune modulators such as cytokines, and opening therapeutic window for novel T-cell engagers (“TCEs”) targeting solid tumors.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have utilized our PROBODY therapeutic platform and masking technology to build a promising pipeline of potential first-in-class and best-in-class clinical-stage molecules. These are CX-2051, an investigational, conditionally activated ADC targeting epithelial cell adhesion molecule (“EpCAM”), and CX-801, an investigational, masked version of interferon alpha-2b (“IFNα2b”). Our current clinical-stage molecules address targets or mechanisms that have been previously validated as having anti-cancer activity but have been limited in their utilization due to toxicities in healthy tissues. We have incorporated our significant, multi-modality masking, conditional activation expertise and clinical learnings to optimize predicted therapeutic index and the clinical potential of these promising agents through tumor localized, conditional activation.</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CX-2051, a conditionally activated, PROBODY ADC, targets EpCAM. High expression of EpCAM has been documented in many tumor types, including colorectal cancer (“CRC”). The CX-2051 payload, a topoisomerase-1 inhibitor payload licensed from AbbVie (formerly ImmunoGen), is tailored to have anti-tumor activity against multiple EpCAM-expressing indications, including colorectal cancer. The payload-antibody linker we selected for CX-2051 is designed to drive bystander killing of neighboring tumor cells, contributing to anti-tumor activity. The design of CX-2051 is intended to establish a clinically meaningful therapeutic window for the systemic treatment of EpCAM-expressing cancers where previous industry efforts targeting EpCAM have not been successful due to dose-limiting toxicities. CX-2051 has demonstrated strong preclinical activity and tolerability in multiple preclinical models and encouraging initial Phase 1 data in late-line colorectal cancer.</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IND for CX-2051 was allowed to proceed by the FDA in January 2024 and a Phase 1 clinical trial of CX-2051 in patients with EpCAM expressing solid tumors, with an initial focus in CRC, was commenced in April 2024. No pre-screening of CRC patients based on tumor EpCAM expression has been conducted because of anticipated high and uniform EpCAM expression in CRC. As of May 2025, the Phase 1 study had reached the seventh dose escalation level.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May 2025, the Company announced positive interim Phase 1 data as of an April 7, 2025 data cutoff in advanced metastatic colorectal cancer. The data encompassed results from 25 CRC patients treated with CX-2051 at 5 dose levels ranging from 2.4 mg/kg to 10 mg/kg, administered every three weeks (“Q3W”). The 2.4 mg/kg and 4.8 mg/kg doses were single patient dose escalation cohorts not anticipated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be therapeutically active. At the 7.2 mg/kg, 8.6 mg/kg, and 10 mg/kg doses, 23 patients were treated, 18 of whom were efficacy evaluable, having had at least one post-baseline tumor assessment as of the data cutoff. Patients enrolled in the study at the time of data cutoff had previously received a median of 4 prior lines of therapy and all patients had previously been treated with irinotecan. 64% of patients had liver metastases, 64% had KRAS mutations, and 96% were microsatellite stable. Patients were not preselected based on EpCAM expression levels.</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the data cutoff, 18 patients were efficacy-evaluable at doses of 7.2 mg/kg, 8.6 mg/kg, and 10 mg/kg Q3W. Five of eighteen (28%) patients demonstrated confirmed partial responses per RECIST v1.1. Three of seven (43%) efficacy evaluable patients at the dose of 10 mg/kg Q3W demonstrated confirmed partial responses per RECIST v1.1. Seventeen of eighteen patients (94%) had disease control, defined as having an objective response or stable disease. Preliminary median progression free survival (PFS) was 5.8 months as of the data cutoff with 10 of 18 patients remaining on study treatment.</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the data cutoff, 25 patients were evaluable for safety. CX-2051 was generally well-tolerated as of the data cutoff with manageable adverse events, with no dose limiting toxicities. Most treatment related adverse events (TRAEs) were Grade 1 or Grade 2 in severity. The most common reported TRAEs were diarrhea (18 patients, 5 Grade 3), nausea (11 patients, 1 Grade 3), vomiting (8 patients, No Grade 3), fatigue (8 patients, 1 Grade 3), anemia (5 patients, 3 Grade 3), hypokalemia (3 patients, 1 Grade 3), neutrophil count decrease (2 patients, 2 Grade 3) and neutropenia (2 patients, 1 Grade 3). TRAEs included serious adverse events (SAEs) in 5 patients (1 Grade 2, 4 Grade 3). The SAEs included Grade 3 Diarrhea (1 patient), Grade 3 Anemia (1 patient), Grade 3 colitis (1 patient), Grade 3 Diarrhea and Acute kidney injury (1 patient) and Grade 2 Asthenia (1 patient). No Grade 4 or 5 TRAEs were observed as of the April 7, 2025 data cutoff. No events of interstitial lung disease or febrile neutropenia were reported as of the data cutoff. On August 13, 2025, the Company announced that a single Grade 5 treatment-related acute kidney injury occurred in a patient with a complex medical history including having a solitary kidney. The Grade 5 event was believed to be secondary to nausea, vomiting and diarrhea. The Company reported the event to the FDA in accordance with regulatory requirements. The CTMX-2051-101 Safety Review Committee reviewed the event and supported continued study execution and enrollment which are ongoing.</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Based on the positive interim Phase 1 dose escalation data in May 2025, dose expansions were initiated at the dose levels of 7.2 mg/kg, 8.6 mg/kg, and 10 mg/kg, administered every three weeks (Q3W) and are currently ongoing. In the third quarter of 2025, dose expansion enrollment continued with the goal of supporting a potential registrational study of CX-2051 monotherapy in advanced CRC. CX-2051 Phase 1 study enrollment is projected to reach approximately 100 patients by the first quarter of 2026. </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CX-2051 Phase 1 data update is expected to be provided in the first quarter of 2026. Additionally, the Company expects to initiate enrollment of a Phase 1b study of CX-2051 in combination with bevacizumab in the first quarter of 2026, data from which is intended to inform potential CX-2051 late phase development in earlier lines of CRC therapy. The Company also continues to evaluate additional non-CRC, EpCAM expressing indications for potential CX-2051 development.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CX-801 is our PROBODY interferon ("IFN") alpha(</w:t>
      </w:r>
      <w:r>
        <w:rPr>
          <w:rFonts w:ascii="Symbol;serif" w:hAnsi="Symbol;serif"/>
          <w:color w:val="000000"/>
          <w:sz w:val="20"/>
        </w:rPr>
        <w:t>a</w:t>
      </w:r>
      <w:r>
        <w:rPr>
          <w:rFonts w:ascii="Times New Roman" w:hAnsi="Times New Roman"/>
          <w:color w:val="000000"/>
          <w:sz w:val="20"/>
        </w:rPr>
        <w:t>)-2b clinical program. IFNα2b provides a potentially superior approach to activating anti-tumor immune responses. CX-801 is a dually masked, conditionally activated version of IFNα2b that has the potential to become a cornerstone of combination therapy for a wide range of tumor types. The IND for CX-801 was allowed to proceed by the FDA in January 2024, and in the third quarter of 2024 the first patient was dosed in the CX-801 Phase 1 dose escalation study in solid tumors. The Phase 1 dose escalation study is focused on patients with advanced melanoma. In Phase 1 dose escalation, the study will evaluate safety, translational biomarkers and signs of clinical activity for CX-801 monotherapy and in combination with KEYTRUDA</w:t>
      </w:r>
      <w:r>
        <w:rPr>
          <w:rFonts w:ascii="Times New Roman" w:hAnsi="Times New Roman"/>
          <w:color w:val="000000"/>
          <w:sz w:val="13"/>
        </w:rPr>
        <w:t>®</w:t>
      </w:r>
      <w:r>
        <w:rPr>
          <w:rFonts w:ascii="Times New Roman" w:hAnsi="Times New Roman"/>
          <w:color w:val="000000"/>
          <w:sz w:val="20"/>
        </w:rPr>
        <w:t>. In the second quarter of 2024, CytomX announced a clinical collaboration with Merck to supply KEYTRUDA for evaluation of its combination with CX-801 in the Phase 1 study. The Phase 1 study is currently in the fourth monotherapy dose escalation cohort. In May 2025, Phase 1 dose escalation enrollment of CX-801 in combination with KEYTRUDA® (pembrolizumab) in advanced melanoma was initiated.</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Phase 1 CX-801 monotherapy biomarker data in melanoma patients will be presented at the Society of Immunotherapy of Cancer (SITC) 2025 Annual Meeting on November 8, 2025. The data to be presented indicate that CX-801 has been generally well tolerated to date and consistently increased expression of interferon-stimulated genes in paired tumor biopsies, suggesting preferential activity in tumors. Upregulation of immune checkpoint genes, including PD-1 and PD-L1, and activation of immune cell populations was also observed, providing a rationale for evaluating the combination of CX-801 and pembrolizumab. PK analysis also demonstrated dose-proportional exposure of CX-801, which remained predominantly in its intact (masked) form in circulation. Phase 1 clinical data from the CX-801 and KEYTRUDA® combination dose escalation portion of the study are expected in 2026.</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addition to PROBODY ADCs like CX-2051 and PROBODY cytokines like CX-801, we view the field of masked biologics as having broad potential applicability across a range of therapeutic modalities, reflecting the versatility of our platform technology. A key focus of our current work with collaboration partners is T-cell engaging bispecific therapies (“TCEs”) where we have significant ongoing efforts with partners such as Regeneron and Astellas and maintain significant research expertise. For example, at SITC 2025, we presented preclinical data for CX-908, a dually masked PROBODY T-cell Engager targeting CDH3 and CD3. CX-908 potently induced tumor regressions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established breast and lung cancer xenograft tumor models and demonstrated a 100-fold improvement in tolerability, including significantly reduced cytokine release vs. an unmasked CDH3xCD3 molecule. We view masking as a key strategy to widen a therapeutic window for T-cell engagers and view strategic partnering in this area as an important way to extend the reach of the PROBODY platform.</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do not have any products approved for sale, and we continue to incur significant research and development as well as general and administrative expenses related to our operations.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Restructuring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6, 2025, we announced a restructuring plan (the “2025 Restructuring Plan”) to streamline our organization and prioritize CX-2051, CX-801 and our activities to support our research collaborations. The restructuring plan resulted in a reduction of approximately 40% of our workforce and was substantially completed in the first quarter of 2025. We recorded total restructuring charges of approximately $2.8 million, primarily related to one-time severance payments and other employee-related costs. This includes $1.7 million of research and development expenses and $1.1 million of general and administrative expenses that were recorded during the nine months ended September 30,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2024. There have been no material changes to our critical accounting policies and estimates for the three months ended September 30, 2025.</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an input method for the entire performance obligation. In applying the input method of revenue recognition, we use actual full-time equivalent (“FTE”) hours incurred relative to estimated total FTE hours expected to be incurred for each combined performance obligation over the estimated research service period of each collaboration target. In addition to receiving upfront payments, we are entitled to variable payments related to research and development services provided and may be entitled to milestone and other contingent payments upon achieving predefined objectives. Revenue from variable payments related to research and development or milestones and other contingent payments, when it is probable that there will not be a significant revenue reversal, is also recognized over the performance period based on a similar method.</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Amgen, Astellas, Bristol Myers Squibb, Regeneron, Moderna and any other collaboration partners, and as a result of the fluctuations in the research and development expenses we incur in the performance of assigned activities under these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expect our research and development expenses could vary substantially in the future as we prioritize our pipeline opportunities, advance our product candidates through clinical trials, initiate additional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primarily consists of interest income from our cash equivalents and investments, and accretion of discounts or amortization of premiums on our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consists primarily of gains and losses resulting from changes to currency exchange rates.</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left"/>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revenue by collaboration partner during the respective periods:</w:t>
      </w:r>
    </w:p>
    <w:p>
      <w:pPr>
        <w:pStyle w:val="TextBody"/>
        <w:bidi w:val="0"/>
        <w:jc w:val="left"/>
        <w:rPr/>
      </w:pPr>
      <w:r>
        <w:rPr/>
        <w:t> </w:t>
      </w:r>
    </w:p>
    <w:tbl>
      <w:tblPr>
        <w:tblW w:w="9560" w:type="dxa"/>
        <w:jc w:val="left"/>
        <w:tblInd w:w="0" w:type="dxa"/>
        <w:tblLayout w:type="fixed"/>
        <w:tblCellMar>
          <w:top w:w="28" w:type="dxa"/>
          <w:left w:w="28" w:type="dxa"/>
          <w:bottom w:w="28" w:type="dxa"/>
          <w:right w:w="28" w:type="dxa"/>
        </w:tblCellMar>
      </w:tblPr>
      <w:tblGrid>
        <w:gridCol w:w="2061"/>
        <w:gridCol w:w="146"/>
        <w:gridCol w:w="211"/>
        <w:gridCol w:w="571"/>
        <w:gridCol w:w="146"/>
        <w:gridCol w:w="146"/>
        <w:gridCol w:w="211"/>
        <w:gridCol w:w="676"/>
        <w:gridCol w:w="166"/>
        <w:gridCol w:w="146"/>
        <w:gridCol w:w="211"/>
        <w:gridCol w:w="736"/>
        <w:gridCol w:w="166"/>
        <w:gridCol w:w="146"/>
        <w:gridCol w:w="211"/>
        <w:gridCol w:w="676"/>
        <w:gridCol w:w="146"/>
        <w:gridCol w:w="146"/>
        <w:gridCol w:w="211"/>
        <w:gridCol w:w="781"/>
        <w:gridCol w:w="146"/>
        <w:gridCol w:w="146"/>
        <w:gridCol w:w="211"/>
        <w:gridCol w:w="736"/>
        <w:gridCol w:w="411"/>
      </w:tblGrid>
      <w:tr>
        <w:trPr/>
        <w:tc>
          <w:tcPr>
            <w:tcW w:w="2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0" w:type="dxa"/>
            <w:gridSpan w:val="10"/>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0" w:type="dxa"/>
            <w:gridSpan w:val="10"/>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Amgen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Astellas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Bristol Myers Squibb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Regeneron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Moderna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decrease in revenue of $27.5 million for the three months ended September 30, 2025, compared to the corresponding period of 2024 was primarily due to: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 revenue recognized under the BMS Agreement due to the completion of our performance obligations in the second quarter of 2025. BMS is responsible for the future research and development of the ongoing collaboration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revenue recognized under the Amgen Agreement as a result of Amgen terminating its license to the EGFR Product effective May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revenue under the Regeneron Agreement driven by a primary focus on the most developed preclinical program in 2025;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revenue under the Moderna Agreement driven by Moderna's budget considerations in 2025 where the $9.3 million of remaining deferred revenue is expected to be recognized primarily in 2026 and 2027;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revenue under the Astellas Agreement driven by continued progress of ongoing collaboration programs.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decrease in revenue of $24.5 million for the nine months ended September 30, 2025, compared to the corresponding period of 2024 was primarily due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revenue under the BMS Agreement driven by the completion of our performance obligations in the second quarter of 2025. BMS is responsible for the future research and development of the ongoing collaboration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revenue under the Astellas Agreement primarily driven by higher preclinical milestone payments in the first quarter of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revenue under the Regeneron Agreement driven by a primary focus on the most developed preclinical program in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revenue under the Moderna Agreement driven by Moderna's budget considerations in 2025 where the $9.3 million of remaining deferred revenue is expected to be recognized primarily in 2026 and 2027;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revenue under the Amgen Agreement due to a cumulative adjustment from a change in estimate of $8.4 million resulting from Amgen terminating its license to the EGFR Product in March 2025, effective May 2025. The remaining deferred revenue was recognized upon completion of our performance obligations in the second quarter of 2025.</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Costs and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research and development expenses by program incurred during the respective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1"/>
        <w:gridCol w:w="146"/>
        <w:gridCol w:w="211"/>
        <w:gridCol w:w="676"/>
        <w:gridCol w:w="146"/>
        <w:gridCol w:w="146"/>
        <w:gridCol w:w="211"/>
        <w:gridCol w:w="676"/>
        <w:gridCol w:w="146"/>
        <w:gridCol w:w="146"/>
        <w:gridCol w:w="211"/>
        <w:gridCol w:w="631"/>
        <w:gridCol w:w="166"/>
        <w:gridCol w:w="146"/>
        <w:gridCol w:w="211"/>
        <w:gridCol w:w="676"/>
        <w:gridCol w:w="146"/>
        <w:gridCol w:w="146"/>
        <w:gridCol w:w="211"/>
        <w:gridCol w:w="676"/>
        <w:gridCol w:w="146"/>
        <w:gridCol w:w="146"/>
        <w:gridCol w:w="211"/>
        <w:gridCol w:w="736"/>
        <w:gridCol w:w="41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costs incurred by product candidate (target):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CX-904 (EGFRxCD3)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CX-2051 (EpCAM)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CX-801 (IFNα2b)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expenses decreased by $6.1 million for the three months ended September 30, 2025, compared to the corresponding period of 2024 primarily due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reduction in CX-904 spend due to program deprioritization in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lower CX-2051 manufacturing expenses partially offset by increased clinical spend;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general research and development expenses after the restructuring announced in January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decreased by $21.1 million for the nine months ended September 30, 2025, compared to the corresponding period of 2024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reduction in CX-904 spend due to program deprioritization in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lower CX-2051 manufacturing expenses partially offset by increased clinical spend;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general research and development expenses as a result of the January 2025 restructuring;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lower spend on preclinical programs;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one-time royalty milestone payment of $5.0 million to ImmunoGen in 2024;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one-time restructuring expenses of $1.7 million which were primarily included in internal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tbl>
      <w:tblPr>
        <w:tblW w:w="9170"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631"/>
        <w:gridCol w:w="166"/>
        <w:gridCol w:w="146"/>
        <w:gridCol w:w="211"/>
        <w:gridCol w:w="676"/>
        <w:gridCol w:w="146"/>
        <w:gridCol w:w="146"/>
        <w:gridCol w:w="211"/>
        <w:gridCol w:w="676"/>
        <w:gridCol w:w="146"/>
        <w:gridCol w:w="146"/>
        <w:gridCol w:w="211"/>
        <w:gridCol w:w="631"/>
        <w:gridCol w:w="21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and administrative expenses decreased by $1.5 million for the three months ended September 30, 2025, compared to the corresponding period of 2024, primarily driven by personnel related expenses as well as patent and legal expenses.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and administrative expenses decreased by $1.6 million for the nine months ended September 30, 2025, compared to the corresponding period of 2024, primarily driven by personnel related expenses and legal and consulting related expenses, partially offset by $1.1 million of one-time restructuring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Restructuring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and nine months ended September 30, 2025, we recognized aggregate restructuring cost (adjustment) of approximately ($0.1) million and $2.8 million, respectively, primarily related to severance and benefits. This included $1.7 million in research and development expenses and $1.1 million in general and administrative expenses. The total restructuring cost is expected to be approximately $2.8 million. The restructuring was substantially completed in the first quarter of 2025.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 and Other Income (Expense), Net</w:t>
      </w:r>
    </w:p>
    <w:tbl>
      <w:tblPr>
        <w:tblW w:w="10205" w:type="dxa"/>
        <w:jc w:val="left"/>
        <w:tblInd w:w="0" w:type="dxa"/>
        <w:tblLayout w:type="fixed"/>
        <w:tblCellMar>
          <w:top w:w="28" w:type="dxa"/>
          <w:left w:w="28" w:type="dxa"/>
          <w:bottom w:w="28" w:type="dxa"/>
          <w:right w:w="28" w:type="dxa"/>
        </w:tblCellMar>
      </w:tblPr>
      <w:tblGrid>
        <w:gridCol w:w="3466"/>
        <w:gridCol w:w="146"/>
        <w:gridCol w:w="211"/>
        <w:gridCol w:w="571"/>
        <w:gridCol w:w="146"/>
        <w:gridCol w:w="146"/>
        <w:gridCol w:w="211"/>
        <w:gridCol w:w="571"/>
        <w:gridCol w:w="166"/>
        <w:gridCol w:w="146"/>
        <w:gridCol w:w="211"/>
        <w:gridCol w:w="481"/>
        <w:gridCol w:w="166"/>
        <w:gridCol w:w="146"/>
        <w:gridCol w:w="211"/>
        <w:gridCol w:w="571"/>
        <w:gridCol w:w="146"/>
        <w:gridCol w:w="146"/>
        <w:gridCol w:w="211"/>
        <w:gridCol w:w="571"/>
        <w:gridCol w:w="166"/>
        <w:gridCol w:w="146"/>
        <w:gridCol w:w="211"/>
        <w:gridCol w:w="631"/>
        <w:gridCol w:w="4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income and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decreased by $0.1 million and $2.1 million during the three months and nine months ended September 30, 2025, respectively, compared to the corresponding period of 2024. The decrease was primarily driven by lower interest rates and the lower average cash and cash equivalents and short-term investments position.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Taxes</w:t>
      </w:r>
    </w:p>
    <w:tbl>
      <w:tblPr>
        <w:tblW w:w="7738" w:type="dxa"/>
        <w:jc w:val="left"/>
        <w:tblInd w:w="0" w:type="dxa"/>
        <w:tblLayout w:type="fixed"/>
        <w:tblCellMar>
          <w:top w:w="28" w:type="dxa"/>
          <w:left w:w="28" w:type="dxa"/>
          <w:bottom w:w="28" w:type="dxa"/>
          <w:right w:w="28" w:type="dxa"/>
        </w:tblCellMar>
      </w:tblPr>
      <w:tblGrid>
        <w:gridCol w:w="2281"/>
        <w:gridCol w:w="146"/>
        <w:gridCol w:w="211"/>
        <w:gridCol w:w="316"/>
        <w:gridCol w:w="146"/>
        <w:gridCol w:w="146"/>
        <w:gridCol w:w="211"/>
        <w:gridCol w:w="316"/>
        <w:gridCol w:w="146"/>
        <w:gridCol w:w="146"/>
        <w:gridCol w:w="289"/>
        <w:gridCol w:w="372"/>
        <w:gridCol w:w="166"/>
        <w:gridCol w:w="146"/>
        <w:gridCol w:w="211"/>
        <w:gridCol w:w="421"/>
        <w:gridCol w:w="146"/>
        <w:gridCol w:w="146"/>
        <w:gridCol w:w="211"/>
        <w:gridCol w:w="421"/>
        <w:gridCol w:w="146"/>
        <w:gridCol w:w="146"/>
        <w:gridCol w:w="264"/>
        <w:gridCol w:w="397"/>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$0.1 million and $0.2 million of tax provision represented the interest accrued for the three and nine months ended September 30, 2025, respectively, related to the proposed assessment received from the state of California for the years 2017 and 2018.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we had cash, cash equivalents and short-term investments of $143.6 million and an accumulated deficit of $682.4 million, compared to cash, cash equivalents and short-term investments of $100.6 million and an accumulated deficit of $691.6 million as of December 31, 2024. To date, we have financed our operations primarily through sales of our common stock in conjunction with the IPO, subsequent stock offerings and through our at-the-market offering, sales of our convertible preferred securities prior to our IPO, payments received under our collaboration agreements and proceeds from private placements of our common stock, warrants and pre-funded warrants. In July 2023, we completed a private placement and issued pre-funded warrants to purchase an aggregate of 14,423,077 shares of common stock, accompanying Tranche 1 warrants to purchase up to 5,769,231 shares of common stock and accompanying Tranche 2 warrants to purchase up to 5,769,231 shares of common stock, at a combined price of $2.08 per share. We received gross proceeds of approximately $30.0 million. In March 2024, we achieved a clinical candidate milestone for a second collaboration target as well as the GLP toxicology studies milestone for the first collaboration target nominated in January 2023 under the Astellas Agreement; as a result, we collected the two milestone payments totaling $10.0 million in April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first quarter of 2025, we achieved the GLP toxicology studies for the second collaboration target nominated in March 2024 under the Astellas Agreement; as a result, we collected the $5.0 million milestone payment in March 2025.</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6, 2025, we announced the 2025 Restructuring Plan to streamline our organization and prioritize CX-2051 investment and activities to support our research collaborations. The restructuring plan resulted in a reduction to our workforce by approximately 40% and was substantially completed in the first quarter of 2025.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February 2020, we initiated an at-the-market offering program (“ATM”) pursuant to a sales agreement with Jefferies, LLC (as amended on March 4, 2022 and August 9, 2024, the "Sales Agreement"). In 2024, we sold 3,925,202 shares at a weighted average price of $1.82 per share under our ATM offering for net proceeds of approximately $6.9 million after deducting sales commissions and related issuance cost.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October 2025, we sold $4.3 million shares at a weighted average price of $3.43 per share under our ATM offering for net proceeds of approximately $14.4 million after deducting sales commissions and related issuance cost.</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May 2025, we completed an underwritten public offering of 76,923,076 shares of common stock at a price of $1.30 per share and received net proceeds of approximately $93.4 million, after deducting underwriting discounts and commissions of $6.0 million and offering expenses of $0.6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upon our current operating plan and liquidity requirements, we expect our existing capital resources will be sufficient to fund operations into the second quarter of 2027. However, if the anticipated operating results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capital to fund our operation in the future. There can be no assurance, however, that such efforts will be successful; or if they are successful, that the terms and conditions of such financing will be favorable to us.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Summary Statement of Cash Flows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left"/>
        <w:rPr/>
      </w:pPr>
      <w:r>
        <w:rPr/>
        <w:t> </w:t>
      </w:r>
    </w:p>
    <w:tbl>
      <w:tblPr>
        <w:tblW w:w="8129"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736"/>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2025, cash used in operating activities was $52.3 million, which consisted of a net income of $9.1 million and non-cash charges of $7.5 million, adjusted by a net decrease of $68.9 million relating to the change of our net operating assets and liabilities. The non-cash charges primarily consisted of $4.8 million in stock-based compensation, $3.3 million in non-cash lease expense, $0.9 million in depreciation and amortization, partially offset by $1.5 million in accretion of discounts on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 in our net operating assets and liabilities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net decrease of $66.1 million in deferred revenue resulting from the continued recognition of deferred revenue from existing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decrease of $3.9 million in accounts payable, accrued and other long-term liabilities primarily due to timing of payments;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$0.4 million in cashflows from prepaid and other current assets primarily due to increase in advance payments,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$1.5 million in cashflows from accounts receivable primarily due to timing of collection of service revenue.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2024, cash used in operating activities was $66.3 million, which consisted of a net income of $13.0 million and non-cash charges of $5.6 million, adjusted by a net decrease of $84.9 million relating to the change of our net operating assets and liabilities. The non-cash charges primarily consisted of $5.8 million in stock-based compensation, $3.0 million in non-cash lease expense, $1.3 million in depreciation and amortization, partially offset by $4.5 million in accretion of discounts on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 in our net operating assets and liabilities was primarily due 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net decrease of $82.7 million in deferred revenue resulting from the continued recognition of deferred revenue from existing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$4.1 million in accounts payable, accrued and other long-term liabilities primarily due to timing of payments;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$1.9 million in cashflows from accounts receivable, prepaid and other current assets primarily due to decrease in advance payments.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2025, cash used in investing activities was $45.3 million consisted of $148.3 million used in purchase of short-term investment and purchase of property and equipment partially offset by $103.0 million of proceeds from the maturities of short-term investments.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nine months ended September 30, 2024, cash provided by investing activities was $84.6 million, which consisted of $190.5 million of proceeds from the maturities of short-term investments partially offset by $105.7 million used in the purchase of short-term investments and $0.2 million of capital expenditures used to purchase property and equipment.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2025, cash provided by financing activities was $93.8 million, which consisted of $93.4 million of net proceeds from issuance of common stock, net of issuance costs, and $0.4 million of proceeds from the exercise of stock options and employee stock purchases under the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2024, cash provided by financing activities was $5.3 million, which consisted of $4.8 million of net proceeds from issuance of common stock, net of issuance costs, and $0.4 million of proceeds from the exercise of stock options and employee stock purchases under the employee stock purchase plan.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September 30, 2025, there were no material changes in contractual obligations from the amounts disclosed in our Annual Report on Form 10-K for the year ended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quantitative_and_qualitative_disclosure"/>
      <w:bookmarkEnd w:id="9"/>
      <w:r>
        <w:rPr>
          <w:rFonts w:ascii="Times New Roman" w:hAnsi="Times New Roman"/>
          <w:b/>
          <w:color w:val="000000"/>
          <w:sz w:val="20"/>
        </w:rPr>
        <w:t>Item 3. Quantitative and Qualitative Disclosure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360" w:after="283"/>
        <w:jc w:val="left"/>
        <w:rPr>
          <w:rFonts w:ascii="Times New Roman" w:hAnsi="Times New Roman"/>
          <w:b/>
          <w:color w:val="000000"/>
          <w:sz w:val="20"/>
        </w:rPr>
      </w:pPr>
      <w:bookmarkStart w:id="10" w:name="controls_and_procedures"/>
      <w:bookmarkEnd w:id="10"/>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and Principal Financial Officers, has evaluated the effectiveness of our disclosure controls and procedures as of September 30, 2025, the end of the period covered by this Quarterly Report on Form 10-Q. Based on their evaluation and subject to the foregoing, the Principal Executive and Principal Financial Officers concluded that our disclosure controls and procedures were effective at the reasonable assurance level as of September 30,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Controls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(as defined in Rules 13a-15(f) and 15d-15(f) under the Exchange Act) that occurred during our fiscal quarter ended September 30, 2025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 – OTHER INFORMATION</w:t>
      </w:r>
    </w:p>
    <w:p>
      <w:pPr>
        <w:pStyle w:val="TextBody"/>
        <w:bidi w:val="0"/>
        <w:spacing w:before="200" w:after="283"/>
        <w:jc w:val="left"/>
        <w:rPr>
          <w:rFonts w:ascii="Times New Roman" w:hAnsi="Times New Roman"/>
          <w:sz w:val="20"/>
        </w:rPr>
      </w:pPr>
      <w:bookmarkStart w:id="11" w:name="item_1_legal_proceedings"/>
      <w:bookmarkEnd w:id="11"/>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FF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pStyle w:val="TextBody"/>
        <w:bidi w:val="0"/>
        <w:spacing w:before="240" w:after="283"/>
        <w:jc w:val="left"/>
        <w:rPr>
          <w:rFonts w:ascii="Times New Roman" w:hAnsi="Times New Roman"/>
          <w:sz w:val="20"/>
        </w:rPr>
      </w:pPr>
      <w:bookmarkStart w:id="12" w:name="item_1a_risk_factors"/>
      <w:bookmarkEnd w:id="12"/>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providing the following summary of risk factors contained in this Quarterly Report on Form 10-Q to enhance the readability and accessibility of our risk factor disclosures in accordance with SEC rules. Please carefully review the full risk factors pertaining to this summary and to additional general risk factors contained in this Quarterly Report on Form 10-Q in their entirety for additional information regarding the material factors that make an investment in our securities speculative or risky. These risks and uncertainties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with a limited operating history and have not generated any revenue from product sales.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we will need to raise substantial additional funds to advance development of our product candidates and we cannot guarantee that this additional funding will be available on acceptable terms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 involves a lengthy and expensive process with an uncertain outcome, and results of earlier studies and trials may not be predictive of future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in early stages of development and may fail or suffer delays that materially and adversely affect their commercial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“top-line,” initial and preliminary data from our clinical trials, including the ongoing Phase 1 clinical trials of CX-2051 and CX-801,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or difficulties in the enrollment of patients in clinical trials, our receipt of necessary regulatory approvals could be delayed or prevented.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continue to conduct clinical trials and contract with third-party manufacturers in foreign countries, including Europe and China, which could expose us to risks that could have a material adverse effect on the success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approach to the discovery and development of our therapeutic treatments is based on novel technologies that are unproven and may not result in marketable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may not be receptive to our product candidates based on a novel therapeutic modality, and we may not generate any future revenue from the sale or licensing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our projected development and commercialization goals in the time frames we announce and expect the commercialization of any of our product candidates may be delayed, or never attained, our business will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successfully develop companion diagnostic tests for certain of our product candidates, or experience significant delays in doing so, we may not realize the full commercial potential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may be volatile and purchasers of our common stock could incur substantial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pandemic could adversely impact our business, including our research, development, including clinical trials, manufacturing and financial condition.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pStyle w:val="TextBody"/>
        <w:bidi w:val="0"/>
        <w:jc w:val="left"/>
        <w:rPr>
          <w:rFonts w:ascii="Times New Roman" w:hAnsi="Times New Roman"/>
          <w:sz w:val="20"/>
        </w:rPr>
      </w:pPr>
      <w:r>
        <w:rPr>
          <w:rFonts w:ascii="Times New Roman" w:hAnsi="Times New Roman"/>
          <w:color w:val="000000"/>
          <w:sz w:val="20"/>
        </w:rPr>
        <w:t>We are a clinical-stage biopharmaceutical company with a limited operating history, developing a novel class of therapeutic product candidates, based on our proprietary biologic PROBODY</w:t>
      </w:r>
      <w:r>
        <w:rPr>
          <w:rFonts w:ascii="Times New Roman" w:hAnsi="Times New Roman"/>
          <w:color w:val="000000"/>
          <w:sz w:val="13"/>
        </w:rPr>
        <w:t>®</w:t>
      </w:r>
      <w:r>
        <w:rPr>
          <w:rFonts w:ascii="Times New Roman" w:hAnsi="Times New Roman"/>
          <w:color w:val="000000"/>
          <w:sz w:val="20"/>
        </w:rPr>
        <w:t xml:space="preserve"> conditionally activated technology platform. Since our inception, we have devoted our resources to the development of PROBODY therapeutics. We have had significant operating losses since our inception. As of September 30, 2025 and December 31, 2024, we had an accumulated deficit of $682.4 million and $691.6 million, respectively. Substantially all of our losses have resulted from expenses incurred in connection with our research and development programs and from general and administrative costs associated with our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regulatory approval process for our product candidates. We expect our net losses to increase substantially over time as we continue the development of our pipeline and advance additional programs into clinical development.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pStyle w:val="TextBody"/>
        <w:bidi w:val="0"/>
        <w:jc w:val="left"/>
        <w:rPr>
          <w:rFonts w:ascii="Times New Roman" w:hAnsi="Times New Roman"/>
          <w:color w:val="000000"/>
          <w:sz w:val="20"/>
        </w:rPr>
      </w:pPr>
      <w:r>
        <w:rPr>
          <w:rFonts w:ascii="Times New Roman" w:hAnsi="Times New Roman"/>
          <w:color w:val="000000"/>
          <w:sz w:val="20"/>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 In January 2025, we restructured the Company and reduced headcount by approximately 40% to preserve capital and focus on high priority programs. In May 2025, we raised approximately $93.4 million of net proceeds through the sale of our common stock. As a result, we believe we have sufficient capital to operate into the second quarter of 2027. We will need to raise additional funds to continue our efforts. However, financial market conditions, including the public equity markets, and government regulation, including the uncertainties of potential legislation under the new administration, may continue to make it difficult for biotechnology companies to raise additional funds. We cannot predict when or if market conditions will change.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we had cash, cash equivalents and short-term investments of $143.6 million. We believe that our existing capital resources will be sufficient to fund our planned operations into the second quarter of 2027. Our future capital requirements and the period for which we expect our existing resources to support our operations may vary significantly from what we expect and we may not achieve the expected cash flow savings that we anticipate as a result of our recent restructuring. Our monthly spending levels vary based on our ongoing clinical trials, new and ongoing research and development and other corporate activities.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timing and amount of our operating expenditures will depend largely 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timing and progress of our ongoing clinical trials as well as any other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size and type of clinical trials and preclinical studies that we may be required to complete for our product candidates, as well as the cost and time of such studies and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scope and prioritization of preclinical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 necessary to produce clinical supplies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 necessary to scale our manufacturing capabilities prior to or following regulatory approval and commercial launch of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of the development efforts of parties with whom we have entered or may in the future enter into collaborations and research and development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payments we may receive or are obligated to pay under our collaboration agreements and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licenses and research and development programs and to establish new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prosecuting and enforcing patent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any existing or future litigation to which we are or may become a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regulatory approvals;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hire additional personnel, including personnel to support development and commercialization of our product candidates and satisfy our obligations as a public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For example, in November 2023, we announced that we would not direct significant further investment in the development of CX-2029 and in the first quarter of 2025 terminated the program.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date, we have financed our operations primarily through sales of our common stock, sale of our convertible preferred securities prior to our IPO, payments received under our collaboration agreements, including the collaboration and license agreements that we entered into with each of Regeneron and Moderna in November and December 2022, respectively, and funding we received through the sales of our equity securities in July 2023 and May 2025.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Additionally, our stock price has declined and our ability to raise adequate funding through equity offerings, if at all, may be limited.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initial clinical trials for future programs is subject to finalizing the trial design and submission of an IND or similar submission to the FDA or similar global health authorities. In addition, even if we submit an IND or a comparable submission in other jurisdictions for our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clinical trials under such IND,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 For example, in March 2025, based on clinical observations to date and CytomX pipeline priorities, Amgen and we jointly decided to terminate the CX-904 program.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we or our collaborators may also experience delays in completing ongoing clinical trials, completing preclinical studies or initiating further clinical trials of our product candidates.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suitable patients to participate in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validating any companion diagnostic to be used in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requiring us to submit additional data or imposing other requirements before permitting us to initiate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authority clearance to commence a clinical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reaching agreement on acceptable terms with prospective contract research organizations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institutional review board (“IRB”) approval at each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having patients complete a clinical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sites deviating from trial protocol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adding new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our product candidates in sufficient quality and quantity for use in clinical trials;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electing to not pursue development and commercialization of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very early in our development efforts, including with CX-2051 and CX-801 currently continuing in early-stage clinical development.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collaborators must conduct extensive preclinical tests and clinical trials to demonstrate sufficient safety, purity and potency (or efficacy) of our product candidates in patients.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product-related side effects experienced by participants in our clinical trials, the clinical trials of our collaborators or by individuals using drugs or therapeutic biologics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submitting INDs or comparable foreign applications or delays or failure in obtaining the necessary approvals or allowances from regulators to commence a clinical trial, or a suspension or termination of a clinical trial once commenced;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imposed by the FDA or comparable foreign authorities regarding the scope or design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enrolling research subjects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drop-out rates of research subjects;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inadequate supply or quality of product candidate components or materials or other supplies necessary for the conduct of our or our collaborators’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than anticipated clinical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in the development or approval of companion diagnostic tests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the manufacturing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FDA or other regulatory agency inspection and review of a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our third-party contractors or investigators to comply with regulatory requirements or otherwise meet their contractual obligations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varying interpretations of data by the FDA and similar foreign regulatory agencies.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could find that the therapeutics we or our collaborators pursue are not safe, pure, potent (or efficacious). For example, in March 2025, based on clinical observations to date and CytomX pipeline priorities, Amgen and we jointly decided to terminate the CX-904 program.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For example, in March 2023, AbbVie announced that it would not advance CX-2029 into additional clinical trials and terminated our 2016 CD71 License and Collaboration Agreement for CX-2029. In November 2023, we announced that we would not direct significant further investment in the development of CX-2029 and in the first quarter of 2025 terminated the program. Any similar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Interim, “top-line,” initial and preliminary data from our clinical trials, including the ongoing Phase 1 clinical trials of CX-2051 or CX-801, that we announce or publish from time to time may change as more patient data become available and are subject to audit and verification procedures that could result in material changes in the final data.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For example, in May 2024, we disclosed initial data from our ongoing Phase 1a dose escalation clinical trial of CX-904. In March 2025, based on clinical observations to date and CytomX pipeline priorities, Amgen and we jointly decided to terminate the CX-904 program.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top-line, or interim data and final data could significantly harm our business prospects.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including CX-2051 and CX-801. There can be no assurance that unexpected adverse events will not occur in our ongoing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including the ongoing Phase 1 clinical trials of CX-2051 or CX-801, or in future trials involving our product candidates or the product candidates of our collaborators. Undesirable side effects may appear in later trials that were not observed in our earlier trials or may be more severe in later trials than earlier trials. </w:t>
      </w:r>
    </w:p>
    <w:p>
      <w:pPr>
        <w:pStyle w:val="TextBody"/>
        <w:bidi w:val="0"/>
        <w:jc w:val="left"/>
        <w:rPr>
          <w:rFonts w:ascii="Times New Roman" w:hAnsi="Times New Roman"/>
          <w:color w:val="000000"/>
          <w:sz w:val="20"/>
        </w:rPr>
      </w:pPr>
      <w:r>
        <w:rPr>
          <w:rFonts w:ascii="Times New Roman" w:hAnsi="Times New Roman"/>
          <w:color w:val="000000"/>
          <w:sz w:val="20"/>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May 2025 we announced positive interim data from our ongoing Phase 1 clinical trial with CX-2051. While we believe interim data supports the potential to reach a favorable therapeutic index, we also reported treatment related adverse events, including diarrhea, nausea, vomiting, and anemia, and in August 2025, we announced that a single Grade 5 treatment-related acute kidney injury occurred in a patient with a complex medical history including having a solitary kidney. We cannot provide assurance that we will reach an acceptable or tolerable dose for CX-2051 or CX-801. Furthermore, any ongoing or future clinical trials of our product candidates, including those for CX-2051 and CX-801, could face risks related to undesirable side effects, including unacceptable toxicity.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In addition, any occurrences of side effects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their approval of the product or seize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collaborators may be required to recall the product or change the way the product is administered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restrictions may be imposed on the marketing of the particular product or the manufacturing processes for the product or any component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fines, injunctions or the imposition of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the addition of labeling statements, such as a “black box” warning or a contraindication;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 or to conduct post-marketing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adverse side effects caused by any drugs of other companies utilizing the same or similar therapeutic agents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target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severity of the disease or condition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eligibility criteria for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an appropriate genomic screening test;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perceived risks and benefits of the product candidate under study;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efficacy of approved therapies for the disease or condition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monitor patients adequately during and after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clinical trials will drop out of a trial;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and availability of clinical trial sites for prospective patients.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can be no assurance that new or further trials with our current or future drug candidates will not be adversely affected by a limited patient population. Our clinical trials of CX-2051 and CX-801 study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The clinical trials for our molecules also compete with thousands of clinical trials with alternative anti-cancer drugs in similar classes (e.g. antibody-drug conjugates), and certain arms of the clinical trials may be difficult to enroll due to the emerging standard of care for such indications in certain jurisdictions, including the United States. Likewise, our clinical trials of CX-2051 and CX-801 are also competing with thousands of other anti-cancer clinical trials. Any clinical trials of our product candidates initiated by our collaborators will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will continue to conduct clinical trials and contract with third-party manufacturers in foreign countries, including Europe and China, which could expose us to risks that could have a material adverse effect on the success of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enrolled or are planning to enroll patients in our clinical trials outside the United States, including in Europe and South Korea. While we generally conduct our clinical trials primarily or partially in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practices (“GCPs”)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trial was not subject to an IND, the FDA will not accept the data as support for an application for marketing approval unless the study was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and time-consuming, and which may result in current or future product candidates that we may develop not receiving approval for commercialization in the applicable jurisdiction.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we currently contract manufacturing operations to third parties, and certain of our product candidates are manufactured by and will in the future be manufactured by third parties outside the U.S., including in Europe and China. For example, we have a contract with a third-party manufacturer located in China for product candidates, including CX-2051 and CX-801, and accordingly we are exposed to the possibility of drug product supply disruption, delay and increased costs in the event of changes in the policies of the U.S., European or Chinese governments, including political unrest or unstable economic conditions in China or elsewhere.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in September 2024, the U.S. House of Representatives passed the BIOSECURE Act (H.R. 8333) and the Senate has advanced a substantially similar bill (S.3558), which legislation, if passed and enacted into law, would have the potential to restrict the ability of U.S. biopharmaceutical companies like us to purchase services or products from, or otherwise collaborate with, certain Chinese biotechnology companies “of concern”, including a third-party manufacturer we use for certain product candidates, without losing the ability to contract with, or otherwise receive funding from, the U.S. government.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Conducting clinical trials and contracting with third-party manufacturers outside the United States also exposes us to additional risks, including risks associated with additional foreign regulatory requirements; foreign exchange fluctuations; tariffs; patient monitoring and compliance; compliance with foreign manufacturing, customs, shipment and storage requirements;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r>
        <w:rPr>
          <w:rFonts w:ascii="Times New Roman" w:hAnsi="Times New Roman"/>
          <w:b/>
          <w:i/>
          <w:color w:val="000000"/>
          <w:sz w:val="20"/>
        </w:rPr>
        <w: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rely on third-party contract manufacturers to manufacture our clinical trial and preclinical study product supplies, some of which are located in foreign countries. Most of our clinical trial manufacturing contractors and suppliers are our sole source for their respective manufacturing and supplies. Failure of any of these contractors could put our ability to have clinical trial material available when needed at risk. Any such failure to have clinical trial material available when needed could result in a substantial delay of our clinical trials. For each of CX-2051 and CX-801 our manufacturing supply chain includes several contract manufacturers, and failure by any of these manufacturers could result in interruptions of our clinical studies. For example, beginning in October 2023, one of our contract manufacturers of CX-2051 experienced production failures. Although we are taking steps to manage our long-term supply of CX-2051, there can be no assurance that we will not have future production failures, which could affect our ability to conduct our trials for CX-2051 or any other clinical trial drug candidates, including CX-801,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w:t>
      </w:r>
      <w:r>
        <w:rPr>
          <w:rFonts w:ascii="Times New Roman" w:hAnsi="Times New Roman"/>
          <w:b/>
          <w:i/>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CX-2051 manufacturing production failures our contract manufacturer experienced in 2023,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r>
        <w:rPr>
          <w:rFonts w:ascii="Times New Roman" w:hAnsi="Times New Roman"/>
          <w:b/>
          <w:i/>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initiate or continue clinical trials of product candidates under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in submitting regulatory applications, or receiving regulatory approvals, for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the cooperation of a collaborator;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subjecting third-party manufacturing facilities or our manufacturing facilities to additional inspections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cease distribution or to recall batches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approval to market and commercialize a product candidate, an inability to meet commercial demands for our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supply chain for the manufacturing of our product candidates is complicated and can involve many parties. This is especially the case for our clinical-stage conditionally activated ADCs. If we were to experience any supply chain issues, our product supply could be seriously disrupted. In addition, we expect the logistical challenges associated with our supply chain to grow more complex as additional product candidates commence any clinical trials.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or third-party manufacturers, may be unable to successfully scale-up manufacturing of our product candidates in sufficient quality and quantity, which would delay or prevent us from developing our product candidates and commercializing approved products, if 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It may prove more challenging than we anticipate to manufacture products that incorporate our PROBODY therapeutic technology. In order to conduct clinical trials of our product candidates, including our clinical trials for CX-2051 and CX-801, we will need to manufacture them in large quantities. There can be no assurance that we will not have future production failures, which could affect our ability to conduct our trials for CX-2051 or CX-801 or any other clinical trial drug candidates on our planned timeline or at all. Furthermore, in order to conduct later stage clinical trials of our product candidates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any of our product candidates, increase the life of drug stability of product candidates, or successfully complete the FDA’s bridging requirements, the development, testing, and clinical trials of that product candidate may be delayed or infeasible, and regulatory approval or commercial launch of any resulting product may be delayed or not obtained, which could significantly harm our business.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approach to the discovery and development of our therapeutic treatments is based on novel technologies that are unproven and may not result in marketable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CX-2051 and CX-801.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ultimately discover that our PROBODY platform and any product candidates resulting from it do not possess certain properties required for therapeutic effectiveness or protection from toxicity. For example, when PROBODY therapeutics are administered to human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However, we cannot provide assurance that it will not later limit drug exposure or cause severe adverse events for our other drug candidates.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 scientific evidence to support the feasibility of developing product candidates against novel, difficult to drug targets, is both preliminary and limited. For example, our understanding of the expression of our drug targets in both healthy and diseased tissues is still developing. As a result, we cannot provide any assurance that we will be able to successfully identify and advance any product candidates to target novel, difficult-to-drug targets.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we entered into a collaboration with Moderna for the development of mRNA based product candidates. We do not know whether our PROBODY platform will be able to successfully develop product candidates utilizing this mRNA technology.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the FDA and foreign regulatory authorities have limited experience with conditionally activated therapeutics in oncology, such experience primarily coming from us with our prior development of CX-904, praluzatamab ravtansine, CX-2029, BMS-986249, BMS-986288, and pacmilimab, and more recently, with other competitors with early stage conditionally activated therapeutics. We believe that such limited experience may increase the complexity, uncertainty and length of the regulatory approval process for our product candidates and may keep us from commencing first-in-human trials in certain countries. As there is limited historical precedent for the regulatory approval of conditionally activated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market may not be receptive to our product candidates based on a novel therapeutic modality, and we may not generate any future revenue from the sale or licensing of product candidates.</w:t>
      </w:r>
    </w:p>
    <w:p>
      <w:pPr>
        <w:pStyle w:val="TextBody"/>
        <w:bidi w:val="0"/>
        <w:jc w:val="left"/>
        <w:rPr>
          <w:rFonts w:ascii="Times New Roman" w:hAnsi="Times New Roman"/>
          <w:color w:val="000000"/>
          <w:sz w:val="20"/>
        </w:rPr>
      </w:pPr>
      <w:r>
        <w:rPr>
          <w:rFonts w:ascii="Times New Roman" w:hAnsi="Times New Roman"/>
          <w:color w:val="000000"/>
          <w:sz w:val="20"/>
        </w:rPr>
        <w:t xml:space="preserve">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 particularly true for any of our product candidates for which there are existing approved therapies. Market acceptance of our product candidates will depend on, among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receipt of any marketing and commercialization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any approvals and the countries in which approvals are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purity, potency (or efficacy) of our product candidates, including those being developed by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adverse side effects associated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any labeling approved by the FDA or other regulatory authority;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effective companion diagnostics;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accept any new methods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physician education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reimbursement from government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of our products, particularly as compared to alternative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alternative effective treatments for the disease indications our product candidates are intended to treat and the relative risks, benefits and costs of those treatments.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any product candidate we commercialize fails to achieve market acceptance, it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 2013, we have entered into collaborations with AbbVie, Amgen, Astellas, Bristol Myers Squibb, ImmunoGen, Moderna, Pfizer, Regeneron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2023, AbbVie terminated the collaboration agreement for CX-2029 and the ongoing discovery agreement we had entered into with them in 2016. Our partners have chosen multiple targets for research, some of which continue to be advanced and others which do not continue to advance. Our partners will continue to choose early research targets from time to time, some of which will advance into further research and development and some of which will not. For example, in January 2023, Bristol Myers Squibb announced that it would deprioritize the Phase 2 clinical program for BMS-986249 and advance the BMS-986288 into a Phase 2 program, and on March 6, 2024, Bristol Myers Squibb notified us that it would not continue the BMS-986288 program.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 Overall, collaborations involving our product candidates currently pose, and will continue to pose, the following risks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amount and timing of efforts and resources that they will apply to these collaborations, including the preclinical collaboration programs with Bristol Myers Squibb, Amgen, Astellas, Regeneron and Moderna;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designing any clinical trials they operate pursuant to our collaboration agreements and may release data from such clinical trials, including with respect to our PROBODY therapeutics, without consulting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with marketing and distribution rights to one or more products may not commit sufficient resources to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misappropriate or otherwise violate the intellectual property rights of third parties, which may expose us to litigation and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example, in January 2023, we announced topline results of the Phase 2 expansion cohorts of CX-2029 and in March 2023, AbbVie decided not to continue the future development of CX-2029. CytomX re-acquired full rights to CX-2029, however, in the fourth quarter of 2023, we decided to not to make any further significant investments in the solid tumor CX-2029 program and terminated the program in the first quarter of 2025. Additionally, in March 2025, based on clinical observations to date and CytomX pipeline priorities, Amgen and we jointly decided to terminate the CX-904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Substantially all of our revenue to date has been derived from our existing collaboration agreements, including, most recently, the agreements that we entered into with Regeneron and Moderna in 2022,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2023, AbbVie terminated our 2016 CD71 License and Collaboration Agreement, and from time to time some of our research programs have been terminated by our partners. Additionally, in March 2025, based on clinical observations to date and CytomX pipeline priorities, Amgen and we jointly decided to terminate the CX-904 program.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in March 2024, Bristol Myers Squibb notified us that it would not continue the BMS-986288 program and we will not receive any milestone or other payments from them on this program.</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achieve our projected development and commercialization goals in the timeframes we announce and expect the commercialization of any of our product candidates may be delayed, or never attained, and our business will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available capital resources or capital constraints we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costs and results of our clinical trials and research and development activities, including the extent of scheduling conflicts with participating clinicians and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enroll patients who meet clinical trial eligibility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receipt of approvals by the FDA and other regulatory authorities and the timing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actions, decisions or rules issued by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access sufficient, reliable and affordable supplies of materials used in the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and supply clinical trial materials to our clinical sites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efforts of our collaborators with respect to the commercialization of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securing of, costs related to, and timing issues associated with, product manufacturing as well as sales and marketing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fail to achieve announced milestones in the timeframes we expect, the commercialization of any of our product candidates may be delayed or never attained, and our business and results of operations may be harmed.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 commencing operations, we have entered into several collaboration agreements. Most recently, in November 2022 and December 2022, we entered into strategic collaborations with Regeneron and Moderna, respectively. From time to time, we may consider additional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In July 2022, in connection with our announcement of Phase 2 topline results for praluzatamab ravtansine, we communicated our plans to seek collaborators to advance the program further, however, we did not obtain a collaborator for that program. The competition for collaborators is intense and there can be no assurances that we will be able to secure any collaboration for any of our programs. The negotiation process for strategic collaborations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successfully develop companion diagnostic tests for certain of our product candidates, or experience significant delays in doing so, we may not realize the full commercial potential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developed in conjunction with clinical programs for the associated product candidate and are subject to regulation by the FDA and similar regulatory authorities outside the United States as medical devices and require separate regulatory approval prior to commercialization. Specifically,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our limited experience in developing companion diagnostic tests, we could seek to rely on third parties to design, manufacture, and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as well as applicable laws and regulations. The FDA requires preclinical studies to be conducted in accordance with good laboratory practices (“GLPs”) and clinical trials to be conducted in accordance with GCPs and other applicable regulations, including for designing, conducting, recording and reporting the results of preclinical studies and clinical trials to assure that data and reported results are credible and accurate and that the rights, integrity and confidentiality of clinical trial participants are protected. Regulatory authorities enforce GCPs through periodic inspections of trial sponsors, principal investigators and trial sites. Our reliance on third parties that we do not control will not relieve us of these responsibilities and requirements. If we or any of our CROs or trial sites fail to comply with applicable GLP, GCP or other requirements, the data generated in our clinical trials may be deemed unreliable, and the FDA or comparable foreign regulatory authorities may require us to perform additional clinical trials before approving our marketing applications, if ever.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principal investigators for our clinical trials may be asked to serve as scientific advisors or consultants to us from time to time and may receive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BLA we submit. Any such delay or rejection could prevent us from commercializing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and fail to capitalize on product candidates that may be more profitable or for which there is a greater likelihood of success.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we have limited financial and managerial resources, we focus on specific product candidates and indications. For example, in July 2022, we announced that we would not continue the development of pralauzatamab ravtansine without a partner. Additionally, in the first quarter of 2025, we terminated the CX-2029 program.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experience difficulties in managing our growth and expanding when needed.</w:t>
      </w:r>
    </w:p>
    <w:p>
      <w:pPr>
        <w:pStyle w:val="TextBody"/>
        <w:bidi w:val="0"/>
        <w:jc w:val="left"/>
        <w:rPr>
          <w:rFonts w:ascii="Times New Roman" w:hAnsi="Times New Roman"/>
          <w:color w:val="000000"/>
          <w:sz w:val="20"/>
        </w:rPr>
      </w:pPr>
      <w:r>
        <w:rPr>
          <w:rFonts w:ascii="Times New Roman" w:hAnsi="Times New Roman"/>
          <w:color w:val="000000"/>
          <w:sz w:val="20"/>
        </w:rPr>
        <w:t>Since 2022 we have maintained a relatively steady number of employees in our workforce and maintained activities to manage our pipeline, including research activities and efforts to establish and run clinical trials for CX-2051, CX-904 and CX-801. However, in January 2025, we announced that we would reduce our workforce, primarily research and general and administrative staff, by approximately 40% to preserve capital for ongoing clinical trials and collaboration partner activities. In the future we may need to grow our organization substantially to continue development and pursue the potential commercialization of our product candidates, including CX-801 and CX-2051,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product candidates are approved, they will compete with a range of therapeutic treatments that are either in development or currently marketed. A variety of oncology drugs and therapeutic biologics are currently on the market or in clinical development.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face substantial competition from pharmaceutical companies developing products in oncology, including companies such as Amgen, AstraZeneca PLC, Bristol Myers Squibb, GlaxoSmithKline plc, Merck &amp; Co., Inc. Novartis AG, Pfizer, Roche Holding Ltd. and Sanofi SA.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large and mid-sized biotech companies, including BeiGene, Incyte, Nektar, and Alkermes have ongoing efforts in cancer immunotherapy. Several companies, including Adagene, Amgen, Sanofi, BioAtla, Halozyme, Janux Therapeutics, Roche, Takeda, Vir Biotechnology, Werewolf Therapeutics, and Xilio are exploring antibody masking and/or conditional activation strategies, which could compete with our PROBODY platform. We are also aware of several companies that are developing ADCs, such as AbbVie, ADC Therapeutics, BMS, Daiichi Sankyo, Gilead, Merck &amp; Co., Mersana Therapeutics, Pfizer, Roche Holding Ltd., and Takeda. Companies like Gilead and Jazz are pursuing development programs in the cytokine space.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colorectal cancer (CRC), there are an increasing number of experimental therapies with different mechanisms of action under investigation, including therapies that are directed against CRC subtypes defined by biologic features including, but not limited to, KRAS mutational status, BRAF mutational status, microsatellite instability (MSI), and surface protein expression (e.g., cMET, CECAM5, HER2, EGFR). For example, AbbVie is developing AbbVie-400 for a subset of CRC patients in a Phase 3 clinical trial. These novel competitor agents, alone or in combination with other anti-cancer agents, may potentially impact the approval of or adoption of therapeutics for the treatment of CRC.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Any inability to attract and retain qualified key management and technical personnel would impair our ability to implement our business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success largely depends on the continued service of key management, advisors and other specialized personnel, including Sean A. McCarthy, D.Phil., our chief executive officer and chairman.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increase in the San Francisco Bay Area and across the country.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Price controls imposed in foreign markets may adversely affect our future profitability.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some countries, particularly member states of the European Union and the United Kingdom,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our ability to obtain sufficient insurance coverage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exposed to significant product liability risks inherent in the development, testing, manufacturing and marketing of therapeutic treatments, including as a result of the clinical testing of our prior clinical candidates, our current clinical candidates, including CX-2051 and CX-801, and any other product candidates we may have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employees and independent contractors may engage in misconduct or other improper activities, including noncompliance with regulatory standards and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gradually increased our laboratory research activities to normal levels, and adopted a hybrid work from home model, there can be no assurance that a future pandemic or other event will not impact our ability to conduct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reported financial results may be adversely affected by changes in accounting principles generally accepted in the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Additionally, for the purpose of revenue recognition, we are required to estimate the amount of effort to complete, as measured by full-time equivalent hours of our research development programs. Such estimates are inherently uncertain and may result in changes in subsequent periods.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 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not able to obtain and enforce patent protection for our technologies or product candidates, development and commercialization of our product candidates may be adversely affected.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 technology and products as well as methods of use and production thereof; we have exclusively licensed UCSB’s interest in the patent family co-owned with UCSB that covers certain PROBODY and other pro-protein technology in the fields of therapeutics, </w:t>
      </w:r>
      <w:r>
        <w:rPr>
          <w:rFonts w:ascii="Times New Roman" w:hAnsi="Times New Roman"/>
          <w:i/>
          <w:color w:val="000000"/>
          <w:sz w:val="20"/>
        </w:rPr>
        <w:t xml:space="preserve">in vivo </w:t>
      </w:r>
      <w:r>
        <w:rPr>
          <w:rFonts w:ascii="Times New Roman" w:hAnsi="Times New Roman"/>
          <w:color w:val="000000"/>
          <w:sz w:val="20"/>
        </w:rPr>
        <w:t xml:space="preserve">diagnostics and prophylactics. In addition, we have exclusively licensed a patent portfolio of three patent families from UCSB that includes patents that cover compositions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and methods related to the screening for and identification of the masks that we incorporate into some of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We can make no assurance that interpretations of the Supreme Court decisions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Once granted, patents may be subject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or may not be able to make, use or sell compounds that are the same as or similar to our product candidates but that are not covered by the claims of the patents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collaborators are the first to make the inventions covered by each of our issued patents and pending patent applications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collaborators are the first to file patent applications covering certain aspects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independently develop similar or alternative technologies or duplicate any of our technologies without infringing, misappropriating or otherwise violating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 party may not challenge our patents and, if challenged, a court would hold that our patents are valid, enforceable and infringed.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issued patents that we own or have licensed will provide us with any competitive advantages or will not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will not have a material or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companies or organizations may challenge our or our licensors’ patent rights or may assert patent rights that prevent us from developing and commercializing our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Conditionally-activated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therapeutic compositions of matter as well as their methods of manufacturing and use.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pStyle w:val="TextBody"/>
        <w:bidi w:val="0"/>
        <w:jc w:val="left"/>
        <w:rPr>
          <w:rFonts w:ascii="Times New Roman" w:hAnsi="Times New Roman"/>
          <w:color w:val="000000"/>
          <w:sz w:val="20"/>
        </w:rPr>
      </w:pPr>
      <w:r>
        <w:rPr>
          <w:rFonts w:ascii="Times New Roman" w:hAnsi="Times New Roman"/>
          <w:color w:val="000000"/>
          <w:sz w:val="20"/>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example, in March 2022, Russia adopted a decree allowing local companies and individuals to use inventions from certain countries designated as “unfriendly”, including the U.S. Further, under current U.S. currency restrictions on payments to entities in Russia, we may be unable in the future to pay for the prosecution of patent applications or the maintenance of existing patents in Russia. As a result of these actions, we may not be able to protect our technology from unlicensed use in Russia.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Times New Roman" w:hAnsi="Times New Roman"/>
          <w:i/>
          <w:color w:val="000000"/>
          <w:sz w:val="20"/>
        </w:rPr>
        <w:t>inter alia</w:t>
      </w:r>
      <w:r>
        <w:rPr>
          <w:rFonts w:ascii="Times New Roman" w:hAnsi="Times New Roman"/>
          <w:color w:val="000000"/>
          <w:sz w:val="20"/>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filed a patent infringement lawsuit against the Company in the U.S. District Court for the District of Delaware. The lawsuit alleged that the Company’s use, offers to sell, and/or sales of the PROBODY technology platform for basic research applications constituted infringement. The complaint sought unspecified monetary damages. On October 17, 2024 the Court dismissed plaintiff’s case, and on October 28, 2024, the Court ordered the case to be closed.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the therapeutic landscape is still evolving, including the masked biologics landscape, it is difficult to conclusively assess our freedom to operate without infringing on third-party rights. There are numerous companies that have pending patent applications and issued patents broadly covering masked therapeutics generally or covering masked therapeutics directed against the same targets as, or targets similar to, those we are pursuing. An increasing number of third parties are filing masked therapeutics patent applications, several of which contain claims that are patterned after our own patent claims. Our competitive position may suffer if patents issued to third parties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Intellectual property litigation could cause us to spend substantial resources and distract our personnel from their normal responsibilities.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Uncertainties resulting from the initiation and continuation of patent litigation or other proceedings could have a material and adverse effect on our ability to compete in the marketplace.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licenses from Amgen, AbbVie (formerly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commercialize, if any. Therefore, even if we successfully develop and commercialize products, we may be unable to achieve or maintain profitability.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noBreakHyphen/>
        <w:t>executing or may be breached, and we may be forced to bring claims against third parties, or defend claims they may bring against us, to determine the ownership of what we regard as our intellectual property.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jc w:val="left"/>
        <w:rPr>
          <w:rFonts w:ascii="Times New Roman" w:hAnsi="Times New Roman"/>
          <w:color w:val="000000"/>
          <w:sz w:val="20"/>
        </w:rPr>
      </w:pPr>
      <w:r>
        <w:rPr>
          <w:rFonts w:ascii="Times New Roman" w:hAnsi="Times New Roman"/>
          <w:color w:val="000000"/>
          <w:sz w:val="20"/>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jc w:val="left"/>
        <w:rPr>
          <w:rFonts w:ascii="Times New Roman" w:hAnsi="Times New Roman"/>
          <w:b/>
          <w:i/>
          <w:color w:val="000000"/>
          <w:sz w:val="20"/>
        </w:rPr>
      </w:pPr>
      <w:r>
        <w:rPr>
          <w:rFonts w:ascii="Times New Roman" w:hAnsi="Times New Roman"/>
          <w:b/>
          <w:i/>
          <w:color w:val="000000"/>
          <w:sz w:val="20"/>
        </w:rPr>
        <w:t>We may be unable to obtain or be delayed in obtaining U.S. or foreign regulatory approval and, as a result, be unable or delayed in being able to commercialize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recently the FDA launched Project Optimus, an initiative to reform the dose optimization and dose selection paradigm in oncology drug development. While the effort is intended to help drive better ultimate outcomes in the development of oncology drugs, these efforts could also lead to longer and more expensive early development efforts for companies, including us, before we are able to initiate registrational studies for our product candidates. It is possible that none of the product candidates we may develop will obtain the regulatory approvals necessary for us or our existing or future collaborators to begin selling them.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FDA or comparable foreign regulatory authorities can delay, limit or deny approval of a product candidate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the design or execution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ambiguous results from our clinical trials or results may not meet the level of significance or persuasiveness required by the FDA or comparable foreign regulatory agencies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drug-related side effects may be experienced by participants in our clinical trials or by individuals using drugs similar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not accept clinical data from trials that are conducted at clinical facilities or in countries where the standard of care is potentially different from that of their own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not agree that the data collected from clinical trials of our product candidates are acceptable or sufficient to support the submission of a BLA or other submission or to obtain regulatory approval in the U.S. or elsewhere, and such authorities may impose requirements for additional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disagree with us regarding the formulation, labeling and/or the product specifications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may be granted only for indications that are significantly more limited than those sought by us, and/or may include significant restrictions on distribution and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authorities may find deficiencies in the manufacturing processes or facilities of the third-party manufacturers with which we contract for clinical and commercial supplies;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authorities may not accept a submission due to, among other reasons, the content or formatting of the submission.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or other government actions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post-marketing clinical trials and surveillance programs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cGMPs and other applicable regulations and standards. In addition, any regulatory approvals we may receive will require the submission of periodic reports to regulatory authorities and ongoing surveillance to monitor the safety and efficacy of the product. Such approvals may also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training and communication plans or additional elements to ensure safe use, such as restricted distribution methods, patient registries and other risk minimization tools.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the product, 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product distribution or use, or 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restitutions, disgorgement of profits or revenues, warning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our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revocation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new requirements or policies, or if we are not able to maintain regulatory compliance, we may be subject to enforcement action, and we may not achieve or sustain profitability.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product candidates for which we intend to seek approval as biologic products may face competition sooner than anticipated.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Moreover, the extent to which a biosimilar, once approved, will be substituted for any one of our reference products in a way that is similar to traditional generic substitution for non-biological products is not yet clear, and will depend on a number of marketplace factors.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in recent years, the U.S. government has shut down several times and certain regulatory agencies, such as the FDA, have had to furlough FDA employees and stop critical activities.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Separately, in response to the COVID-19 pandemic, the FDA postponed most inspections of domestic and foreign manufacturing facilities at various points. If a prolonged government shutdown occurs, or if renewed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Healthcare legislative reform measures may have a material and adverse effect on our business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United States, there have been and continue to be a number of legislative initiatives to contain healthcare costs, and government regulation.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 and therapeutic biologics.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in the United States since the ACA was enacted to reduce healthcare expenditures.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2, 2020 through March 31, 2022,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Moreover, payment methodologies, including payment for companion diagnostics, may be subject to changes in healthcare legislation and regulatory initiatives. For example, in March 2018, the Centers for Medicare &amp; Medicaid Services (“CMS”) finalized a national coverage determination extending coverage under the Medicare program for certain diagnostic laboratory tests using next generation sequencing (“NGS”) that are approved by the FDA as a companion </w:t>
      </w:r>
      <w:r>
        <w:rPr>
          <w:rFonts w:ascii="Times New Roman" w:hAnsi="Times New Roman"/>
          <w:i/>
          <w:color w:val="000000"/>
          <w:sz w:val="20"/>
        </w:rPr>
        <w:t>in vitro</w:t>
      </w:r>
      <w:r>
        <w:rPr>
          <w:rFonts w:ascii="Times New Roman" w:hAnsi="Times New Roman"/>
          <w:color w:val="000000"/>
          <w:sz w:val="20"/>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In March 2021, the American Rescue Plan Act of 2021 was signed into law, which eliminated the statutory Medicaid drug rebate cap, previously set at 100% of a drug’s average manufacturer price, beginning January 1, 2024. In August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(HHS) to implement many of these provisions through guidance, as opposed to regulation, for the initial years. CMS has published the negotiated prices for the initial ten drugs, which will first be effective in 2026, and has published the list of the subsequent 15 drugs that will be subject to negotiation, although the drug price negotiation program is currently subject to legal challenges. For that and other reasons, it is currently unclear how the IRA will be effectuated. These laws and future laws may negatively impact the ability of biotechnology companies, including us, to raise funds from investors for or to obtain collaboration partners who assist us in the funding of research and development of future medicines.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pStyle w:val="TextBody"/>
        <w:bidi w:val="0"/>
        <w:jc w:val="left"/>
        <w:rPr>
          <w:rFonts w:ascii="Times New Roman" w:hAnsi="Times New Roman"/>
          <w:color w:val="000000"/>
          <w:sz w:val="20"/>
        </w:rPr>
      </w:pPr>
      <w:r>
        <w:rPr>
          <w:rFonts w:ascii="Times New Roman" w:hAnsi="Times New Roman"/>
          <w:color w:val="000000"/>
          <w:sz w:val="20"/>
        </w:rPr>
        <w:t>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inspection findings;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voluntary or mandatory product recalls or public notification or medical product safety alerts to healthcare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or prohibitions against, marketing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or prohibitions against, importation or exportation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of review or refusal to approve pending applications or supplements to approved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exclusion from participation in government-funded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exclusion from eligibility for the award of government contracts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seizures or administrative detention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civil and criminal penalties and fines.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operations abroad may also be subject to increased scrutiny or attention from data protection authorities. For example, the General Data Protection Regulation (“GDPR”) went into effect in May 2018, and imposes stringent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4% total worldwide annual turnover or €20 million, whichever is higher.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from January 1, 2021, we have had to comply with the GDPR and also the UK GDPR, which, together with the amended UK Data Protection Act 2018, retains the GDPR in UK national law. The UK GDPR mirrors the fines under the GDPR, i.e., fines up to the greater of €20 million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 reputation, and we may be forced to change the way we operate. This could result in additional cost and liability to us, which could negatively affect our business, results of operation, and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Even if we are able to commercialize any product candidate, such product candidate may become subject to unfavorable pricing regulations or third-party coverage and reimbursement policies, which would harm our business.</w:t>
      </w:r>
    </w:p>
    <w:p>
      <w:pPr>
        <w:pStyle w:val="TextBody"/>
        <w:bidi w:val="0"/>
        <w:jc w:val="left"/>
        <w:rPr>
          <w:rFonts w:ascii="Times New Roman" w:hAnsi="Times New Roman"/>
          <w:color w:val="000000"/>
          <w:sz w:val="20"/>
        </w:rPr>
      </w:pPr>
      <w:r>
        <w:rPr>
          <w:rFonts w:ascii="Times New Roman" w:hAnsi="Times New Roman"/>
          <w:color w:val="000000"/>
          <w:sz w:val="20"/>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attempt to secure approval from the FDA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in the future seek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accelerated approval pathway may be used in cases in which the advantage of a product candidate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predicted clinical benefit. If such post-approval studies fail to confirm the drug’s clinical benefit or are not completed in a timely manner, the FDA may withdraw its approval of the drug on an expedited basis. In addition, the Food and Drug Omnibus Reform Act of 2022 provided FDA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seek Orphan Drug Designation for some of our product candidates, and we may be unsuccessful or may be unable to maintain the benefits associated with Orphan Drug Designation, including the potential for market exclusivity.</w:t>
      </w:r>
    </w:p>
    <w:p>
      <w:pPr>
        <w:pStyle w:val="TextBody"/>
        <w:bidi w:val="0"/>
        <w:jc w:val="left"/>
        <w:rPr>
          <w:rFonts w:ascii="Times New Roman" w:hAnsi="Times New Roman"/>
          <w:color w:val="000000"/>
          <w:sz w:val="20"/>
        </w:rPr>
      </w:pPr>
      <w:r>
        <w:rPr>
          <w:rFonts w:ascii="Times New Roman" w:hAnsi="Times New Roman"/>
          <w:color w:val="000000"/>
          <w:sz w:val="20"/>
        </w:rPr>
        <w:t xml:space="preserve">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or condition for which it has such designation, the product is entitled to orphan drug exclusivity, which means that the FDA may not approve any other applications, including a full BLA, to market the same product for the same disease or condition or seven years, except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limited circumstances, such as a showing of clinical superiority to the product with orphan drug exclusivity or where the manufacturer is unable to assure sufficient product quantity.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Even if we obtain Orphan Drug Designation for our product candidates in specific indications, we may not be the first to obtain marketing approval of these product candidates for the orphan-designated disease or condition due to the uncertainties associated with developing pharmaceutical products. In addition, exclusive marketing rights in the United States may be limited if we seek approval for an disease or condition broader than the orphan-designated disease or condition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disease or condition. Even after an orphan product is approved, the FDA can subsequently approve the same drug or therapeutic biologic for the same disease or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quarterly operating results may fluctuate significantly or may fall below the expectations of investors or securities analysts, each of which may cause our stock price to fluctuate or decline.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our operating results to be subject to quarterly fluctuations. Our net loss and other operating results will be affected by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the level of expense related to the ongoing development of our PROBODY platform, our product candidates or future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or the addition or termination of clinical trials or funding support by us, or existing or future collaborators or licensing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execution of any additional collaboration, licensing or similar arrangements, and the timing of payments we may make or receive under existing or future arrangements or the termination or modification of any such existing or future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receives regulatory approval, the terms of such approval and market acceptance and demand for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developments affecting our product candidates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large portion of the revenue recognized relates to up-front payments received in earlier years, so the current cash flows from operations may be significantly different from the net income (loss) reported;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to be recognized in 2025 and future years may be significantly lower than 2024 as collaboration research terms come to an end.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our quarterly operating results fall below the expectations of investors or securities analysts, the price of our common stock could decline substantially. Furthermore, any quarterly fluctuations in our operating results may, in turn, cause the price of our stock to fluctuate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substantially. We believe that quarterly comparisons of our financial results are not necessarily meaningful and should not be relied upon as an indication of our future performance.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Section 404 of the Sarbanes-Oxley Act of 2002 requires that we evaluate and determine the effectiveness of our internal controls over financial reporting, provide a management report on the internal control over financial reporting and obtain</w:t>
      </w:r>
      <w:r>
        <w:rPr>
          <w:rFonts w:ascii="Times New Roman" w:hAnsi="Times New Roman"/>
          <w:color w:val="001D35"/>
          <w:sz w:val="20"/>
        </w:rPr>
        <w:t xml:space="preserve"> </w:t>
      </w:r>
      <w:r>
        <w:rPr>
          <w:rFonts w:ascii="Times New Roman" w:hAnsi="Times New Roman"/>
          <w:color w:val="000000"/>
          <w:sz w:val="20"/>
        </w:rPr>
        <w:t>an independent assessment and report on a company's internal financial controls from our external auditors.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financial statements, and harm our operating results. In addition, we are required, pursuant to Section 404, to furnish a report by our management and obtain an independent assessment and report from our external auditors on, among other things, the effectiveness of our internal control over financial reporting in our Annual Report on Form 10-K. Internal control over financial reporting is a process designed to provide reasonable assurance regarding the reliability of financial reporting and the preparation of financial statements in accordance with generally acceptable accounting principles in the United States (“GAAP”). This assessment includes disclosure of any material weaknesses identified by management in its internal control over financial reporting. The rules governing the standards that must be met for management to assess its internal control over financial reporting are complex and require significant documentation, testing, and possible remediation. Testing and maintaining internal controls may divert management’s attention from other matters that are important to our business. A failure in any of these obligations or requirements could subject us to a loss of stockholder confidence and sanctions or investigations by regulatory authorities or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implementation of the necessary practices and procedures related to internal control over financial reporting, we may identify deficiencies that we may not be able to remediate before our management is required to furnish the annual report on the effectiveness of our internal control over financial reporting. Our testing, or the testing (if required) by our independent registered public accounting firm, may reveal deficiencies in our internal control over financial reporting that are deemed to be material weaknesses. A material weakness is a deficiency, or combination of deficiencies, in internal control over financial reporting, such that there is a reasonable possibility that a material misstatement of the entity’s financial statements will not be prevented or detected on a timely basis. Any material weaknesses could result in a material misstatement of our annual or quarterly financial statements or disclosures that may not be prevented or detected. The existence of any material weakness would require management to devote significant time and incur significant expense to remediate any such material weakness, and management may not be able to remediate any such material weakness in a timely manner.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fail to implement the requirements of Section 404 in the required timeframe, we may be subject to sanctions or investigations by regulatory authorities, including the Securities and Exchange Commission (“SEC”) and The Nasdaq Global Select Market. Furthermore, if we are unable to conclude that our internal control over financial reporting is effective, we could lose investor confidence in the accuracy and completeness of our financial reports, the market price of our securities could decline, and we could be subject to sanctions or investigations by regulatory authorities or litigation. Failure to implement or maintain effective internal control over financial reporting and disclosure controls and procedures required of public companies could also restrict our future access to the capital markets.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preparing our financial statements for the year ending December 31, 2022, we determined that a material weakness existed in our internal control over financial reporting due to ineffective controls for evaluation and review of the accounting for revenue recognition. We initiated plans to remediate the material weakness and determined that as of June 30, 2023, the material weakness had been remediated. There can be no assurance that we will not identify additional material weaknesses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future periods, if our management is unable to conclude that we have effective internal control over financial reporting, or to certify the effectiveness of such controls, or if additional material weaknesses in our internal control over financial reporting are identified, our ability to record, process, and report financial information accurately, and to prepare financial statements within the time periods specified by the rules and forms of the SEC, could be adversely affected which, in turn, may adversely affect our business and the market price of our securities.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stock price may be volatile and purchasers of our common stock could incur substantial losses.</w:t>
      </w:r>
    </w:p>
    <w:p>
      <w:pPr>
        <w:pStyle w:val="TextBody"/>
        <w:bidi w:val="0"/>
        <w:jc w:val="left"/>
        <w:rPr>
          <w:rFonts w:ascii="Times New Roman" w:hAnsi="Times New Roman"/>
          <w:color w:val="000000"/>
          <w:sz w:val="20"/>
        </w:rPr>
      </w:pPr>
      <w:r>
        <w:rPr>
          <w:rFonts w:ascii="Times New Roman" w:hAnsi="Times New Roman"/>
          <w:color w:val="000000"/>
          <w:sz w:val="20"/>
        </w:rPr>
        <w:t>Our stock price is volatile. Since our initial public offering (“IPO”), our stock had low and high sales prices in the range of $0.40 and $35.00 per share. The market price for our common stock may be influenced by many factors, including the other risks described in this section titled “Risk Factors”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and preclinical studies of our product candidates, or those of our competitors or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U.S. and other countries, especially changes in laws or regulations applicable to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introductions and announcements of new products by us, our future commercialization partners, or our competitors, and the timing of these introductions or announcements;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regulatory agencies with respect to our products, clinical studies, manufacturing process or sales and marketing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any pandemic and related governmental regulations and restrictions may impact our business, including our research, clinical trials, manufacturing and financial condition, as well as the impact of other natural disasters and other calamities;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efforts to acquire or in-license additional technologies,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concerning any existing or future collaborations, including but not limited to those with our sources of manufacturing supply and our commercialization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inability to raise additional capital and the terms on which we raise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earnings estimates or changes in stock market analyst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or the failure of our competitors to meet analysts’ projections or guidance that we or our competitors may give to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and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concentrated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principles;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terrorist acts, acts of war or periods of widespread civil unrest;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and other calamities;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future issuance of equity or of debt securities that are convertible into equity will dilute our share capital.</w:t>
      </w:r>
    </w:p>
    <w:p>
      <w:pPr>
        <w:pStyle w:val="TextBody"/>
        <w:bidi w:val="0"/>
        <w:jc w:val="left"/>
        <w:rPr>
          <w:rFonts w:ascii="Times New Roman" w:hAnsi="Times New Roman"/>
          <w:color w:val="000000"/>
          <w:sz w:val="20"/>
        </w:rPr>
      </w:pPr>
      <w:r>
        <w:rPr>
          <w:rFonts w:ascii="Times New Roman" w:hAnsi="Times New Roman"/>
          <w:color w:val="000000"/>
          <w:sz w:val="20"/>
        </w:rPr>
        <w:t xml:space="preserve">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(as amended on each of March 4, 2022 and August 9, 2024, the “Sales Agreement”) with Jefferies LLC (“Jefferies”), to sell shares of our common stock, par value $0.00001 per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share, with aggregate gross sales proceeds of up to $75,000,000, from time to time, through an at the market offering under which Jefferies will act as sales agent. We have issued securities under the Sales Agreement and may do so in the future. In addition, in January and February 2021, we sold 16,428,571 shares of our common stock at $7.00 per share in an underwritten public offering. In July 2023, we sold pre-funded warrants to purchase up to 14,423,077 shares of common stock and accompanying Tranche Warrants to purchase up to 11,538,462 shares of our common stock. In May 2025, we sold 76,923,076 shares of our common stock in an underwritten public offering at $1.30 per share.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employment agreements with our executive officers may require us to pay severance benefits to officers in connection with termination of employment or upon a change of control of us, which could harm our financial condition.</w:t>
      </w:r>
    </w:p>
    <w:p>
      <w:pPr>
        <w:pStyle w:val="TextBody"/>
        <w:bidi w:val="0"/>
        <w:jc w:val="left"/>
        <w:rPr>
          <w:rFonts w:ascii="Times New Roman" w:hAnsi="Times New Roman"/>
          <w:color w:val="000000"/>
          <w:sz w:val="20"/>
        </w:rPr>
      </w:pPr>
      <w:r>
        <w:rPr>
          <w:rFonts w:ascii="Times New Roman" w:hAnsi="Times New Roman"/>
          <w:color w:val="000000"/>
          <w:sz w:val="20"/>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 active market for our common stock may not be maintained.</w:t>
      </w:r>
    </w:p>
    <w:p>
      <w:pPr>
        <w:pStyle w:val="TextBody"/>
        <w:bidi w:val="0"/>
        <w:jc w:val="left"/>
        <w:rPr>
          <w:rFonts w:ascii="Times New Roman" w:hAnsi="Times New Roman"/>
          <w:color w:val="000000"/>
          <w:sz w:val="20"/>
        </w:rPr>
      </w:pPr>
      <w:r>
        <w:rPr>
          <w:rFonts w:ascii="Times New Roman" w:hAnsi="Times New Roman"/>
          <w:color w:val="000000"/>
          <w:sz w:val="20"/>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our executive officers, directors, holders of 5% or more of our capital stock based on publicly available filings made with the SEC and their respective affiliates beneficially owned approximately 44% of our outstanding common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jc w:val="left"/>
        <w:rPr>
          <w:rFonts w:ascii="Times New Roman" w:hAnsi="Times New Roman"/>
          <w:color w:val="000000"/>
          <w:sz w:val="20"/>
        </w:rPr>
      </w:pPr>
      <w:r>
        <w:rPr>
          <w:rFonts w:ascii="Times New Roman" w:hAnsi="Times New Roman"/>
          <w:color w:val="000000"/>
          <w:sz w:val="20"/>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election to our board of directors and for proposing matters that can be acted upon at stockholder meetings;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division of our board of directors into three classes, serving staggered terms of three years each;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the board of directors to issue preferred stock with such terms as the board of directors may determine.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incur increased costs as a result of operating as a public company, and our management is required to devote substantial time to new compliance initiatives and corporate governance practices.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Because we do not anticipate paying any cash dividends on our capital stock in the foreseeable future, capital appreciation, if any, will be your sole source of gain.</w:t>
      </w:r>
    </w:p>
    <w:p>
      <w:pPr>
        <w:pStyle w:val="TextBody"/>
        <w:bidi w:val="0"/>
        <w:jc w:val="left"/>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failure to meet the continued listing requirements of the Nasdaq Global Select Market, including minimum stock price requirements, could result in a delisting of our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fail to satisfy the continued listing requirements of the Nasdaq Global Select Market (“Nasdaq”), such as the corporate governance requirements or the minimum closing bid price requirement, Nasdaq may take steps to delist our common stock. For example, on February 24, 2025, we received notice from Nasdaq that we failed to meet Nasdaq’s minimum closing bid price requirement of $1.00 per share. Although we subsequently regained compliance, we cannot provide any assurance that we will be able to maintain compliance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Such a delisting would likely have a negative effect on the price of our common stock and would impair your ability to sell or purchase our common stock when you wish to do so. In the event of a delisting, any action taken by us to restore compliance with listing requirements may not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incur significant costs from class action litigation due to our expected stock volatility.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Any future pandemic could adversely impact our business, including our research, development, including clinical trials, manufacturing and financial condition.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impact of future pandemics could severely impact the business, research, development and manufacturing for us and our partners including ongoing or planned clinical trials for CX-2051 and CX-801, and any clinical trials of our partners. For example, in December 2019, a novel strain of coronavirus, COVID-19, was reported to have surfaced in Wuhan, China, and spread to multiple countries, including the United States and European and Asia-Pacific countries. As a result, our operations and the operations of our partners were impacted for a substantial period of time. Future pandemics may incur similar or more severe disruptions and impacts. These disruptions and impacts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research activities or obtaining necessary supplies to enable research;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clinical site initiation for any clinical trials we or our partners decide to initiate, including CX-2051 and CX-801, including difficulties in recruiting clinical site investigators and clinical site staff and clinical trial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healthcare resources away from the conduct of clinical trials, including the diversion of hospitals serving as our or our partners’ clinical trial sites and hospital staff supporting the conduct of our or our partners’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key clinical trial activities, such as clinical trial site monitoring, due to limitations on travel imposed or recommended by federal or state governments, employers and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interpreting clinical data due to patients being infected by pandemic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receiving approval from local regulatory authorities to initiate our or our partners’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clinical sites receiving the supplies and materials needed to conduct our or our partners’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in manufacturing or global shipping that may affect the timely delivery or transport of research materials or clinical trial materials, such as investigational drug product used in our or our partners’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local regulations as part of a response to a pandemic outbreak which may require us or our partners to change the ways in which clinical trials are conducted, which may result in unexpected costs, or cause us or our partners to discontinue the clinical trials altogether;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necessary interactions with local regulators, ethics committees and other important agencies and contractors due to limitations in employee resources or forced furlough of government employees;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accept data from clinical trials in affected geographies outside the United States.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cannot be certain of the impact of any future pandemic on our business or make any assurance that research, development or manufacturing of our product candidates will not be delayed, discontinued or otherwise impacted.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of the potential business, research and clinical impacts arising as a result of any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a pandemic may negatively impact the trading price of shares of our common stock and could further severely impact our ability to raise additional capital on a timely basis or at all.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Adverse U.S. and multi-national financial market conditions may adversely affect our business and financial position.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maintains the majority of its cash and cash equivalents in accounts with major U.S. and multi-national financial institutions, and our deposits at certain of these institutions may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acquire assets or form strategic alliances in the future, and we may not realize the benefits of such acquisitions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acquisition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incur substantial debt or engage in dilutive issuances of equity securities to pay for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disruption of our historical business and our activities under our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strain on, and need to expand, our existing operational, technical, financial and administrative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lack of experience in late-stage product development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difficulties in assimilating employees and corporate cultures;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difficulties in hiring qualified personnel and establishing necessary development and/or commercialization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retain key management and other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challenges in controlling additional costs and expenses in connection with and as a result of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write down assets or recognize impairment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diversion of our management’s attention to integration of operations and corporate and administrative infrastructures;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unanticipated liabilities for activities of or related to the acquired business or its operations, products or product candidates.</w:t>
      </w:r>
    </w:p>
    <w:p>
      <w:pPr>
        <w:pStyle w:val="TextBody"/>
        <w:bidi w:val="0"/>
        <w:jc w:val="left"/>
        <w:rPr>
          <w:rFonts w:ascii="Times New Roman" w:hAnsi="Times New Roman"/>
          <w:color w:val="000000"/>
          <w:sz w:val="20"/>
        </w:rPr>
      </w:pPr>
      <w:r>
        <w:rPr>
          <w:rFonts w:ascii="Times New Roman" w:hAnsi="Times New Roman"/>
          <w:color w:val="000000"/>
          <w:sz w:val="20"/>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future growth may depend, in part, on our ability to operate in foreign markets, where we would be subject to additional regulatory burdens and other risks and uncertainties.</w:t>
      </w:r>
    </w:p>
    <w:p>
      <w:pPr>
        <w:pStyle w:val="TextBody"/>
        <w:bidi w:val="0"/>
        <w:jc w:val="left"/>
        <w:rPr>
          <w:rFonts w:ascii="Times New Roman" w:hAnsi="Times New Roman"/>
          <w:color w:val="000000"/>
          <w:sz w:val="20"/>
        </w:rPr>
      </w:pPr>
      <w:r>
        <w:rPr>
          <w:rFonts w:ascii="Times New Roman" w:hAnsi="Times New Roman"/>
          <w:color w:val="000000"/>
          <w:sz w:val="20"/>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information technology systems, or those of our CROs or other contractors or consultants we may utilize, may fail, suffer disruptions or suffer security breaches, which could result in a material disruption of our product development programs.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clinical trial data, and the personal information of our employees (collectively, “Confidential Information”). It is important to our operations and business strategy that this Confidential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 system interruption or security breach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Attacks upon information technology systems are also increasing in their frequency, levels of persistence, sophistication and intensity, and are being conducted by sophisticated and organized groups and individuals with a wide range of motives and expertise. As a result of our continued hybrid working environment, we may also face increased cybersecurity risks due to our dependency on remote working technology 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To the extent that any disruption or security breach were to result in a loss of, or damage to, our data, or inappropriate disclosure of Confidential Information, we could incur liability, recovery of our data could take a prolonged period of time, and the development of our research or product candidates could be delayed.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can be no assurance that our and our third-party service providers’ risk management program and processes, including policies, controls or procedures, will be fully implemented, complied with or effective in protecting our systems, networks and Confidential Information. 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To the extent that any disruption or security breach were to result in a loss of, or damage to, our data or systems, or inappropriate disclosure of Confidential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Further, our insurance coverage may not be sufficient to cover the financial, legal, business or reputational losses that may result from an interruption or breach of our systems. Significant disruptions of our information technology systems or breaches of data security could have a material adverse effect on our business,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ongoing armed conflict between Russia and Ukraine or other international conflicts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February 2022, the Russian and Ukrainian regions have undergone sustained conflict and disruption.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armed conflict has led to substantial expansion of sanction programs imposed by the international community including,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blocking sanctions against Russian and Belarusian individuals, including the Russian President, other politicians, and those with government connections or involved in Russian military activities;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blocking of Russia’s foreign currency reserves as well as expansion of sectoral sanctions and export and trade restrictions, limitations on investments and access to capital markets, and bans on various Russian imports.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retaliation,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actively monitoring the situation in Ukraine and Russia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military conflict in Ukraine or its impacts in Ukraine, Russia, Belarus, Europe, or the U.S. The extent and duration of the military action, sanctions, and resulting market disruptions could be significant and could potentially have substantial impact on the global economy and our business for an unknown period of time.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other armed conflicts that arise from time to time, including the current conflict between Israel and Hamas, have the potential to cause global impacts that could adversely affect the global economy, financial markets, energy supply and prices, certain critical materials and metals, supply chains, and global logistics and could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comply with laws regulating the protection of the environment and health and human safety, our business could be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U.S. or foreign tax laws or regulations that are applied adversely to us may have a material adverse effect on our business, cash flow, financial condition or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adverse or misleading opinions regarding our stock, our stock price and trading volume could decline.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360" w:after="283"/>
        <w:jc w:val="left"/>
        <w:rPr>
          <w:rFonts w:ascii="Times New Roman" w:hAnsi="Times New Roman"/>
          <w:b/>
          <w:color w:val="000000"/>
          <w:sz w:val="20"/>
        </w:rPr>
      </w:pPr>
      <w:bookmarkStart w:id="13" w:name="item_2_unregistered_sales_equity_securit"/>
      <w:bookmarkEnd w:id="13"/>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sz w:val="20"/>
        </w:rPr>
      </w:pPr>
      <w:r>
        <w:rPr>
          <w:rFonts w:ascii="Times New Roman" w:hAnsi="Times New Roman"/>
          <w:b/>
          <w:i/>
          <w:color w:val="000000"/>
          <w:sz w:val="20"/>
        </w:rPr>
        <w:t>Recent Sales of Unregistered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Repurchases of Shares or of Company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4" w:name="item_3_defaults_upon_senior_securities"/>
      <w:bookmarkEnd w:id="14"/>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5" w:name="item_4_mine_safety_disclosures"/>
      <w:bookmarkEnd w:id="15"/>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6" w:name="item_5_or_information"/>
      <w:bookmarkEnd w:id="16"/>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below is included for the purpose of providing disclosure under “Item 1.01 - Entry into a Material Definitive Agreement,” of Form 8-K.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3, 2025, we entered into an Office/Laboratory Lease (the “Emery Lease” or the "Lease") with Emery Station West, LLC (the “Landlord”). The Emery Lease provides for an initial term of thirty-nine (39) calendar months, commencing on October 1, 2026 and expiring on December 31, 2029 (the “Term”), unless earlier terminated pursuant to its terms. In October 2026, the facility will begin serving as our relocated headquarters and primary office, research and laboratory space.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Lease provides for an initial monthly base rent of approximately $151,232.00 (the “Base Rent”). The Base Rent under the Lease is abated for the first three (3) months of the Term and thereafter increases on a scheduled basis through the end of the Term. In addition to the Base Rent, we will also be responsible for our proportionate share of the building’s operating expenses, including taxes, insurance and maintenance costs, in accordance with the terms of the Lease. In connection with the Lease, we will deliver to the Landlord a letter of credit as a security deposit, subject to reduction as set forth in the Lease.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hold certain rights under the Lease, including a continuous right of first refusal to lease any space located on the fourth floor of the building.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description of the Emery Lease does not purport to be complete and is qualified in its entirety by reference to the full text of the Emery Lease, a copy of which is filed as Exhibit 10.2 to this Quarterly Report on Form 10-Q and incorporated herein by reference.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7" w:name="item_6_exhibits"/>
      <w:bookmarkEnd w:id="17"/>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3"/>
        <w:gridCol w:w="146"/>
        <w:gridCol w:w="5968"/>
        <w:gridCol w:w="146"/>
        <w:gridCol w:w="532"/>
        <w:gridCol w:w="146"/>
        <w:gridCol w:w="678"/>
        <w:gridCol w:w="146"/>
        <w:gridCol w:w="691"/>
        <w:gridCol w:w="146"/>
        <w:gridCol w:w="843"/>
      </w:tblGrid>
      <w:tr>
        <w:trPr/>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3" w:type="dxa"/>
            <w:gridSpan w:val="5"/>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3"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8"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sz w:val="16"/>
              </w:rPr>
            </w:pPr>
            <w:r>
              <w:rPr>
                <w:rFonts w:ascii="Times New Roman" w:hAnsi="Times New Roman"/>
                <w:b/>
                <w:color w:val="000000"/>
                <w:sz w:val="16"/>
              </w:rPr>
              <w:t>Exhibit Description</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sz w:val="16"/>
              </w:rPr>
            </w:pPr>
            <w:r>
              <w:rPr>
                <w:rFonts w:ascii="Times New Roman" w:hAnsi="Times New Roman"/>
                <w:b/>
                <w:color w:val="000000"/>
                <w:sz w:val="16"/>
              </w:rPr>
              <w:t>Filed</w:t>
              <w:br/>
              <w:t>Herewith</w:t>
            </w:r>
            <w:r>
              <w:rPr>
                <w:rFonts w:ascii="Times New Roman" w:hAnsi="Times New Roman"/>
                <w:color w:val="000000"/>
                <w:sz w:val="16"/>
              </w:rPr>
              <w:t xml:space="preserve">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5/17/2024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CytomX Therapeutics, Inc., effective March 20,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Reference is made to Exhibits 3.1 through 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Common Stock Certificate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9/28/2015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10.1+</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hyperlink w:anchor="ctmx-ex10_1.htm">
              <w:r>
                <w:rPr>
                  <w:rStyle w:val="InternetLink"/>
                  <w:rFonts w:ascii="Times New Roman" w:hAnsi="Times New Roman"/>
                  <w:color w:val="0000FF"/>
                  <w:sz w:val="20"/>
                  <w:u w:val="single"/>
                </w:rPr>
                <w:t>Amendment No. 2 to the Collaboration and License Agreement effective as of October 1, 2025 by and between CytomX Therapeutics, Inc. and Regeneron Pharmaceuticals, Inc.</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10.2+</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hyperlink w:anchor="ctmx-ex10_2.htm">
              <w:r>
                <w:rPr>
                  <w:rStyle w:val="InternetLink"/>
                  <w:rFonts w:ascii="Times New Roman" w:hAnsi="Times New Roman"/>
                  <w:color w:val="0000FF"/>
                  <w:sz w:val="20"/>
                  <w:u w:val="single"/>
                </w:rPr>
                <w:t>Office/Laboratory Lease, dated November 3, 2025, by and between CytomX Therapeutics, Inc. and Emery Station West, LLC.</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hyperlink w:anchor="ctmx-ex31_1.htm">
              <w:r>
                <w:rPr>
                  <w:rStyle w:val="InternetLink"/>
                  <w:rFonts w:ascii="Times New Roman" w:hAnsi="Times New Roman"/>
                  <w:color w:val="0000FF"/>
                  <w:sz w:val="20"/>
                  <w:u w:val="single"/>
                </w:rPr>
                <w:t>Certification of Chief Executive Principal required by Rule 13a-14(a) or Rule 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hyperlink w:anchor="ctmx-ex31_2.htm">
              <w:r>
                <w:rPr>
                  <w:rStyle w:val="InternetLink"/>
                  <w:rFonts w:ascii="Times New Roman" w:hAnsi="Times New Roman"/>
                  <w:color w:val="0000FF"/>
                  <w:sz w:val="20"/>
                  <w:u w:val="single"/>
                </w:rPr>
                <w:t>Certification of Chief Financial Principal required by Rule 13a-14(a) or Rule 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hyperlink w:anchor="ctmx-ex32_1.htm">
              <w:r>
                <w:rPr>
                  <w:rStyle w:val="InternetLink"/>
                  <w:rFonts w:ascii="Times New Roman" w:hAnsi="Times New Roman"/>
                  <w:color w:val="0000FF"/>
                  <w:sz w:val="20"/>
                  <w:u w:val="single"/>
                </w:rPr>
                <w:t>Certification of Chief Executive Officer required by Rule 13a-14(b) or Rule 15d-14(b) and Section 1350 of Chapter 63 of Title 18 of the United States Code (18 U.S.C.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hyperlink w:anchor="ctmx-ex32_2.htm">
              <w:r>
                <w:rPr>
                  <w:rStyle w:val="InternetLink"/>
                  <w:rFonts w:ascii="Times New Roman" w:hAnsi="Times New Roman"/>
                  <w:color w:val="0000FF"/>
                  <w:sz w:val="20"/>
                  <w:u w:val="single"/>
                </w:rPr>
                <w:t>Certification of Chief Financial Officer required by Rule 13a-14(b) or Rule 15d-14(b) and Section 1350 of Chapter 63 of Title 18 of the United States Code (18 U.S.C.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Certain portions of this exhibit (indicated by “[***]”) have been omitted pursuant to Item (601)(b)(10) of Regulation 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8110" w:type="dxa"/>
        <w:jc w:val="left"/>
        <w:tblInd w:w="0" w:type="dxa"/>
        <w:tblLayout w:type="fixed"/>
        <w:tblCellMar>
          <w:top w:w="28" w:type="dxa"/>
          <w:left w:w="28" w:type="dxa"/>
          <w:bottom w:w="28" w:type="dxa"/>
          <w:right w:w="28" w:type="dxa"/>
        </w:tblCellMar>
      </w:tblPr>
      <w:tblGrid>
        <w:gridCol w:w="2101"/>
        <w:gridCol w:w="146"/>
        <w:gridCol w:w="406"/>
        <w:gridCol w:w="146"/>
        <w:gridCol w:w="531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CytomX Therapeutics, Inc.</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A. McCarthy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A. McCarthy, D. Phil.</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Chairman</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W. Ogden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Christopher W. Ogden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right"/>
        <w:rPr/>
      </w:pPr>
      <w:bookmarkStart w:id="19" w:name="ctmx-ex10_1.htm"/>
      <w:bookmarkStart w:id="20" w:name="ksctmxex10_1"/>
      <w:bookmarkEnd w:id="19"/>
      <w:bookmarkEnd w:id="20"/>
      <w:r>
        <w:rPr/>
        <w:t> </w:t>
      </w:r>
      <w:r>
        <w:br w:type="page"/>
      </w:r>
    </w:p>
    <w:p>
      <w:pPr>
        <w:pStyle w:val="TextBody"/>
        <w:bidi w:val="0"/>
        <w:jc w:val="right"/>
        <w:rPr/>
      </w:pPr>
      <w:r>
        <w:rPr/>
        <w:t> </w:t>
      </w:r>
    </w:p>
    <w:p>
      <w:pPr>
        <w:pStyle w:val="TextBody"/>
        <w:bidi w:val="0"/>
        <w:jc w:val="right"/>
        <w:rPr>
          <w:rFonts w:ascii="Times New Roman" w:hAnsi="Times New Roman"/>
          <w:b/>
          <w:color w:val="000000"/>
          <w:sz w:val="22"/>
        </w:rPr>
      </w:pPr>
      <w:r>
        <w:rPr>
          <w:rFonts w:ascii="Times New Roman" w:hAnsi="Times New Roman"/>
          <w:b/>
          <w:color w:val="000000"/>
          <w:sz w:val="22"/>
        </w:rPr>
        <w:t>Exhibit 10.1</w:t>
      </w:r>
    </w:p>
    <w:p>
      <w:pPr>
        <w:pStyle w:val="TextBody"/>
        <w:bidi w:val="0"/>
        <w:jc w:val="center"/>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Certain information (identified by “[***]”) has been excluded from the exhibit pursuant to Item 601(b)(10) because it is both (i) not material and (ii) is of the type that the registrant treats as private and confidential.</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Amendment No. 2</w:t>
      </w:r>
    </w:p>
    <w:p>
      <w:pPr>
        <w:pStyle w:val="TextBody"/>
        <w:bidi w:val="0"/>
        <w:jc w:val="center"/>
        <w:rPr>
          <w:rFonts w:ascii="Times New Roman" w:hAnsi="Times New Roman"/>
          <w:b/>
          <w:color w:val="000000"/>
          <w:sz w:val="22"/>
        </w:rPr>
      </w:pPr>
      <w:r>
        <w:rPr>
          <w:rFonts w:ascii="Times New Roman" w:hAnsi="Times New Roman"/>
          <w:b/>
          <w:color w:val="000000"/>
          <w:sz w:val="22"/>
        </w:rPr>
        <w:t>to the</w:t>
      </w:r>
    </w:p>
    <w:p>
      <w:pPr>
        <w:pStyle w:val="TextBody"/>
        <w:bidi w:val="0"/>
        <w:jc w:val="center"/>
        <w:rPr>
          <w:rFonts w:ascii="Times New Roman" w:hAnsi="Times New Roman"/>
          <w:b/>
          <w:color w:val="000000"/>
          <w:sz w:val="22"/>
        </w:rPr>
      </w:pPr>
      <w:r>
        <w:rPr>
          <w:rFonts w:ascii="Times New Roman" w:hAnsi="Times New Roman"/>
          <w:b/>
          <w:color w:val="000000"/>
          <w:sz w:val="22"/>
        </w:rPr>
        <w:t>Collaboration and License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Amendment No. 2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to the Collaboration and License Agreement effective November 16, 2022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by and between CytomX Therapeutics, Inc., having an address at 151 Oyster Point Blvd., Suite 400, South San Francisco, California 94080, U.S.A. (“</w:t>
      </w:r>
      <w:r>
        <w:rPr>
          <w:rFonts w:ascii="Times New Roman" w:hAnsi="Times New Roman"/>
          <w:color w:val="000000"/>
          <w:sz w:val="22"/>
          <w:u w:val="single"/>
        </w:rPr>
        <w:t>CytomX</w:t>
      </w:r>
      <w:r>
        <w:rPr>
          <w:rFonts w:ascii="Times New Roman" w:hAnsi="Times New Roman"/>
          <w:color w:val="000000"/>
          <w:sz w:val="20"/>
        </w:rPr>
        <w:t>”</w:t>
      </w:r>
      <w:r>
        <w:rPr>
          <w:rFonts w:ascii="Times New Roman" w:hAnsi="Times New Roman"/>
          <w:color w:val="000000"/>
          <w:sz w:val="22"/>
        </w:rPr>
        <w:t>), and Regeneron Pharmaceuticals, Inc., a New York company with a business address located at 777 Old Saw Mill River Road, Tarrytown, NY 10591, U.S.A. (“</w:t>
      </w:r>
      <w:r>
        <w:rPr>
          <w:rFonts w:ascii="Times New Roman" w:hAnsi="Times New Roman"/>
          <w:color w:val="000000"/>
          <w:sz w:val="22"/>
          <w:u w:val="single"/>
        </w:rPr>
        <w:t>Regeneron</w:t>
      </w:r>
      <w:r>
        <w:rPr>
          <w:rFonts w:ascii="Times New Roman" w:hAnsi="Times New Roman"/>
          <w:color w:val="000000"/>
          <w:sz w:val="20"/>
        </w:rPr>
        <w:t>”</w:t>
      </w:r>
      <w:r>
        <w:rPr>
          <w:rFonts w:ascii="Times New Roman" w:hAnsi="Times New Roman"/>
          <w:color w:val="000000"/>
          <w:sz w:val="22"/>
        </w:rPr>
        <w:t>) shall be effective as of October 1, 2025 (“</w:t>
      </w:r>
      <w:r>
        <w:rPr>
          <w:rFonts w:ascii="Times New Roman" w:hAnsi="Times New Roman"/>
          <w:color w:val="000000"/>
          <w:sz w:val="22"/>
          <w:u w:val="single"/>
        </w:rPr>
        <w:t>Amendment No. 2 Effective Date</w:t>
      </w:r>
      <w:r>
        <w:rPr>
          <w:rFonts w:ascii="Times New Roman" w:hAnsi="Times New Roman"/>
          <w:color w:val="000000"/>
          <w:sz w:val="20"/>
        </w:rPr>
        <w:t>”</w:t>
      </w:r>
      <w:r>
        <w:rPr>
          <w:rFonts w:ascii="Times New Roman" w:hAnsi="Times New Roman"/>
          <w:color w:val="000000"/>
          <w:sz w:val="22"/>
        </w:rPr>
        <w:t>). All capitalized terms not otherwise defined herein shall have the meanings ascribed to such terms in the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WHEREAS, Regeneron and CytomX wish to extend the period within which Regeneron may nominate certain Collaboration Programs;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NOW THEREFORE, in consideration of the foregoing and the agreements below, and for other good and valuable consideration, the receipt and sufficiency of which are hereby acknowledged, the Parties hereby agree as follows: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 Section 1.82 of the Agreement shall be amended as follows:</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rPr>
        <w:t xml:space="preserve">Section 1.82 </w:t>
      </w:r>
      <w:r>
        <w:rPr>
          <w:rFonts w:ascii="Times New Roman" w:hAnsi="Times New Roman"/>
          <w:color w:val="000000"/>
          <w:sz w:val="20"/>
        </w:rPr>
        <w:t>“</w:t>
      </w:r>
      <w:r>
        <w:rPr>
          <w:rFonts w:ascii="Times New Roman" w:hAnsi="Times New Roman"/>
          <w:b/>
          <w:color w:val="000000"/>
          <w:sz w:val="22"/>
        </w:rPr>
        <w:t>Program Selection Period</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r>
        <w:rPr>
          <w:rFonts w:ascii="Times New Roman" w:hAnsi="Times New Roman"/>
          <w:color w:val="000000"/>
          <w:sz w:val="22"/>
        </w:rPr>
        <w:t>a period of [***] commencing upon the Effective Date of the Agreement, and ending on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2. Except as specifically amended herein, all other terms of the Agreement shall remain in full force and effect. The Parties may execute this Amendment in counterparts, each of which is deemed an original, but all of which together constitute one and the same agreement. The Amendment may be executed or delivered electronically or by facsimile transmission, and the Parties hereby agree that any electronic, digital, or facsimile signatures hereto are legal, valid and enforceable as originals.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Parties hereto have executed this Amendment as of the Amendment No. 2 Effective Date.</w:t>
      </w:r>
    </w:p>
    <w:p>
      <w:pPr>
        <w:pStyle w:val="TextBody"/>
        <w:bidi w:val="0"/>
        <w:jc w:val="left"/>
        <w:rPr/>
      </w:pPr>
      <w:r>
        <w:rPr/>
        <w:t> </w:t>
      </w:r>
    </w:p>
    <w:tbl>
      <w:tblPr>
        <w:tblW w:w="13622" w:type="dxa"/>
        <w:jc w:val="left"/>
        <w:tblInd w:w="0" w:type="dxa"/>
        <w:tblLayout w:type="fixed"/>
        <w:tblCellMar>
          <w:top w:w="28" w:type="dxa"/>
          <w:left w:w="28" w:type="dxa"/>
          <w:bottom w:w="28" w:type="dxa"/>
          <w:right w:w="28" w:type="dxa"/>
        </w:tblCellMar>
      </w:tblPr>
      <w:tblGrid>
        <w:gridCol w:w="6376"/>
        <w:gridCol w:w="7246"/>
      </w:tblGrid>
      <w:tr>
        <w:trPr/>
        <w:tc>
          <w:tcPr>
            <w:tcW w:w="6376" w:type="dxa"/>
            <w:tcBorders/>
            <w:vAlign w:val="center"/>
          </w:tcPr>
          <w:p>
            <w:pPr>
              <w:pStyle w:val="TableContents"/>
              <w:bidi w:val="0"/>
              <w:spacing w:before="0" w:after="283"/>
              <w:jc w:val="left"/>
              <w:rPr>
                <w:sz w:val="4"/>
                <w:szCs w:val="4"/>
              </w:rPr>
            </w:pPr>
            <w:r>
              <w:rPr>
                <w:sz w:val="4"/>
                <w:szCs w:val="4"/>
              </w:rPr>
            </w:r>
          </w:p>
        </w:tc>
        <w:tc>
          <w:tcPr>
            <w:tcW w:w="7246" w:type="dxa"/>
            <w:tcBorders/>
            <w:vAlign w:val="center"/>
          </w:tcPr>
          <w:p>
            <w:pPr>
              <w:pStyle w:val="TableContents"/>
              <w:bidi w:val="0"/>
              <w:spacing w:before="0" w:after="283"/>
              <w:jc w:val="left"/>
              <w:rPr>
                <w:sz w:val="4"/>
                <w:szCs w:val="4"/>
              </w:rPr>
            </w:pPr>
            <w:r>
              <w:rPr>
                <w:sz w:val="4"/>
                <w:szCs w:val="4"/>
              </w:rPr>
            </w:r>
          </w:p>
        </w:tc>
      </w:tr>
      <w:tr>
        <w:trPr/>
        <w:tc>
          <w:tcPr>
            <w:tcW w:w="637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Regeneron Pharmaceuticals, Inc.</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By: /s/ Kerry Reinertsen </w:t>
            </w:r>
          </w:p>
          <w:p>
            <w:pPr>
              <w:pStyle w:val="TableContents"/>
              <w:bidi w:val="0"/>
              <w:jc w:val="left"/>
              <w:rPr>
                <w:rFonts w:ascii="Times New Roman" w:hAnsi="Times New Roman"/>
                <w:color w:val="000000"/>
                <w:sz w:val="22"/>
              </w:rPr>
            </w:pPr>
            <w:r>
              <w:rPr>
                <w:rFonts w:ascii="Times New Roman" w:hAnsi="Times New Roman"/>
                <w:color w:val="000000"/>
                <w:sz w:val="22"/>
              </w:rPr>
              <w:t>Name: Kerry K. Reinertsen, Ph.D.</w:t>
            </w:r>
          </w:p>
          <w:p>
            <w:pPr>
              <w:pStyle w:val="TableContents"/>
              <w:bidi w:val="0"/>
              <w:jc w:val="left"/>
              <w:rPr>
                <w:rFonts w:ascii="Times New Roman" w:hAnsi="Times New Roman"/>
                <w:color w:val="000000"/>
                <w:sz w:val="22"/>
              </w:rPr>
            </w:pPr>
            <w:r>
              <w:rPr>
                <w:rFonts w:ascii="Times New Roman" w:hAnsi="Times New Roman"/>
                <w:color w:val="000000"/>
                <w:sz w:val="22"/>
              </w:rPr>
              <w:t>Title: SVP, Strategic Alliances</w:t>
            </w:r>
          </w:p>
          <w:p>
            <w:pPr>
              <w:pStyle w:val="TableContents"/>
              <w:bidi w:val="0"/>
              <w:spacing w:before="0" w:after="283"/>
              <w:ind w:left="0" w:right="0" w:firstLine="5760"/>
              <w:jc w:val="left"/>
              <w:rPr>
                <w:rFonts w:ascii="Times New Roman" w:hAnsi="Times New Roman"/>
                <w:color w:val="000000"/>
                <w:sz w:val="22"/>
              </w:rPr>
            </w:pPr>
            <w:r>
              <w:rPr>
                <w:rFonts w:ascii="Times New Roman" w:hAnsi="Times New Roman"/>
                <w:color w:val="000000"/>
                <w:sz w:val="22"/>
              </w:rPr>
              <w:t>Date: October 9, 2025</w:t>
            </w:r>
          </w:p>
        </w:tc>
        <w:tc>
          <w:tcPr>
            <w:tcW w:w="7246" w:type="dxa"/>
            <w:tcBorders/>
            <w:tcMar>
              <w:top w:w="0" w:type="dxa"/>
              <w:left w:w="0" w:type="dxa"/>
              <w:bottom w:w="0" w:type="dxa"/>
              <w:right w:w="0" w:type="dxa"/>
            </w:tcMar>
            <w:vAlign w:val="center"/>
          </w:tcPr>
          <w:p>
            <w:pPr>
              <w:pStyle w:val="TableContents"/>
              <w:bidi w:val="0"/>
              <w:ind w:left="0" w:right="0" w:firstLine="5760"/>
              <w:jc w:val="left"/>
              <w:rPr>
                <w:rFonts w:ascii="Times New Roman" w:hAnsi="Times New Roman"/>
                <w:b/>
                <w:color w:val="000000"/>
                <w:sz w:val="22"/>
              </w:rPr>
            </w:pPr>
            <w:r>
              <w:rPr>
                <w:rFonts w:ascii="Times New Roman" w:hAnsi="Times New Roman"/>
                <w:b/>
                <w:color w:val="000000"/>
                <w:sz w:val="22"/>
              </w:rPr>
              <w:t>CytomX Therapeutics, Inc.</w:t>
            </w:r>
          </w:p>
          <w:p>
            <w:pPr>
              <w:pStyle w:val="TableContents"/>
              <w:bidi w:val="0"/>
              <w:ind w:left="0" w:right="0" w:firstLine="5760"/>
              <w:jc w:val="left"/>
              <w:rPr/>
            </w:pPr>
            <w:r>
              <w:rPr/>
              <w:t> </w:t>
            </w:r>
          </w:p>
          <w:p>
            <w:pPr>
              <w:pStyle w:val="TableContents"/>
              <w:bidi w:val="0"/>
              <w:ind w:left="0" w:right="0" w:firstLine="5760"/>
              <w:jc w:val="left"/>
              <w:rPr/>
            </w:pPr>
            <w:r>
              <w:rPr/>
              <w:t> </w:t>
            </w:r>
          </w:p>
          <w:p>
            <w:pPr>
              <w:pStyle w:val="TableContents"/>
              <w:bidi w:val="0"/>
              <w:ind w:left="0" w:right="0" w:firstLine="5760"/>
              <w:jc w:val="left"/>
              <w:rPr>
                <w:rFonts w:ascii="Times New Roman" w:hAnsi="Times New Roman"/>
                <w:color w:val="000000"/>
                <w:sz w:val="22"/>
              </w:rPr>
            </w:pPr>
            <w:r>
              <w:rPr>
                <w:rFonts w:ascii="Times New Roman" w:hAnsi="Times New Roman"/>
                <w:color w:val="000000"/>
                <w:sz w:val="22"/>
              </w:rPr>
              <w:t xml:space="preserve">By: /s/ Sean McCarthy </w:t>
            </w:r>
          </w:p>
          <w:p>
            <w:pPr>
              <w:pStyle w:val="TableContents"/>
              <w:bidi w:val="0"/>
              <w:ind w:left="0" w:right="0" w:firstLine="5760"/>
              <w:jc w:val="left"/>
              <w:rPr>
                <w:rFonts w:ascii="Times New Roman" w:hAnsi="Times New Roman"/>
                <w:color w:val="000000"/>
                <w:sz w:val="22"/>
              </w:rPr>
            </w:pPr>
            <w:r>
              <w:rPr>
                <w:rFonts w:ascii="Times New Roman" w:hAnsi="Times New Roman"/>
                <w:color w:val="000000"/>
                <w:sz w:val="22"/>
              </w:rPr>
              <w:t xml:space="preserve">Name: Sean McCarthy </w:t>
            </w:r>
          </w:p>
          <w:p>
            <w:pPr>
              <w:pStyle w:val="TableContents"/>
              <w:bidi w:val="0"/>
              <w:ind w:left="0" w:right="0" w:firstLine="5760"/>
              <w:jc w:val="left"/>
              <w:rPr>
                <w:rFonts w:ascii="Times New Roman" w:hAnsi="Times New Roman"/>
                <w:color w:val="000000"/>
                <w:sz w:val="22"/>
              </w:rPr>
            </w:pPr>
            <w:r>
              <w:rPr>
                <w:rFonts w:ascii="Times New Roman" w:hAnsi="Times New Roman"/>
                <w:color w:val="000000"/>
                <w:sz w:val="22"/>
              </w:rPr>
              <w:t>Title: Chief Executive Officer</w:t>
            </w:r>
          </w:p>
          <w:p>
            <w:pPr>
              <w:pStyle w:val="TableContents"/>
              <w:bidi w:val="0"/>
              <w:spacing w:before="0" w:after="283"/>
              <w:ind w:left="0" w:right="0" w:firstLine="5760"/>
              <w:jc w:val="left"/>
              <w:rPr>
                <w:rFonts w:ascii="Times New Roman" w:hAnsi="Times New Roman"/>
                <w:color w:val="000000"/>
                <w:sz w:val="22"/>
              </w:rPr>
            </w:pPr>
            <w:r>
              <w:rPr>
                <w:rFonts w:ascii="Times New Roman" w:hAnsi="Times New Roman"/>
                <w:color w:val="000000"/>
                <w:sz w:val="22"/>
              </w:rPr>
              <w:t>Date: October 9, 2025</w:t>
            </w:r>
          </w:p>
        </w:tc>
      </w:tr>
    </w:tbl>
    <w:p>
      <w:pPr>
        <w:pStyle w:val="TextBody"/>
        <w:bidi w:val="0"/>
        <w:jc w:val="left"/>
        <w:rPr>
          <w:rFonts w:ascii="Times New Roman" w:hAnsi="Times New Roman"/>
          <w:color w:val="000000"/>
          <w:sz w:val="18"/>
        </w:rPr>
      </w:pPr>
      <w:r>
        <w:rPr>
          <w:rFonts w:ascii="Times New Roman" w:hAnsi="Times New Roman"/>
          <w:color w:val="000000"/>
          <w:sz w:val="18"/>
        </w:rPr>
        <w:t>DOCPROPERTY "CUS_DocIDChunk0" 00247804.docx.v1-9/23/22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Cambria;serif" w:hAnsi="Cambria;serif"/>
          <w:color w:val="000000"/>
          <w:sz w:val="22"/>
        </w:rPr>
      </w:pPr>
      <w:r>
        <w:rPr>
          <w:rFonts w:ascii="Cambria;serif" w:hAnsi="Cambria;serif"/>
          <w:color w:val="000000"/>
          <w:sz w:val="22"/>
        </w:rPr>
        <w:t>2</w:t>
      </w:r>
    </w:p>
    <w:p>
      <w:pPr>
        <w:pStyle w:val="TextBody"/>
        <w:bidi w:val="0"/>
        <w:jc w:val="center"/>
        <w:rPr>
          <w:rFonts w:ascii="Cambria;serif" w:hAnsi="Cambria;serif"/>
          <w:color w:val="000000"/>
          <w:sz w:val="22"/>
        </w:rPr>
      </w:pPr>
      <w:r>
        <w:rPr>
          <w:rFonts w:ascii="Cambria;serif" w:hAnsi="Cambria;serif"/>
          <w:color w:val="000000"/>
          <w:sz w:val="22"/>
        </w:rPr>
        <w:t xml:space="preserve">Confidential </w:t>
      </w:r>
    </w:p>
    <w:p>
      <w:pPr>
        <w:pStyle w:val="HorizontalLine"/>
        <w:pBdr>
          <w:bottom w:val="double" w:sz="2" w:space="0" w:color="808080"/>
        </w:pBdr>
        <w:bidi w:val="0"/>
        <w:spacing w:before="0" w:after="283"/>
        <w:jc w:val="left"/>
        <w:rPr/>
      </w:pPr>
      <w:r>
        <w:rPr/>
      </w:r>
    </w:p>
    <w:p>
      <w:pPr>
        <w:pStyle w:val="TextBody"/>
        <w:bidi w:val="0"/>
        <w:jc w:val="both"/>
        <w:rPr/>
      </w:pPr>
      <w:bookmarkStart w:id="21" w:name="ctmx-ex10_2.htm"/>
      <w:bookmarkStart w:id="22" w:name="ksctmxex10_2"/>
      <w:bookmarkEnd w:id="21"/>
      <w:bookmarkEnd w:id="22"/>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10.2</w:t>
      </w:r>
    </w:p>
    <w:p>
      <w:pPr>
        <w:pStyle w:val="TextBody"/>
        <w:bidi w:val="0"/>
        <w:spacing w:before="0" w:after="240"/>
        <w:jc w:val="center"/>
        <w:rPr/>
      </w:pPr>
      <w:r>
        <w:rPr/>
        <w:t> </w:t>
      </w:r>
    </w:p>
    <w:p>
      <w:pPr>
        <w:pStyle w:val="TextBody"/>
        <w:bidi w:val="0"/>
        <w:jc w:val="both"/>
        <w:rPr>
          <w:rFonts w:ascii="Times New Roman" w:hAnsi="Times New Roman"/>
          <w:i/>
          <w:color w:val="000000"/>
          <w:sz w:val="24"/>
        </w:rPr>
      </w:pPr>
      <w:r>
        <w:rPr>
          <w:rFonts w:ascii="Times New Roman" w:hAnsi="Times New Roman"/>
          <w:i/>
          <w:color w:val="000000"/>
          <w:sz w:val="24"/>
        </w:rPr>
        <w:t>Certain information (identified by “[***]”) has been excluded from the exhibit pursuant to Item 601(b)(10) because it is both (i) not material and (ii) is of the type that the registrant treats as private and confidential.</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OFFICE/LABORATORY LEASE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BETWEEN</w:t>
      </w:r>
    </w:p>
    <w:p>
      <w:pPr>
        <w:pStyle w:val="TextBody"/>
        <w:bidi w:val="0"/>
        <w:spacing w:before="0" w:after="240"/>
        <w:jc w:val="center"/>
        <w:rPr>
          <w:rFonts w:ascii="Times New Roman" w:hAnsi="Times New Roman"/>
          <w:sz w:val="20"/>
        </w:rPr>
      </w:pPr>
      <w:r>
        <w:rPr>
          <w:rFonts w:ascii="Times New Roman" w:hAnsi="Times New Roman"/>
          <w:b/>
          <w:caps/>
          <w:color w:val="000000"/>
          <w:sz w:val="24"/>
        </w:rPr>
        <w:t>EMERY STATION WEST, LLC</w:t>
      </w:r>
      <w:r>
        <w:rPr>
          <w:rFonts w:ascii="Times New Roman" w:hAnsi="Times New Roman"/>
          <w:color w:val="000000"/>
          <w:sz w:val="20"/>
        </w:rPr>
        <w:t xml:space="preserve"> </w:t>
      </w:r>
      <w:r>
        <w:rPr>
          <w:rFonts w:ascii="Times New Roman" w:hAnsi="Times New Roman"/>
          <w:b/>
          <w:color w:val="000000"/>
          <w:sz w:val="24"/>
        </w:rPr>
        <w:t>(LANDLORD)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CYTOMX THERAPEUTICS, INC. (TENANT)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EmeryStation West</w:t>
        <w:br/>
        <w:t>5959 Horton Street</w:t>
        <w:br/>
        <w:t>Emeryville, California</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pPr>
      <w:r>
        <w:rPr/>
        <w:t> </w:t>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Page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bookmarkStart w:id="23" w:name="mptableofcontents"/>
            <w:bookmarkEnd w:id="23"/>
            <w:r>
              <w:rPr>
                <w:rFonts w:ascii="Times New Roman" w:hAnsi="Times New Roman"/>
                <w:caps/>
                <w:color w:val="0000FF"/>
                <w:sz w:val="24"/>
              </w:rPr>
              <w:t>Article 1 BASIC LEASE PROVISIONS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 BASIC LEASE PROVISIONS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1.2 ENUMERATION OF EXHIBITS AND RIDER(S)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1.3 DEFINITIONS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2 PREMISES, TERM, FAILURE TO GIVE POSSESSION, AND PARKING</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2.1 LEASE OF PREMISES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2.2 TERM</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2.3 FAILURE TO DELIVER POSSESSION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2.4 CONDITION OF PREMISES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15</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 PARKING</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3 RENT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aps/>
                <w:color w:val="000000"/>
                <w:sz w:val="24"/>
              </w:rPr>
            </w:pPr>
            <w:r>
              <w:rPr>
                <w:rFonts w:ascii="Times New Roman" w:hAnsi="Times New Roman"/>
                <w:caps/>
                <w:color w:val="000000"/>
                <w:sz w:val="24"/>
              </w:rPr>
              <w:t>16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4 RENT ADJUSTMENTS AND PAYMENTS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16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4.1 RENT ADJUSTMENTS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4.2 STATEMENT OF LANDLORD</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18</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4.3 BOOKS AND RECORDS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18</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4.4 TENANT OR LEASE SPECIFIC TAXES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5 SECURITY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aps/>
                <w:color w:val="000000"/>
                <w:sz w:val="24"/>
              </w:rPr>
            </w:pPr>
            <w:r>
              <w:rPr>
                <w:rFonts w:ascii="Times New Roman" w:hAnsi="Times New Roman"/>
                <w:caps/>
                <w:color w:val="000000"/>
                <w:sz w:val="24"/>
              </w:rPr>
              <w:t>19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6 SERVICES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22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6.1 LANDLORD’S GENERAL SERVICES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6.2 UTILITIES AND JANITORIAL SERVICES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25</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6.3 ADDITIONAL AND AFTER HOUR SERVICES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25</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6.4 TELEPHONE SERVICES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6.5 DELAYS IN FURNISHING SERVICES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6.6 CHOICE OF SERVICE PROVIDER</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6.7 SIGNAGE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27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7 USE OF PREMISES; LANDLORD’S ACCESS RIGHTS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29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7.1 USE OF PREMISES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29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7.2 LANDLORD ACCESS TO PREMISES; APPROVALS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39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7.3 QUIET ENJOYMENT</w:t>
            </w:r>
          </w:p>
        </w:tc>
        <w:tc>
          <w:tcPr>
            <w:tcW w:w="219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40</w:t>
            </w:r>
          </w:p>
        </w:tc>
      </w:tr>
    </w:tbl>
    <w:p>
      <w:pPr>
        <w:pStyle w:val="TextBody"/>
        <w:bidi w:val="0"/>
        <w:jc w:val="left"/>
        <w:rPr>
          <w:rFonts w:ascii="Times New Roman" w:hAnsi="Times New Roman"/>
          <w:color w:val="000000"/>
          <w:sz w:val="24"/>
        </w:rPr>
      </w:pPr>
      <w:r>
        <w:rPr>
          <w:rFonts w:ascii="Times New Roman" w:hAnsi="Times New Roman"/>
          <w:color w:val="000000"/>
          <w:sz w:val="24"/>
        </w:rPr>
        <w:t>i</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Page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7.4 TRANSPORTATION DEMAND MANAGEMENT PROGRAM</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40</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8 MAINTENANCE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41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8.1 LANDLORD’S MAINTENANCE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8.2 TENANT’S MAINTENANCE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41</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8.3 SUDDEN WATER INTRUSION.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9 ALTERATIONS AND IMPROVEMENTS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42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9.1 TENANT ALTERATIONS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9.2 LIENS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10 ASSIGNMENT AND SUBLETTING</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45</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10.1 ASSIGNMENT AND SUBLETTING</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45</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10.2 INTENTIONALLY OMITTED</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10.3 EXCESS RENT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10.4 TENANT LIABILITY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10.5 ASSUMPTION AND ATTORNMENT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10.6 PROCESSING EXPENSES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48</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10.7 EFFECT OF IMPERMISSIBLE TRANSFER</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48</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11 DEFAULT AND REMEDIES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48</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11.1 DEFAULT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48</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11.2 LANDLORD’S REMEDIES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49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11.3 ATTORNEYS’ FEES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11.4 BANKRUPTCY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52</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11.5 LANDLORD’S DEFAULT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53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12 SURRENDER OF PREMISES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53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12.1 IN GENERAL</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53</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12.2 LANDLORD’S RIGHTS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54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13 HOLDING OVER</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aps/>
                <w:color w:val="000000"/>
                <w:sz w:val="24"/>
              </w:rPr>
            </w:pPr>
            <w:r>
              <w:rPr>
                <w:rFonts w:ascii="Times New Roman" w:hAnsi="Times New Roman"/>
                <w:caps/>
                <w:color w:val="000000"/>
                <w:sz w:val="24"/>
              </w:rPr>
              <w:t>54</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14 DAMAGE BY FIRE OR OTHER CASUALTY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55</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14.1 SUBSTANTIAL UNTENANTABILITY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55</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14.2 INSUBSTANTIAL UNTENANTABILITY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14.3 RENT ABATEMENT</w:t>
            </w:r>
          </w:p>
        </w:tc>
        <w:tc>
          <w:tcPr>
            <w:tcW w:w="219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56</w:t>
            </w:r>
          </w:p>
        </w:tc>
      </w:tr>
    </w:tbl>
    <w:p>
      <w:pPr>
        <w:pStyle w:val="TextBody"/>
        <w:bidi w:val="0"/>
        <w:jc w:val="left"/>
        <w:rPr>
          <w:rFonts w:ascii="Times New Roman" w:hAnsi="Times New Roman"/>
          <w:color w:val="000000"/>
          <w:sz w:val="12"/>
        </w:rPr>
      </w:pPr>
      <w:r>
        <w:rPr>
          <w:rFonts w:ascii="Times New Roman" w:hAnsi="Times New Roman"/>
          <w:color w:val="000000"/>
          <w:sz w:val="12"/>
        </w:rPr>
        <w:t>ii</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Page</w:t>
      </w:r>
    </w:p>
    <w:p>
      <w:pPr>
        <w:pStyle w:val="TextBody"/>
        <w:bidi w:val="0"/>
        <w:jc w:val="both"/>
        <w:rPr/>
      </w:pPr>
      <w:r>
        <w:rPr/>
        <w:t> </w:t>
      </w:r>
    </w:p>
    <w:tbl>
      <w:tblPr>
        <w:tblW w:w="9872" w:type="dxa"/>
        <w:jc w:val="left"/>
        <w:tblInd w:w="0" w:type="dxa"/>
        <w:tblLayout w:type="fixed"/>
        <w:tblCellMar>
          <w:top w:w="28" w:type="dxa"/>
          <w:left w:w="28" w:type="dxa"/>
          <w:bottom w:w="28" w:type="dxa"/>
          <w:right w:w="28" w:type="dxa"/>
        </w:tblCellMar>
      </w:tblPr>
      <w:tblGrid>
        <w:gridCol w:w="7681"/>
        <w:gridCol w:w="2191"/>
      </w:tblGrid>
      <w:tr>
        <w:trPr/>
        <w:tc>
          <w:tcPr>
            <w:tcW w:w="768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14.4 WAIVER OF STATUTORY REMEDIES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56</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15 EMINENT DOMAIN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56</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15.1 TAKING OF WHOLE OR SUBSTANTIAL PART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56</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15.2 TAKING OF PART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57</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15.3 COMPENSATION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57</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16 INSURANCE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57</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16.1 TENANT’S INSURANCE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57</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16.2 FORM OF POLICIES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58</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16.3 LANDLORD’S INSURANCE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58</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16.4 WAIVER OF SUBROGATION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58</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16.5 NOTICE OF CASUALTY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59</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17 WAIVER OF CLAIMS AND INDEMNITY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59</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17.1 WAIVER OF CLAIMS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59</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17.2 INDEMNITY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60</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17.3 WAIVER OF CONSEQUENTIAL DAMAGES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60</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18 RULES AND REGULATIONS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61</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18.1 RULES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61</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18.2 ENFORCEMENT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61</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19 LANDLORD’S RESERVED RIGHTS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aps/>
                <w:color w:val="000000"/>
                <w:sz w:val="24"/>
              </w:rPr>
            </w:pPr>
            <w:r>
              <w:rPr>
                <w:rFonts w:ascii="Times New Roman" w:hAnsi="Times New Roman"/>
                <w:caps/>
                <w:color w:val="000000"/>
                <w:sz w:val="24"/>
              </w:rPr>
              <w:t>61</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20 ESTOPPEL CERTIFICATE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62</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20.1 IN GENERAL</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62</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20.2 ENFORCEMENT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62</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21 INTENTIONALLY OMITTED</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aps/>
                <w:color w:val="000000"/>
                <w:sz w:val="24"/>
              </w:rPr>
            </w:pPr>
            <w:r>
              <w:rPr>
                <w:rFonts w:ascii="Times New Roman" w:hAnsi="Times New Roman"/>
                <w:caps/>
                <w:color w:val="000000"/>
                <w:sz w:val="24"/>
              </w:rPr>
              <w:t>62</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22 REAL ESTATE BROKERS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aps/>
                <w:color w:val="000000"/>
                <w:sz w:val="24"/>
              </w:rPr>
            </w:pPr>
            <w:r>
              <w:rPr>
                <w:rFonts w:ascii="Times New Roman" w:hAnsi="Times New Roman"/>
                <w:caps/>
                <w:color w:val="000000"/>
                <w:sz w:val="24"/>
              </w:rPr>
              <w:t>62</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23 MORTGAGEE PROTECTION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63</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23.1 SUBORDINATION AND ATTORNMENT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63</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23.2 MORTGAGEE PROTECTION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63</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24 NOTICES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aps/>
                <w:color w:val="000000"/>
                <w:sz w:val="24"/>
              </w:rPr>
            </w:pPr>
            <w:r>
              <w:rPr>
                <w:rFonts w:ascii="Times New Roman" w:hAnsi="Times New Roman"/>
                <w:caps/>
                <w:color w:val="000000"/>
                <w:sz w:val="24"/>
              </w:rPr>
              <w:t>64</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25 MISCELLANEOUS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aps/>
                <w:color w:val="000000"/>
                <w:sz w:val="24"/>
              </w:rPr>
            </w:pPr>
            <w:r>
              <w:rPr>
                <w:rFonts w:ascii="Times New Roman" w:hAnsi="Times New Roman"/>
                <w:caps/>
                <w:color w:val="000000"/>
                <w:sz w:val="24"/>
              </w:rPr>
              <w:t>65</w:t>
            </w:r>
          </w:p>
        </w:tc>
      </w:tr>
      <w:tr>
        <w:trPr/>
        <w:tc>
          <w:tcPr>
            <w:tcW w:w="768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25.1 LATE CHARGES</w:t>
            </w:r>
          </w:p>
        </w:tc>
        <w:tc>
          <w:tcPr>
            <w:tcW w:w="219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65</w:t>
            </w:r>
          </w:p>
        </w:tc>
      </w:tr>
    </w:tbl>
    <w:p>
      <w:pPr>
        <w:pStyle w:val="TextBody"/>
        <w:bidi w:val="0"/>
        <w:jc w:val="left"/>
        <w:rPr>
          <w:rFonts w:ascii="Times New Roman" w:hAnsi="Times New Roman"/>
          <w:color w:val="000000"/>
          <w:sz w:val="12"/>
        </w:rPr>
      </w:pPr>
      <w:r>
        <w:rPr>
          <w:rFonts w:ascii="Times New Roman" w:hAnsi="Times New Roman"/>
          <w:color w:val="000000"/>
          <w:sz w:val="12"/>
        </w:rPr>
        <w:t>iii</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Page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014"/>
        <w:gridCol w:w="2191"/>
      </w:tblGrid>
      <w:tr>
        <w:trPr/>
        <w:tc>
          <w:tcPr>
            <w:tcW w:w="801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25.2 NO JURY TRIAL; VENUE; JURISDICTION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65</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25.3 NO DISCRIMINATION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25.4 FINANCIAL STATEMENTS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25.5 OPTION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25.6 TENANT AUTHORITY</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25.7 ENTIRE AGREEMENT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66</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25.8 MODIFICATION OF LEASE FOR BENEFIT OF MORTGAGEE</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25.9 EXCULPATION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25.10 ACCORD AND SATISFACTION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25.11 LANDLORD’S OBLIGATIONS ON SALE OF BUILDING</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25.12 BINDING EFFECT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67</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25.13 CAPTIONS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68</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25.14 TIME; APPLICABLE LAW; CONSTRUCTION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68</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25.15 ABANDONMENT</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68</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25.16 LANDLORD’S RIGHT TO PERFORM TENANT’S DUTIES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68</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25.17 SECURITY SYSTEM</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68</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25.18 NO LIGHT, AIR OR VIEW EASEMENTS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25.19 RECORDATION</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25.20 SURVIVAL</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25.21 OFAC</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69</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25.22 INSPECTION BY A CASP IN ACCORDANCE WITH CIVIL CODE SECTION 1938.</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70</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25.23 COUNTERPARTS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right"/>
              <w:rPr>
                <w:rFonts w:ascii="Times New Roman" w:hAnsi="Times New Roman"/>
                <w:color w:val="000000"/>
                <w:sz w:val="24"/>
              </w:rPr>
            </w:pPr>
            <w:r>
              <w:rPr>
                <w:rFonts w:ascii="Times New Roman" w:hAnsi="Times New Roman"/>
                <w:color w:val="000000"/>
                <w:sz w:val="24"/>
              </w:rPr>
              <w:t>70</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440"/>
              <w:jc w:val="left"/>
              <w:rPr>
                <w:rFonts w:ascii="Times New Roman" w:hAnsi="Times New Roman"/>
                <w:color w:val="0000FF"/>
                <w:sz w:val="24"/>
              </w:rPr>
            </w:pPr>
            <w:r>
              <w:rPr>
                <w:rFonts w:ascii="Times New Roman" w:hAnsi="Times New Roman"/>
                <w:color w:val="0000FF"/>
                <w:sz w:val="24"/>
              </w:rPr>
              <w:t>25.24 EXHIBITS AND RIDERS</w:t>
            </w:r>
          </w:p>
        </w:tc>
        <w:tc>
          <w:tcPr>
            <w:tcW w:w="2191"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70</w:t>
            </w:r>
          </w:p>
        </w:tc>
      </w:tr>
      <w:tr>
        <w:trPr/>
        <w:tc>
          <w:tcPr>
            <w:tcW w:w="8014" w:type="dxa"/>
            <w:tcBorders/>
            <w:shd w:fill="FFFFFF" w:val="clear"/>
            <w:tcMar>
              <w:top w:w="0" w:type="dxa"/>
              <w:left w:w="0" w:type="dxa"/>
              <w:bottom w:w="0" w:type="dxa"/>
              <w:right w:w="0" w:type="dxa"/>
            </w:tcMar>
            <w:vAlign w:val="center"/>
          </w:tcPr>
          <w:p>
            <w:pPr>
              <w:pStyle w:val="TableContents"/>
              <w:bidi w:val="0"/>
              <w:spacing w:before="0" w:after="120"/>
              <w:ind w:left="0" w:right="0" w:firstLine="1800"/>
              <w:jc w:val="left"/>
              <w:rPr>
                <w:rFonts w:ascii="Times New Roman" w:hAnsi="Times New Roman"/>
                <w:caps/>
                <w:color w:val="0000FF"/>
                <w:sz w:val="24"/>
              </w:rPr>
            </w:pPr>
            <w:r>
              <w:rPr>
                <w:rFonts w:ascii="Times New Roman" w:hAnsi="Times New Roman"/>
                <w:caps/>
                <w:color w:val="0000FF"/>
                <w:sz w:val="24"/>
              </w:rPr>
              <w:t>Article 26 FURNITURE, FIXTURES AND EQUIPMENT</w:t>
            </w:r>
          </w:p>
        </w:tc>
        <w:tc>
          <w:tcPr>
            <w:tcW w:w="219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aps/>
                <w:color w:val="000000"/>
                <w:sz w:val="24"/>
              </w:rPr>
            </w:pPr>
            <w:r>
              <w:rPr>
                <w:rFonts w:ascii="Times New Roman" w:hAnsi="Times New Roman"/>
                <w:caps/>
                <w:color w:val="000000"/>
                <w:sz w:val="24"/>
              </w:rPr>
              <w:t>71</w:t>
            </w:r>
          </w:p>
        </w:tc>
      </w:tr>
    </w:tbl>
    <w:p>
      <w:pPr>
        <w:pStyle w:val="TextBody"/>
        <w:bidi w:val="0"/>
        <w:jc w:val="left"/>
        <w:rPr>
          <w:rFonts w:ascii="Times New Roman" w:hAnsi="Times New Roman"/>
          <w:color w:val="000000"/>
          <w:sz w:val="12"/>
        </w:rPr>
      </w:pPr>
      <w:r>
        <w:rPr>
          <w:rFonts w:ascii="Times New Roman" w:hAnsi="Times New Roman"/>
          <w:color w:val="000000"/>
          <w:sz w:val="12"/>
        </w:rPr>
        <w:t>iv</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720"/>
        <w:jc w:val="center"/>
        <w:rPr>
          <w:rFonts w:ascii="Times New Roman" w:hAnsi="Times New Roman"/>
          <w:b/>
          <w:color w:val="000000"/>
          <w:sz w:val="24"/>
        </w:rPr>
      </w:pPr>
      <w:r>
        <w:rPr>
          <w:rFonts w:ascii="Times New Roman" w:hAnsi="Times New Roman"/>
          <w:b/>
          <w:color w:val="000000"/>
          <w:sz w:val="24"/>
        </w:rPr>
        <w:t>OFFICE/LABORATORY LEASE</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1</w:t>
      </w:r>
      <w:r>
        <w:rPr>
          <w:rFonts w:ascii="Times New Roman" w:hAnsi="Times New Roman"/>
          <w:color w:val="000000"/>
          <w:sz w:val="24"/>
          <w:u w:val="single"/>
        </w:rPr>
        <w:br/>
        <w:t>BASIC LEASE PROVISIONS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 </w:t>
      </w:r>
      <w:r>
        <w:rPr>
          <w:rFonts w:ascii="Times New Roman" w:hAnsi="Times New Roman"/>
          <w:caps/>
          <w:color w:val="000000"/>
          <w:sz w:val="24"/>
          <w:u w:val="single"/>
        </w:rPr>
        <w:t>BASIC LEASE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of any conflict between these Basic Lease Provisions and any other Lease provision, such other Lease provision shall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BUILDING AND ADDRESS:</w:t>
      </w:r>
    </w:p>
    <w:p>
      <w:pPr>
        <w:pStyle w:val="TextBody"/>
        <w:bidi w:val="0"/>
        <w:jc w:val="both"/>
        <w:rPr>
          <w:rFonts w:ascii="Times New Roman" w:hAnsi="Times New Roman"/>
          <w:color w:val="000000"/>
          <w:sz w:val="24"/>
        </w:rPr>
      </w:pPr>
      <w:r>
        <w:rPr>
          <w:rFonts w:ascii="Times New Roman" w:hAnsi="Times New Roman"/>
          <w:color w:val="000000"/>
          <w:sz w:val="24"/>
        </w:rPr>
        <w:t>5959 Horton Street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Emeryville, California 94608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LANDLORD AND ADDRESS:</w:t>
      </w:r>
    </w:p>
    <w:p>
      <w:pPr>
        <w:pStyle w:val="TextBody"/>
        <w:bidi w:val="0"/>
        <w:jc w:val="both"/>
        <w:rPr>
          <w:rFonts w:ascii="Times New Roman" w:hAnsi="Times New Roman"/>
          <w:color w:val="000000"/>
          <w:sz w:val="24"/>
        </w:rPr>
      </w:pPr>
      <w:r>
        <w:rPr>
          <w:rFonts w:ascii="Times New Roman" w:hAnsi="Times New Roman"/>
          <w:color w:val="000000"/>
          <w:sz w:val="24"/>
        </w:rPr>
        <w:t>Emery Station West, LLC</w:t>
      </w:r>
    </w:p>
    <w:p>
      <w:pPr>
        <w:pStyle w:val="TextBody"/>
        <w:bidi w:val="0"/>
        <w:jc w:val="both"/>
        <w:rPr>
          <w:rFonts w:ascii="Times New Roman" w:hAnsi="Times New Roman"/>
          <w:color w:val="000000"/>
          <w:sz w:val="24"/>
        </w:rPr>
      </w:pPr>
      <w:r>
        <w:rPr>
          <w:rFonts w:ascii="Times New Roman" w:hAnsi="Times New Roman"/>
          <w:color w:val="000000"/>
          <w:sz w:val="24"/>
        </w:rPr>
        <w:t>1120 Nye Street, Suite 400</w:t>
      </w:r>
    </w:p>
    <w:p>
      <w:pPr>
        <w:pStyle w:val="TextBody"/>
        <w:bidi w:val="0"/>
        <w:jc w:val="both"/>
        <w:rPr>
          <w:rFonts w:ascii="Times New Roman" w:hAnsi="Times New Roman"/>
          <w:color w:val="000000"/>
          <w:sz w:val="24"/>
        </w:rPr>
      </w:pPr>
      <w:r>
        <w:rPr>
          <w:rFonts w:ascii="Times New Roman" w:hAnsi="Times New Roman"/>
          <w:color w:val="000000"/>
          <w:sz w:val="24"/>
        </w:rPr>
        <w:t>San Rafael, California 94901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Notices to Landlord shall be addressed: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Emery Station West, LLC</w:t>
      </w:r>
    </w:p>
    <w:p>
      <w:pPr>
        <w:pStyle w:val="TextBody"/>
        <w:bidi w:val="0"/>
        <w:jc w:val="both"/>
        <w:rPr>
          <w:rFonts w:ascii="Times New Roman" w:hAnsi="Times New Roman"/>
          <w:color w:val="000000"/>
          <w:sz w:val="24"/>
        </w:rPr>
      </w:pPr>
      <w:r>
        <w:rPr>
          <w:rFonts w:ascii="Times New Roman" w:hAnsi="Times New Roman"/>
          <w:color w:val="000000"/>
          <w:sz w:val="24"/>
        </w:rPr>
        <w:t>c/o Wareham Property Group</w:t>
      </w:r>
    </w:p>
    <w:p>
      <w:pPr>
        <w:pStyle w:val="TextBody"/>
        <w:bidi w:val="0"/>
        <w:jc w:val="both"/>
        <w:rPr>
          <w:rFonts w:ascii="Times New Roman" w:hAnsi="Times New Roman"/>
          <w:color w:val="000000"/>
          <w:sz w:val="24"/>
        </w:rPr>
      </w:pPr>
      <w:r>
        <w:rPr>
          <w:rFonts w:ascii="Times New Roman" w:hAnsi="Times New Roman"/>
          <w:color w:val="000000"/>
          <w:sz w:val="24"/>
        </w:rPr>
        <w:t>1120 Nye Street, Suite 400</w:t>
      </w:r>
    </w:p>
    <w:p>
      <w:pPr>
        <w:pStyle w:val="TextBody"/>
        <w:bidi w:val="0"/>
        <w:jc w:val="both"/>
        <w:rPr>
          <w:rFonts w:ascii="Times New Roman" w:hAnsi="Times New Roman"/>
          <w:color w:val="000000"/>
          <w:sz w:val="24"/>
        </w:rPr>
      </w:pPr>
      <w:r>
        <w:rPr>
          <w:rFonts w:ascii="Times New Roman" w:hAnsi="Times New Roman"/>
          <w:color w:val="000000"/>
          <w:sz w:val="24"/>
        </w:rPr>
        <w:t>San Rafael, California 94901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 a copy 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Rimôn, PC</w:t>
      </w:r>
    </w:p>
    <w:p>
      <w:pPr>
        <w:pStyle w:val="TextBody"/>
        <w:bidi w:val="0"/>
        <w:jc w:val="both"/>
        <w:rPr>
          <w:rFonts w:ascii="Times New Roman" w:hAnsi="Times New Roman"/>
          <w:color w:val="000000"/>
          <w:sz w:val="24"/>
        </w:rPr>
      </w:pPr>
      <w:r>
        <w:rPr>
          <w:rFonts w:ascii="Times New Roman" w:hAnsi="Times New Roman"/>
          <w:color w:val="000000"/>
          <w:sz w:val="24"/>
        </w:rPr>
        <w:t>1651 Response Road, Suite 350</w:t>
      </w:r>
    </w:p>
    <w:p>
      <w:pPr>
        <w:pStyle w:val="TextBody"/>
        <w:bidi w:val="0"/>
        <w:jc w:val="both"/>
        <w:rPr>
          <w:rFonts w:ascii="Times New Roman" w:hAnsi="Times New Roman"/>
          <w:color w:val="000000"/>
          <w:sz w:val="24"/>
        </w:rPr>
      </w:pPr>
      <w:r>
        <w:rPr>
          <w:rFonts w:ascii="Times New Roman" w:hAnsi="Times New Roman"/>
          <w:color w:val="000000"/>
          <w:sz w:val="24"/>
        </w:rPr>
        <w:t>Sacramento, CA 95815</w:t>
      </w:r>
    </w:p>
    <w:p>
      <w:pPr>
        <w:pStyle w:val="TextBody"/>
        <w:bidi w:val="0"/>
        <w:jc w:val="both"/>
        <w:rPr>
          <w:rFonts w:ascii="Times New Roman" w:hAnsi="Times New Roman"/>
          <w:color w:val="000000"/>
          <w:sz w:val="24"/>
        </w:rPr>
      </w:pPr>
      <w:r>
        <w:rPr>
          <w:rFonts w:ascii="Times New Roman" w:hAnsi="Times New Roman"/>
          <w:color w:val="000000"/>
          <w:sz w:val="24"/>
        </w:rPr>
        <w:t>Attention: Winnifred C. Ward, Esq.</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And 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Shartsis Friese LLP</w:t>
      </w:r>
    </w:p>
    <w:p>
      <w:pPr>
        <w:pStyle w:val="TextBody"/>
        <w:bidi w:val="0"/>
        <w:jc w:val="both"/>
        <w:rPr>
          <w:rFonts w:ascii="Times New Roman" w:hAnsi="Times New Roman"/>
          <w:color w:val="000000"/>
          <w:sz w:val="24"/>
        </w:rPr>
      </w:pPr>
      <w:r>
        <w:rPr>
          <w:rFonts w:ascii="Times New Roman" w:hAnsi="Times New Roman"/>
          <w:color w:val="000000"/>
          <w:sz w:val="24"/>
        </w:rPr>
        <w:t>One Maritime Plaza, 18th Floor</w:t>
      </w:r>
    </w:p>
    <w:p>
      <w:pPr>
        <w:pStyle w:val="TextBody"/>
        <w:bidi w:val="0"/>
        <w:jc w:val="both"/>
        <w:rPr>
          <w:rFonts w:ascii="Times New Roman" w:hAnsi="Times New Roman"/>
          <w:color w:val="000000"/>
          <w:sz w:val="24"/>
        </w:rPr>
      </w:pPr>
      <w:r>
        <w:rPr>
          <w:rFonts w:ascii="Times New Roman" w:hAnsi="Times New Roman"/>
          <w:color w:val="000000"/>
          <w:sz w:val="24"/>
        </w:rPr>
        <w:t>San Francisco, California 94901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Attention: Senior Real Estate Partner</w:t>
      </w:r>
    </w:p>
    <w:p>
      <w:pPr>
        <w:pStyle w:val="TextBody"/>
        <w:bidi w:val="0"/>
        <w:spacing w:before="0" w:after="240"/>
        <w:jc w:val="both"/>
        <w:rPr>
          <w:rFonts w:ascii="Times New Roman" w:hAnsi="Times New Roman"/>
          <w:sz w:val="20"/>
        </w:rPr>
      </w:pPr>
      <w:r>
        <w:rPr>
          <w:rFonts w:ascii="Times New Roman" w:hAnsi="Times New Roman"/>
          <w:color w:val="000000"/>
          <w:sz w:val="24"/>
        </w:rPr>
        <w:t>(3) TENANT AND NOTICE ADDRESS: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Name and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CytomX Therapeutics, Inc., a Delaware corporation</w:t>
      </w:r>
    </w:p>
    <w:p>
      <w:pPr>
        <w:pStyle w:val="TextBody"/>
        <w:bidi w:val="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 Federal Tax Identification Number: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27-3521219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 shall promptly notify Landlord of any change in the foregoing items.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Notices to Tenant shall be addressed: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Prior to the Commencement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151 Oyster Point Boulevard, Suite 400</w:t>
        <w:br/>
        <w:t>South San Francisco, CA 94080</w:t>
        <w:br/>
        <w:t>Attention: Chief Financial Officer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On and after the Commencement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 the Premises</w:t>
        <w:br/>
        <w:t>Attention: Chief Financial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DATE OF LEASE: as of November 3, 2025</w:t>
      </w:r>
    </w:p>
    <w:p>
      <w:pPr>
        <w:pStyle w:val="TextBody"/>
        <w:bidi w:val="0"/>
        <w:spacing w:before="0" w:after="240"/>
        <w:jc w:val="both"/>
        <w:rPr>
          <w:rFonts w:ascii="Times New Roman" w:hAnsi="Times New Roman"/>
          <w:sz w:val="20"/>
        </w:rPr>
      </w:pPr>
      <w:r>
        <w:rPr>
          <w:rFonts w:ascii="Times New Roman" w:hAnsi="Times New Roman"/>
          <w:color w:val="000000"/>
          <w:sz w:val="24"/>
        </w:rPr>
        <w:t>(5) INITIAL TERM: Commencing on the Commencement Date, and ending on the last day of the thirty-ninth (39</w:t>
      </w:r>
      <w:r>
        <w:rPr>
          <w:rFonts w:ascii="Times New Roman" w:hAnsi="Times New Roman"/>
          <w:color w:val="000000"/>
          <w:sz w:val="16"/>
        </w:rPr>
        <w:t>th</w:t>
      </w:r>
      <w:r>
        <w:rPr>
          <w:rFonts w:ascii="Times New Roman" w:hAnsi="Times New Roman"/>
          <w:color w:val="000000"/>
          <w:sz w:val="24"/>
        </w:rPr>
        <w:t>) full calendar month following the Commencement Date (i.e., on the Expiration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 EARLY ACCESS DATE: April 1, 2026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 COMMENCEMENT DATE: October 1, 2026 (subject to the application of Abated Base Rent as described below for the months of October, November and December 2026).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 EXPIRATION DATE: December 31, 2029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 MONTHLY BASE RENT:</w:t>
      </w:r>
    </w:p>
    <w:tbl>
      <w:tblPr>
        <w:tblW w:w="9783" w:type="dxa"/>
        <w:jc w:val="left"/>
        <w:tblInd w:w="0" w:type="dxa"/>
        <w:tblLayout w:type="fixed"/>
        <w:tblCellMar>
          <w:top w:w="28" w:type="dxa"/>
          <w:left w:w="28" w:type="dxa"/>
          <w:bottom w:w="28" w:type="dxa"/>
          <w:right w:w="28" w:type="dxa"/>
        </w:tblCellMar>
      </w:tblPr>
      <w:tblGrid>
        <w:gridCol w:w="1876"/>
        <w:gridCol w:w="2161"/>
        <w:gridCol w:w="5746"/>
      </w:tblGrid>
      <w:tr>
        <w:trPr/>
        <w:tc>
          <w:tcPr>
            <w:tcW w:w="187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5746" w:type="dxa"/>
            <w:tcBorders/>
            <w:vAlign w:val="center"/>
          </w:tcPr>
          <w:p>
            <w:pPr>
              <w:pStyle w:val="TableContents"/>
              <w:bidi w:val="0"/>
              <w:spacing w:before="0" w:after="283"/>
              <w:jc w:val="left"/>
              <w:rPr>
                <w:sz w:val="4"/>
                <w:szCs w:val="4"/>
              </w:rPr>
            </w:pPr>
            <w:r>
              <w:rPr>
                <w:sz w:val="4"/>
                <w:szCs w:val="4"/>
              </w:rPr>
            </w:r>
          </w:p>
        </w:tc>
      </w:tr>
      <w:tr>
        <w:trPr/>
        <w:tc>
          <w:tcPr>
            <w:tcW w:w="187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br/>
              <w:t>PERIOD</w:t>
            </w:r>
          </w:p>
        </w:tc>
        <w:tc>
          <w:tcPr>
            <w:tcW w:w="21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br/>
              <w:t>MONTHLY BASE RENT</w:t>
            </w:r>
          </w:p>
        </w:tc>
        <w:tc>
          <w:tcPr>
            <w:tcW w:w="57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MONTHLY RATE PER RENTABLE SQUARE FOOT OF PREMISES</w:t>
            </w:r>
          </w:p>
        </w:tc>
      </w:tr>
      <w:tr>
        <w:trPr/>
        <w:tc>
          <w:tcPr>
            <w:tcW w:w="18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40"/>
              <w:jc w:val="left"/>
              <w:rPr>
                <w:color w:val="000000"/>
              </w:rPr>
            </w:pPr>
            <w:r>
              <w:rPr>
                <w:color w:val="000000"/>
              </w:rPr>
              <w:t> </w:t>
            </w:r>
            <w:r>
              <w:rPr>
                <w:rFonts w:ascii="Times New Roman" w:hAnsi="Times New Roman"/>
                <w:color w:val="000000"/>
                <w:sz w:val="20"/>
              </w:rPr>
              <w:t>10/01/26 – 12/31/27</w:t>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left"/>
              <w:rPr>
                <w:rFonts w:ascii="Times New Roman" w:hAnsi="Times New Roman"/>
                <w:color w:val="000000"/>
                <w:sz w:val="20"/>
              </w:rPr>
            </w:pPr>
            <w:r>
              <w:rPr>
                <w:rFonts w:ascii="Times New Roman" w:hAnsi="Times New Roman"/>
                <w:color w:val="000000"/>
                <w:sz w:val="20"/>
              </w:rPr>
              <w:t>*$151,232.00</w:t>
            </w:r>
          </w:p>
        </w:tc>
        <w:tc>
          <w:tcPr>
            <w:tcW w:w="57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left"/>
              <w:rPr>
                <w:rFonts w:ascii="Times New Roman" w:hAnsi="Times New Roman"/>
                <w:color w:val="000000"/>
                <w:sz w:val="20"/>
              </w:rPr>
            </w:pPr>
            <w:r>
              <w:rPr>
                <w:rFonts w:ascii="Times New Roman" w:hAnsi="Times New Roman"/>
                <w:color w:val="000000"/>
                <w:sz w:val="20"/>
              </w:rPr>
              <w:t>$4.25</w:t>
            </w:r>
          </w:p>
        </w:tc>
      </w:tr>
      <w:tr>
        <w:trPr/>
        <w:tc>
          <w:tcPr>
            <w:tcW w:w="18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40"/>
              <w:jc w:val="left"/>
              <w:rPr>
                <w:color w:val="000000"/>
              </w:rPr>
            </w:pPr>
            <w:r>
              <w:rPr>
                <w:color w:val="000000"/>
              </w:rPr>
              <w:t> </w:t>
            </w:r>
            <w:r>
              <w:rPr>
                <w:rFonts w:ascii="Times New Roman" w:hAnsi="Times New Roman"/>
                <w:color w:val="000000"/>
                <w:sz w:val="20"/>
              </w:rPr>
              <w:t>01/01/28 – 12/31/28</w:t>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left"/>
              <w:rPr>
                <w:rFonts w:ascii="Times New Roman" w:hAnsi="Times New Roman"/>
                <w:color w:val="000000"/>
                <w:sz w:val="20"/>
              </w:rPr>
            </w:pPr>
            <w:r>
              <w:rPr>
                <w:rFonts w:ascii="Times New Roman" w:hAnsi="Times New Roman"/>
                <w:color w:val="000000"/>
                <w:sz w:val="20"/>
              </w:rPr>
              <w:t>$158,348.80</w:t>
            </w:r>
          </w:p>
        </w:tc>
        <w:tc>
          <w:tcPr>
            <w:tcW w:w="57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left"/>
              <w:rPr>
                <w:rFonts w:ascii="Times New Roman" w:hAnsi="Times New Roman"/>
                <w:color w:val="000000"/>
                <w:sz w:val="20"/>
              </w:rPr>
            </w:pPr>
            <w:r>
              <w:rPr>
                <w:rFonts w:ascii="Times New Roman" w:hAnsi="Times New Roman"/>
                <w:color w:val="000000"/>
                <w:sz w:val="20"/>
              </w:rPr>
              <w:t>$4.45</w:t>
            </w:r>
          </w:p>
        </w:tc>
      </w:tr>
      <w:tr>
        <w:trPr/>
        <w:tc>
          <w:tcPr>
            <w:tcW w:w="18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40"/>
              <w:jc w:val="left"/>
              <w:rPr>
                <w:color w:val="000000"/>
              </w:rPr>
            </w:pPr>
            <w:r>
              <w:rPr>
                <w:color w:val="000000"/>
              </w:rPr>
              <w:t> </w:t>
            </w:r>
            <w:r>
              <w:rPr>
                <w:rFonts w:ascii="Times New Roman" w:hAnsi="Times New Roman"/>
                <w:color w:val="000000"/>
                <w:sz w:val="20"/>
              </w:rPr>
              <w:t>01/01/29 – 12/31/29</w:t>
            </w:r>
          </w:p>
        </w:tc>
        <w:tc>
          <w:tcPr>
            <w:tcW w:w="21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left"/>
              <w:rPr>
                <w:rFonts w:ascii="Times New Roman" w:hAnsi="Times New Roman"/>
                <w:color w:val="000000"/>
                <w:sz w:val="20"/>
              </w:rPr>
            </w:pPr>
            <w:r>
              <w:rPr>
                <w:rFonts w:ascii="Times New Roman" w:hAnsi="Times New Roman"/>
                <w:color w:val="000000"/>
                <w:sz w:val="20"/>
              </w:rPr>
              <w:t>$165,465.60</w:t>
            </w:r>
          </w:p>
        </w:tc>
        <w:tc>
          <w:tcPr>
            <w:tcW w:w="57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left"/>
              <w:rPr>
                <w:rFonts w:ascii="Times New Roman" w:hAnsi="Times New Roman"/>
                <w:color w:val="000000"/>
                <w:sz w:val="20"/>
              </w:rPr>
            </w:pPr>
            <w:r>
              <w:rPr>
                <w:rFonts w:ascii="Times New Roman" w:hAnsi="Times New Roman"/>
                <w:color w:val="000000"/>
                <w:sz w:val="20"/>
              </w:rPr>
              <w:t>$4.65</w:t>
            </w:r>
          </w:p>
        </w:tc>
      </w:tr>
    </w:tbl>
    <w:p>
      <w:pPr>
        <w:pStyle w:val="TextBody"/>
        <w:bidi w:val="0"/>
        <w:spacing w:before="0" w:after="24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Monthly Base Rent table above to the contrary, Monthly Base Rent, but not Operating Expenses or Taxes, shall be abated for the months of October 2026, November 2026 and December 2026 (the “Abated Base Rent”). The amount of Monthly Base Rent deposited with Landlord on execution hereof, shall be applied to the first payment of Monthly Base Rent due hereunder. If this Lease is terminated as result of a Default, as defined in Section 11.1 of this Lease, then the Abated Base Rent shall thereupon become due and payable in addition to any other remedies that Landlord may possess under this Lease.</w:t>
      </w:r>
    </w:p>
    <w:p>
      <w:pPr>
        <w:pStyle w:val="TextBody"/>
        <w:bidi w:val="0"/>
        <w:spacing w:before="0" w:after="240"/>
        <w:jc w:val="both"/>
        <w:rPr>
          <w:rFonts w:ascii="Times New Roman" w:hAnsi="Times New Roman"/>
          <w:sz w:val="20"/>
        </w:rPr>
      </w:pPr>
      <w:r>
        <w:rPr>
          <w:rFonts w:ascii="Times New Roman" w:hAnsi="Times New Roman"/>
          <w:color w:val="000000"/>
          <w:sz w:val="24"/>
        </w:rPr>
        <w:t>(10) PREMISES: The leasable area located on the third (3</w:t>
      </w:r>
      <w:r>
        <w:rPr>
          <w:rFonts w:ascii="Times New Roman" w:hAnsi="Times New Roman"/>
          <w:color w:val="000000"/>
          <w:sz w:val="16"/>
        </w:rPr>
        <w:t>rd</w:t>
      </w:r>
      <w:r>
        <w:rPr>
          <w:rFonts w:ascii="Times New Roman" w:hAnsi="Times New Roman"/>
          <w:color w:val="000000"/>
          <w:sz w:val="24"/>
        </w:rPr>
        <w:t xml:space="preserve">) floor of the Building, as outlined on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 RENTABLE AREA OF THE PREMISES: 35,584 square feet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 SECURITY DEPOSIT: [***] (subject to reduction as set forth in Article 5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 REDUCED SECURITY DEPOSIT: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 SUITE NUMBER OF PREMISES: 300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 TENANT’S USE OF PREMISES: Research and development laboratory use, scale manufacturing, vivarium, and related office use and all lawful uses ancillary thereto.</w:t>
      </w:r>
    </w:p>
    <w:p>
      <w:pPr>
        <w:pStyle w:val="TextBody"/>
        <w:bidi w:val="0"/>
        <w:spacing w:before="0" w:after="240"/>
        <w:jc w:val="both"/>
        <w:rPr>
          <w:rFonts w:ascii="Times New Roman" w:hAnsi="Times New Roman"/>
          <w:sz w:val="20"/>
        </w:rPr>
      </w:pPr>
      <w:r>
        <w:rPr>
          <w:rFonts w:ascii="Times New Roman" w:hAnsi="Times New Roman"/>
          <w:color w:val="000000"/>
          <w:sz w:val="24"/>
        </w:rPr>
        <w:t>(16) PARKING: Up to seventy-one (71) unreserved parking spaces (calculated using a ratio of two (2) unreserved parking rights for each 1,000 square feet of Rentable Area of the Premises) in the parking facilities located at 6100 Horton Street, Emeryville, California (the “Garage”). For such parking spaces, Tenant shall pay the standard prevailing monthly rates being charged from time to time by Landlord or its parking operator without regard to discounts provided to any other occupants of the Building, which rate is currently $145.00 per space, per month, for the first year of the Term, and is subject to increases proportional to the increases in the Monthly Base Rent for years 2 and 3 of the Term, as follows:</w:t>
      </w:r>
      <w:r>
        <w:rPr>
          <w:rFonts w:ascii="Times New Roman" w:hAnsi="Times New Roman"/>
          <w:color w:val="000000"/>
          <w:sz w:val="20"/>
        </w:rPr>
        <w:t xml:space="preserve"> </w:t>
      </w:r>
    </w:p>
    <w:tbl>
      <w:tblPr>
        <w:tblW w:w="5507" w:type="dxa"/>
        <w:jc w:val="left"/>
        <w:tblInd w:w="0" w:type="dxa"/>
        <w:tblLayout w:type="fixed"/>
        <w:tblCellMar>
          <w:top w:w="28" w:type="dxa"/>
          <w:left w:w="28" w:type="dxa"/>
          <w:bottom w:w="28" w:type="dxa"/>
          <w:right w:w="28" w:type="dxa"/>
        </w:tblCellMar>
      </w:tblPr>
      <w:tblGrid>
        <w:gridCol w:w="1816"/>
        <w:gridCol w:w="3691"/>
      </w:tblGrid>
      <w:tr>
        <w:trPr/>
        <w:tc>
          <w:tcPr>
            <w:tcW w:w="181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181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br/>
              <w:t>PERIOD</w:t>
            </w:r>
          </w:p>
        </w:tc>
        <w:tc>
          <w:tcPr>
            <w:tcW w:w="369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br/>
              <w:t xml:space="preserve">MONTHLY PARKING RATE, PER SPACE </w:t>
            </w:r>
          </w:p>
        </w:tc>
      </w:tr>
      <w:tr>
        <w:trPr/>
        <w:tc>
          <w:tcPr>
            <w:tcW w:w="18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40"/>
              <w:jc w:val="center"/>
              <w:rPr>
                <w:rFonts w:ascii="Times New Roman" w:hAnsi="Times New Roman"/>
                <w:color w:val="000000"/>
                <w:sz w:val="20"/>
              </w:rPr>
            </w:pPr>
            <w:r>
              <w:rPr>
                <w:rFonts w:ascii="Times New Roman" w:hAnsi="Times New Roman"/>
                <w:color w:val="000000"/>
                <w:sz w:val="20"/>
              </w:rPr>
              <w:t>10/01/26 – 12/31/27</w:t>
            </w:r>
          </w:p>
        </w:tc>
        <w:tc>
          <w:tcPr>
            <w:tcW w:w="3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left"/>
              <w:rPr>
                <w:rFonts w:ascii="Times New Roman" w:hAnsi="Times New Roman"/>
                <w:color w:val="000000"/>
                <w:sz w:val="20"/>
              </w:rPr>
            </w:pPr>
            <w:r>
              <w:rPr>
                <w:rFonts w:ascii="Times New Roman" w:hAnsi="Times New Roman"/>
                <w:color w:val="000000"/>
                <w:sz w:val="20"/>
              </w:rPr>
              <w:t xml:space="preserve">$145.00 </w:t>
            </w:r>
          </w:p>
        </w:tc>
      </w:tr>
      <w:tr>
        <w:trPr/>
        <w:tc>
          <w:tcPr>
            <w:tcW w:w="18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40"/>
              <w:jc w:val="center"/>
              <w:rPr>
                <w:rFonts w:ascii="Times New Roman" w:hAnsi="Times New Roman"/>
                <w:color w:val="000000"/>
                <w:sz w:val="20"/>
              </w:rPr>
            </w:pPr>
            <w:r>
              <w:rPr>
                <w:rFonts w:ascii="Times New Roman" w:hAnsi="Times New Roman"/>
                <w:color w:val="000000"/>
                <w:sz w:val="20"/>
              </w:rPr>
              <w:t>01/01/28 – 12/31/28</w:t>
            </w:r>
          </w:p>
        </w:tc>
        <w:tc>
          <w:tcPr>
            <w:tcW w:w="3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left"/>
              <w:rPr>
                <w:rFonts w:ascii="Times New Roman" w:hAnsi="Times New Roman"/>
                <w:color w:val="000000"/>
                <w:sz w:val="20"/>
              </w:rPr>
            </w:pPr>
            <w:r>
              <w:rPr>
                <w:rFonts w:ascii="Times New Roman" w:hAnsi="Times New Roman"/>
                <w:color w:val="000000"/>
                <w:sz w:val="20"/>
              </w:rPr>
              <w:t>$151.82</w:t>
            </w:r>
          </w:p>
        </w:tc>
      </w:tr>
      <w:tr>
        <w:trPr/>
        <w:tc>
          <w:tcPr>
            <w:tcW w:w="18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40"/>
              <w:jc w:val="center"/>
              <w:rPr>
                <w:rFonts w:ascii="Times New Roman" w:hAnsi="Times New Roman"/>
                <w:color w:val="000000"/>
                <w:sz w:val="20"/>
              </w:rPr>
            </w:pPr>
            <w:r>
              <w:rPr>
                <w:rFonts w:ascii="Times New Roman" w:hAnsi="Times New Roman"/>
                <w:color w:val="000000"/>
                <w:sz w:val="20"/>
              </w:rPr>
              <w:t>01/01/29 – 12/31/29</w:t>
            </w:r>
          </w:p>
        </w:tc>
        <w:tc>
          <w:tcPr>
            <w:tcW w:w="36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left"/>
              <w:rPr>
                <w:rFonts w:ascii="Times New Roman" w:hAnsi="Times New Roman"/>
                <w:color w:val="000000"/>
                <w:sz w:val="20"/>
              </w:rPr>
            </w:pPr>
            <w:r>
              <w:rPr>
                <w:rFonts w:ascii="Times New Roman" w:hAnsi="Times New Roman"/>
                <w:color w:val="000000"/>
                <w:sz w:val="20"/>
              </w:rPr>
              <w:t>$158.65</w:t>
            </w:r>
          </w:p>
        </w:tc>
      </w:tr>
    </w:tbl>
    <w:p>
      <w:pPr>
        <w:pStyle w:val="TextBody"/>
        <w:bidi w:val="0"/>
        <w:spacing w:before="0" w:after="12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Tenant shall have the right to use, on an unreserved basis in common with other tenants and Building users, the charging stations for electric cars inside the Garage.</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 BROKERS:</w:t>
      </w:r>
    </w:p>
    <w:p>
      <w:pPr>
        <w:pStyle w:val="TextBody"/>
        <w:bidi w:val="0"/>
        <w:jc w:val="both"/>
        <w:rPr>
          <w:rFonts w:ascii="Times New Roman" w:hAnsi="Times New Roman"/>
          <w:color w:val="000000"/>
          <w:sz w:val="24"/>
        </w:rPr>
      </w:pPr>
      <w:r>
        <w:rPr>
          <w:rFonts w:ascii="Times New Roman" w:hAnsi="Times New Roman"/>
          <w:color w:val="000000"/>
          <w:sz w:val="24"/>
        </w:rPr>
        <w:t>Landlord’s Broker: CBRE, Inc.</w:t>
      </w:r>
    </w:p>
    <w:p>
      <w:pPr>
        <w:pStyle w:val="TextBody"/>
        <w:bidi w:val="0"/>
        <w:jc w:val="both"/>
        <w:rPr>
          <w:rFonts w:ascii="Times New Roman" w:hAnsi="Times New Roman"/>
          <w:color w:val="000000"/>
          <w:sz w:val="24"/>
        </w:rPr>
      </w:pPr>
      <w:r>
        <w:rPr>
          <w:rFonts w:ascii="Times New Roman" w:hAnsi="Times New Roman"/>
          <w:color w:val="000000"/>
          <w:sz w:val="24"/>
        </w:rPr>
        <w:t>Tenant’s Broker: Colliers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(18) TENANT IMPROVEMENT ALLOWANCE: $355,840.00 (i.e., $10.00 per</w:t>
      </w:r>
      <w:r>
        <w:rPr>
          <w:rFonts w:ascii="Times New Roman" w:hAnsi="Times New Roman"/>
          <w:color w:val="000000"/>
          <w:sz w:val="20"/>
          <w:u w:val="single"/>
        </w:rPr>
        <w:t xml:space="preserve"> </w:t>
      </w:r>
      <w:r>
        <w:rPr>
          <w:rFonts w:ascii="Times New Roman" w:hAnsi="Times New Roman"/>
          <w:color w:val="000000"/>
          <w:sz w:val="24"/>
        </w:rPr>
        <w:t>square feet of Rentable Area of the Premises)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 </w:t>
      </w:r>
      <w:r>
        <w:rPr>
          <w:rFonts w:ascii="Times New Roman" w:hAnsi="Times New Roman"/>
          <w:caps/>
          <w:color w:val="000000"/>
          <w:sz w:val="24"/>
          <w:u w:val="single"/>
        </w:rPr>
        <w:t>ENUMERATION OF EXHIBITS AND RIDER(S)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Exhibits and Rider set forth below and attached to this Lease are incorporated in this Lease by this reference:</w:t>
      </w:r>
    </w:p>
    <w:p>
      <w:pPr>
        <w:pStyle w:val="TextBody"/>
        <w:bidi w:val="0"/>
        <w:jc w:val="both"/>
        <w:rPr>
          <w:rFonts w:ascii="Times New Roman" w:hAnsi="Times New Roman"/>
          <w:color w:val="000000"/>
          <w:sz w:val="24"/>
        </w:rPr>
      </w:pPr>
      <w:r>
        <w:rPr>
          <w:rFonts w:ascii="Times New Roman" w:hAnsi="Times New Roman"/>
          <w:color w:val="000000"/>
          <w:sz w:val="24"/>
        </w:rPr>
        <w:t>EXHIBIT A Outline of Premises</w:t>
      </w:r>
    </w:p>
    <w:p>
      <w:pPr>
        <w:pStyle w:val="TextBody"/>
        <w:bidi w:val="0"/>
        <w:jc w:val="both"/>
        <w:rPr>
          <w:rFonts w:ascii="Times New Roman" w:hAnsi="Times New Roman"/>
          <w:color w:val="000000"/>
          <w:sz w:val="24"/>
        </w:rPr>
      </w:pPr>
      <w:r>
        <w:rPr>
          <w:rFonts w:ascii="Times New Roman" w:hAnsi="Times New Roman"/>
          <w:color w:val="000000"/>
          <w:sz w:val="24"/>
        </w:rPr>
        <w:t>EXHIBIT B [Intentionally Omitted]</w:t>
      </w:r>
    </w:p>
    <w:p>
      <w:pPr>
        <w:pStyle w:val="TextBody"/>
        <w:bidi w:val="0"/>
        <w:jc w:val="both"/>
        <w:rPr>
          <w:rFonts w:ascii="Times New Roman" w:hAnsi="Times New Roman"/>
          <w:color w:val="000000"/>
          <w:sz w:val="24"/>
        </w:rPr>
      </w:pPr>
      <w:r>
        <w:rPr>
          <w:rFonts w:ascii="Times New Roman" w:hAnsi="Times New Roman"/>
          <w:color w:val="000000"/>
          <w:sz w:val="24"/>
        </w:rPr>
        <w:t>EXHIBIT C-1 Laboratory Rules and Regulations</w:t>
      </w:r>
    </w:p>
    <w:p>
      <w:pPr>
        <w:pStyle w:val="TextBody"/>
        <w:bidi w:val="0"/>
        <w:jc w:val="both"/>
        <w:rPr>
          <w:rFonts w:ascii="Times New Roman" w:hAnsi="Times New Roman"/>
          <w:color w:val="000000"/>
          <w:sz w:val="24"/>
        </w:rPr>
      </w:pPr>
      <w:r>
        <w:rPr>
          <w:rFonts w:ascii="Times New Roman" w:hAnsi="Times New Roman"/>
          <w:color w:val="000000"/>
          <w:sz w:val="24"/>
        </w:rPr>
        <w:t>EXHIBIT C-2 Rules and Regulations</w:t>
      </w:r>
    </w:p>
    <w:p>
      <w:pPr>
        <w:pStyle w:val="TextBody"/>
        <w:bidi w:val="0"/>
        <w:jc w:val="both"/>
        <w:rPr>
          <w:rFonts w:ascii="Times New Roman" w:hAnsi="Times New Roman"/>
          <w:color w:val="000000"/>
          <w:sz w:val="24"/>
        </w:rPr>
      </w:pPr>
      <w:r>
        <w:rPr>
          <w:rFonts w:ascii="Times New Roman" w:hAnsi="Times New Roman"/>
          <w:color w:val="000000"/>
          <w:sz w:val="24"/>
        </w:rPr>
        <w:t>EXHIBIT D SNDA</w:t>
      </w:r>
    </w:p>
    <w:p>
      <w:pPr>
        <w:pStyle w:val="TextBody"/>
        <w:bidi w:val="0"/>
        <w:jc w:val="both"/>
        <w:rPr>
          <w:rFonts w:ascii="Times New Roman" w:hAnsi="Times New Roman"/>
          <w:color w:val="000000"/>
          <w:sz w:val="24"/>
        </w:rPr>
      </w:pPr>
      <w:r>
        <w:rPr>
          <w:rFonts w:ascii="Times New Roman" w:hAnsi="Times New Roman"/>
          <w:color w:val="000000"/>
          <w:sz w:val="24"/>
        </w:rPr>
        <w:t>EXHIBIT E FF&amp;E</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1.3 </w:t>
      </w:r>
      <w:r>
        <w:rPr>
          <w:rFonts w:ascii="Times New Roman" w:hAnsi="Times New Roman"/>
          <w:caps/>
          <w:color w:val="000000"/>
          <w:sz w:val="24"/>
          <w:u w:val="single"/>
        </w:rP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hereof, in addition to terms defined elsewhere in this Lease, the following terms shall have the following meanings: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AFFILIATE: Any corporation or other business entity that is currently owned or controlled by, owns or controls, or is under common ownership or control with Tenant or Landlord, as the case may be.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BANKRUPTCY CODE: As defined in Section 11.3.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BUILDING: The building located at the address specified in Section 1.1. The Building may include office, medical, laboratory, retail and other uses.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CABLE: As defined in Section 8.2.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CITY: The City of Emeryville, California.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COMMENCEMENT DATE: The date specified in Section 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COMMON AREAS: All areas of the Project made available by Landlord from time to time for the general common use or benefit of the tenants of the Building, and their employees and invitees, or the public, as such areas currently exist and as they may be changed from time to time; provided such changes do not materially interfere with Tenant’s use of or access to the Premises.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DEFAULT: As defined in Section 11.1.</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DEFAULT RATE: Two (2) percentage points above the rate then most recently announced by Bank of America N.A. at its San Francisco main office as its base lending reference rate, from time to time announced, but in no event higher than the maximum rate permitted by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EARLY ACCESS DATE: The date specified in Section 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EARLY ACCESS PERIOD: The period specified in Section 2.2(b).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EXPIRATION DATE: The date specified in Section 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FF&amp;E: As defined in Article 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FORCE MAJEURE: Any accident, casualty, act of God, war or civil commotion, strike or labor troubles, or any cause whatsoever beyond the reasonable control of Landlord, a national emergency, a widespread epidemic or pandemic, a public health emergency, or by reason of Law, or by reason of the conditions of supply and demand which have been or are affected by act of God, war or other emergency.</w:t>
      </w:r>
    </w:p>
    <w:p>
      <w:pPr>
        <w:pStyle w:val="TextBody"/>
        <w:bidi w:val="0"/>
        <w:spacing w:before="0" w:after="240"/>
        <w:jc w:val="both"/>
        <w:rPr>
          <w:rFonts w:ascii="Times New Roman" w:hAnsi="Times New Roman"/>
          <w:sz w:val="20"/>
        </w:rPr>
      </w:pPr>
      <w:r>
        <w:rPr>
          <w:rFonts w:ascii="Times New Roman" w:hAnsi="Times New Roman"/>
          <w:caps/>
          <w:color w:val="000000"/>
          <w:sz w:val="24"/>
        </w:rPr>
        <w:t>Green Building Standards:</w:t>
      </w:r>
      <w:r>
        <w:rPr>
          <w:rFonts w:ascii="Times New Roman" w:hAnsi="Times New Roman"/>
          <w:color w:val="000000"/>
          <w:sz w:val="20"/>
        </w:rPr>
        <w:t xml:space="preserve"> </w:t>
      </w:r>
      <w:r>
        <w:rPr>
          <w:rFonts w:ascii="Times New Roman" w:hAnsi="Times New Roman"/>
          <w:color w:val="000000"/>
          <w:sz w:val="24"/>
        </w:rPr>
        <w:t>One or more of the following: the U.S. EPA’s Energy Star® Portfolio Manager, the Green Building Initiative’s Green Globes building rating system, the U.S. Green Building Council’s Leadership in Energy and Environmental Design (LEED®) building rating system, the ASHRAE Building Energy Quotient (BEQ), the Global Real Estate Sustainability Benchmark (GRESB), or other standard for high performance buildings adopted by Landlord with respect to the Building or the Project, as the same may be revised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HAZARDOUS MATERIALS: As defined in Section 7.1(f).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HAZARDOUS MATERIALS LAWS: As defined in Section 7.1(f).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INDEMNITEES: Collectively, Landlord, any Mortgagee or ground lessor of the Property, the property manager and the leasing manager for the Property, and their respective partners, members, directors, officers, agents and employees.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LAND: The parcel(s) of real estate on which the Building and Project are located.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LAWS OR LAW: All laws, ordinances, rules, regulations, other requirements, orders, rulings or decisions adopted or made by any governmental body, agency, department or judicial authority having jurisdiction over the Property, the Premises or Tenant’s activities at the Premises and any covenants, conditions or restrictions of record which affect the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LEASE: This instrument and all exhibits and riders attached hereto, as may be amended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LEASEHOLD IMPROVEMENTS: As defined in Section 12.1.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MONTHLY BASE RENT: The monthly base rent specified in Section 1.1.</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MORTGAGEE: Any holder of a mortgage, deed of trust or other security instrument encumbering the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NAMED TENANT: As defined in Section 2.2(c).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NATIONAL HOLIDAYS: New Year’s Day, Memorial Day, Independence Day, Labor Day, Thanksgiving Day and Christmas Day and other holidays recognized by Landlord and the janitorial and other unions servicing the Building in accordance with their contracts.</w:t>
      </w:r>
    </w:p>
    <w:p>
      <w:pPr>
        <w:pStyle w:val="TextBody"/>
        <w:bidi w:val="0"/>
        <w:spacing w:before="0" w:after="240"/>
        <w:jc w:val="both"/>
        <w:rPr>
          <w:rFonts w:ascii="Times New Roman" w:hAnsi="Times New Roman"/>
          <w:sz w:val="20"/>
        </w:rPr>
      </w:pPr>
      <w:r>
        <w:rPr>
          <w:rFonts w:ascii="Times New Roman" w:hAnsi="Times New Roman"/>
          <w:color w:val="000000"/>
          <w:sz w:val="24"/>
        </w:rPr>
        <w:t>OPERATING EXPENSES: All costs, expenses and disbursements of every kind and nature which Landlord shall pay or become obligated to pay in connection with the ownership, management, operation, maintenance, replacement and repair of the Building and the Property, including, without limitation, property management fees; costs and expenses of any capital expenditure or improvement, and if Landlord elects to amortize such costs and expenses, such amortization shall be made in accordance with generally accepted accounting principals or “GAAP”, such costs and expenses shall be together with interest thereon at a rate reasonably determined by Landlord; provided that any such capital improvement shall be limited to those (a) made to the Property after the Commencement Date in order to comply with Laws enacted or first being enforced after the Commencement Date, or (b) installed after the Commencement Date which are for the purpose of reducing or controlling Operating Expenses (the “Permitted Capital Improvements”); an equitable allocation of management office expenses (including, without limitation, supplies, equipment, salaries, wages, bonuses and other compensation relating to employees of Landlord or its agents engaged in the management, operation, repair, or maintenance of the Building); and, if applicable, the cost of operating a fitness center and/or any conference centers that are available for use by Tenant, as reasonably determined by Landlord. Operating Expenses shall not include: (i) costs of alterations of the premises of tenants of the Project; (ii) costs of goods or services to the extent billed directly to other tenants of the Project, including the cost incurred by Landlord in performing work to or for a tenant of space in the Project (including Tenant) at such tenant’s cost and expense; (iii) depreciation charges; (iv) interest and principal payments on loans (except for loans for, or imputed interest on, capital expenditures or improvements which Landlord may elect to amortize as specified above); (v) ground rental payments; (vi) real estate brokerage and leasing commissions; (vii) advertising and marketing expenses; (viii) costs to the extent Landlord has been reimbursed for the same by insurance proceeds, condemnation awards, third party warranties or other third parties (other than tenants’ reimbursement of Operating Expenses); (ix) expenses incurred in negotiating leases of tenants in the Project or enforcing lease obligations of tenants in the Project; (x) Landlord’s general corporate overhead and, generally, any costs associated with the operation of the business of the partnership or entity which constitutes the Landlord (other than required business licenses, which shall be included in Operating Expenses), as the same are distinguished from the costs of operation of the Building; (xi) costs directly incurred in connection with a sale, financing, refinancing or transfer of all or any portion of the Project (except as provided for in the definition of Taxes, below); (x) legal fees incurred in negotiating and enforcing tenant leases, disputes with other tenants; (xi) the cost of providing any service directly to and paid directly by a single individual lessee, or costs incurred for the benefit of a single lessee; (xii) costs to correct any construction defect in the Project or to remedy any violation of a covenant, condition, restriction, underwriter's requirement or law that exists as of the Commencement Date; (xiii) repairs necessitated by the gross negligence or willful misconduct of Landlord or Landlord’s employees, agents, or contractors; (xiv) costs or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expenses of capital improvements to or of the Building or any other part of the Project, other than Permitted Capital Improvements; (xv) charitable or political contributions and membership fees or other payments to trade organizations; (xvi) costs in connection with services that are provided to another lessee or occupant of the Project, but are not offered to Tenant; (xvii) costs (i.e., interest and penalties) incurred due to Landlord’s default of this Lease or any other lease, mortgage, or other agreement, in each case affecting the Project; (xviii) payments to subsidiaries or Affiliates of Landlord, or to any other party, in each case as a result of a non-arm’s length transaction, for management or other services for the Project, or for supplies or other materials for the Project, to the extent that such payments exceed arm’s length competitive prices in the market where the Premises are located for the services, supplies or materials provided (with Landlord and Tenant acknowledging and agreeing that property management fees that do not exceed three and one-half percent (3½%) of gross revenues for the Building are not in excess of such competitive price cap); (xix) wages, salaries or other compensation paid to any employee of Landlord (A) not dedicated full time to the Project (unless such costs are reasonably prorated to reflect time spent on the Project) and/or (B) having a rank above Director of Property Management; (xx) costs or expenses incurred in connection with the financing or sale of the Project or any portion thereof, (xxi) costs of environmental testing, monitoring, removal or remediation of any Hazardous Materials in the Project that are in existence at the Project prior to the Commencement Date, and following, the Commencement Date, except to the extent caused by third parties who are not tenants of the Project; (xxii) the costs of acquiring investment-grade art; (xxiii) fines, penalties, interest or other amounts imposed in connection with the Landlord’s failure to pay any tax when due; and (xxiv) any item that, if included in Operating Expense, would involve a double collection for such item by Landlord. If any Operating Expense, though paid in one year, relates to more than one calendar year, at the option of Landlord such expense may be proportionately allocated among such related calendar years. Operating Expenses for the Property that are not, in Landlord’s reasonable discretion, allocable solely to either the office, laboratory or retail portion of the Building shall be equitably allocated by Landlord between/amongst such uses. The above enumeration of services and facilities shall not be deemed to impose an obligation on Landlord to make available or provide such services or facilities except to the extent if any that Landlord has specifically agreed elsewhere in this Lease to make the same available or provide the same.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PREMISES: The space located in the Building at the Suite Number listed in Section 1.1 and depicted on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attached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PROJECT or PROPERTY: The Project consists of the office and laboratory/research building located at the street address specified in Section 1.1, associated surface and garage parking as designated by Landlord from time to time, landscaping and improvements, together with the Land, any associated interests in real property, and the personal property, fixtures, machinery, equipment, systems and apparatus located in or used in conjunction with any of the foregoing. The Project may also be referred to as the Property.</w:t>
      </w:r>
    </w:p>
    <w:p>
      <w:pPr>
        <w:pStyle w:val="TextBody"/>
        <w:bidi w:val="0"/>
        <w:spacing w:before="0" w:after="240"/>
        <w:jc w:val="both"/>
        <w:rPr>
          <w:rFonts w:ascii="Times New Roman" w:hAnsi="Times New Roman"/>
          <w:sz w:val="20"/>
        </w:rPr>
      </w:pPr>
      <w:r>
        <w:rPr>
          <w:rFonts w:ascii="Times New Roman" w:hAnsi="Times New Roman"/>
          <w:caps/>
          <w:color w:val="000000"/>
          <w:sz w:val="24"/>
        </w:rPr>
        <w:t>Project’s Sustainability Practices</w:t>
      </w:r>
      <w:r>
        <w:rPr>
          <w:rFonts w:ascii="Times New Roman" w:hAnsi="Times New Roman"/>
          <w:color w:val="000000"/>
          <w:sz w:val="24"/>
        </w:rPr>
        <w:t>: The operations and maintenance practices for the Building, whether incorporated into the Building’s Rules and Regulations, construction rules and regulations or separate written sustainability policies of Landlord with respect to the Building or the Project, as the same may be revised from time to time so long as such revisions do not materially and negatively impact Tenant’s use of or access to the Premises,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addressing, among other things: energy efficiency; energy measurement and reporting; water usage; recycling, composting, and waste management; indoor air quality; and chemical 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REAL PROPERTY: The Property excluding any personal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REDUCED SECURITY DEPOSIT: The amount specified in Section 1.1, which amount shall be deemed the Security Deposit under this Lease following any reduction of the Security Deposit pursuant to the terms of Article 5 of this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RENT: Collectively, Monthly Base Rent, Rent Adjustments and Rent Adjustment Deposits, and all other charges, payments, late fees or other amounts required to be paid by Tenant under this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RENT ADJUSTMENT: Any amounts owed by Tenant for payment of Operating Expenses and/or Taxes. The Rent Adjustments shall be determined and paid as provided in Article 4.</w:t>
      </w:r>
    </w:p>
    <w:p>
      <w:pPr>
        <w:pStyle w:val="TextBody"/>
        <w:bidi w:val="0"/>
        <w:spacing w:before="0" w:after="240"/>
        <w:jc w:val="both"/>
        <w:rPr>
          <w:rFonts w:ascii="Times New Roman" w:hAnsi="Times New Roman"/>
          <w:sz w:val="20"/>
        </w:rPr>
      </w:pPr>
      <w:r>
        <w:rPr>
          <w:rFonts w:ascii="Times New Roman" w:hAnsi="Times New Roman"/>
          <w:color w:val="000000"/>
          <w:sz w:val="24"/>
        </w:rPr>
        <w:t>RENT ADJUSTMENT DEPOSIT: An amount equal to Landlord’s estimate of the Rent Adjustment attributable to each month of the applicable calendar year (or partial calendar year) during the Term, as provided in Article 4.</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RENTABLE AREA OF THE PREMISES: The amount of square footage set forth in Section 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SECURITY DEPOSIT: The funds specified in Section 1.1, if any, deposited by Tenant with Landlord as security for Tenant’s performance of its obligations under this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STANDARD OPERATING HOURS: Monday through Friday from 8:00 A.M. to 6:00 P.M. and Saturdays from 9:00 A.M. to 1:00 P.M., excluding National Holidays.</w:t>
      </w:r>
    </w:p>
    <w:p>
      <w:pPr>
        <w:pStyle w:val="TextBody"/>
        <w:bidi w:val="0"/>
        <w:spacing w:before="0" w:after="240"/>
        <w:jc w:val="both"/>
        <w:rPr>
          <w:rFonts w:ascii="Times New Roman" w:hAnsi="Times New Roman"/>
          <w:sz w:val="20"/>
        </w:rPr>
      </w:pPr>
      <w:r>
        <w:rPr>
          <w:rFonts w:ascii="Times New Roman" w:hAnsi="Times New Roman"/>
          <w:color w:val="000000"/>
          <w:sz w:val="24"/>
        </w:rPr>
        <w:t>TAXES: All federal, state and local governmental taxes, assessments, license fees and charges of every kind or nature, whether general, special, ordinary or extraordinary, which Landlord shall pay or become obligated to pay because of or in connection with the ownership, leasing, management, control, sale, transfer, or operation of the Property or any of its components (including any personal property used in connection therewith) or Landlord’s business of owning and operating the Property, which may also include any rental, revenue, general gross receipts or similar taxes levied in lieu of or in addition to general real and/or personal property taxes. For purposes hereof, Taxes for any year shall be Taxes which are assessed for any period of such year, whether or not such Taxes are billed and payable in a subsequent calendar year. There shall be included in Taxes for any year the amount of all fees, costs and expenses (including reasonable attorneys’ fees) paid by Landlord during such year in seeking or obtaining any refund or reduction of Taxes. Taxes for any year shall be reduced by the net amount of any tax refund received by Landlord attributable to such year. If a special assessment payable in installments is levied against any part of the Property, Taxes for any year shall include only the installment of such assessment and any interest payable or paid during such year. Taxes shall be determined without reference to any abatement or exemption from or credit against Taxes applicable to all or part of the Property. Taxes shall not include any federal or state inheritance, general income, gift or estate taxes, except that if a change occurs in the method of taxation resulting in whole or in part in the substitution of any such taxes, or any other assessment, for any Taxes as above defined, such substituted taxes or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assessments shall be included in the Taxes. Tenant and Landlord acknowledge that Proposition 13 was adopted by the voters of the State of California in the June, 1978 election and that assessments, taxes, fees, levies and charges may be imposed by governmental agencies for such purposes as fire protection, street, sidewalk, road, utility construction and maintenance, refuse removal and for other governmental services which may formerly have been provided without charge to property owners or occupants. It is the intention of the parties that all new and increased assessments, taxes, fees, levies and charges due to any cause whatsoever are to be included within the definition of Taxes for purposes of this Lease. Taxes shall not include any fines, penalties or interest incurred as a result of Landlord’s failure to pay any Tax when due.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 ADDITIONS: Collectively, Tenant Work and Tenant Alterations.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 ALTERATIONS: Any alterations, improvements, additions, installations or construction in or to the Premises or any Building systems serving the Premises (excluding Tenant Work); and any supplementary air-conditioning systems installed by Landlord or by Tenant at Landlord’s request pursuant to Section 6.1(b).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 IMPROVEMENT ALLOWANCE: The amount specified in Section 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 PARTY OR TENANT PARTIES: As defined in Section 7.1(f)(1)(xii).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 WORK: All work installed or furnished to the Premises by Tenant, if any, pursuant to this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TENANT’S SHARE: The percentage that represents the ratio of the Rentable Area of the Premises to the Rentable Area of the Building. Tenant acknowledges that the Rentable Area of the Premises or Building may change as a result of Tenant leasing additional space within the Building. Notwithstanding anything herein to the contrary, Landlord may equitably adjust Tenant’s Share for all or part of any item of expense or cost reimbursable by Tenant that relates to a repair, replacement, or service that benefits only the Premises or only a portion of the Building and/or the Project or that varies with the occupancy of the Building and/or the Project.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 The initial term of this Lease commencing on the Commencement Date and expiring on the Expiration Date, and extension of the initial term,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TERMINATION DATE: The Expiration Date or such earlier date as this Lease terminates or Tenant’s right to possession of the Premises terminates.</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2</w:t>
      </w:r>
      <w:r>
        <w:rPr>
          <w:rFonts w:ascii="Times New Roman" w:hAnsi="Times New Roman"/>
          <w:color w:val="000000"/>
          <w:sz w:val="24"/>
          <w:u w:val="single"/>
        </w:rPr>
        <w:br/>
        <w:t>PREMISES, TERM, FAILURE TO GIVE POSSESSION, AND PARKING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2.1 </w:t>
      </w:r>
      <w:r>
        <w:rPr>
          <w:rFonts w:ascii="Times New Roman" w:hAnsi="Times New Roman"/>
          <w:caps/>
          <w:color w:val="000000"/>
          <w:sz w:val="24"/>
          <w:u w:val="single"/>
        </w:rPr>
        <w:t>LEASE OF PREMISES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Initial Premises</w:t>
      </w:r>
      <w:r>
        <w:rPr>
          <w:rFonts w:ascii="Times New Roman" w:hAnsi="Times New Roman"/>
          <w:color w:val="000000"/>
          <w:sz w:val="24"/>
        </w:rPr>
        <w:t>. Landlord hereby leases to Tenant and Tenant hereby leases from Landlord the Premises for the Term and upon the terms, covenants and conditions provided in this Lease. The parties acknowledge and agree that the Rentable Area set forth in this Lease has been conclusively determined and is deemed final for the purposes of this Lease.</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Right of First Refusal</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(1) Named Tenant shall have a continuous right of first refusal (the “Right of First Refusal”) with respect to the lease of any space located on the 4</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floor of the Building (the “Right of First Refusal Space”).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Within thirty (30) days of the date Landlord and a third-party tenant (other than a tenant or occupant who has, as of the date of this Lease, a right of first offer, right of first refusal, expansion option or similar right or option with respect to the Right of First Refusal Space, or the then-current occupant of the Right of First Refusal Space, whether or not such current occupant has an extension option) (a) have finalized a letter of intent, term sheet or similar expression of basic economic terms with respect to the lease of the Right of First Refusal Space (the “First Refusal LOI”), and (b) Landlord shall advise Named Tenant of the terms of First Refusal LOI. Named Tenant may lease such Right of First Refusal Space in its entirety only, under the terms of such First Refusal LOI, by delivering written notice of exercise to Landlord (the “Notice of Exercise”) within twenty (20) business days after the date Landlord provides Tenant with the First Refusal LOI, except that Named Tenant shall have no such Right of First Refusal and Landlord need not advise Tenant of the First Refusal LOI, if: (i) at the time that Landlord would otherwise advise Tenant of the First Refusal LOI, a Default exists under the Lease; or (ii) at the time that Landlord would otherwise advise Tenant of the First Refusal LOI, Named Tenant is not actually occupying the entire Premises. Tenant shall include in its Notice of Exercise evidence reasonably acceptable to Landlord that establish, either through current liquidity or financial projections, Tenant’s capacity to meet its obligations during the First Refusal Space Term.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The term with respect to such Right of First Refusal Space (the “First Refusal Space Term”) shall commence upon the commencement date stated in the First Refusal LOI and shall expire upon the expiration date stated in the First Refusal LOI, and upon commencement of the First Refusal Space Term, such Right of First Refusal Space shall be considered a part of the Premises under the Lease; provided that all of the terms stated in the First Refusal LOI shall govern Named Tenant’s leasing of such Right of First Refusal Space and only to the extent that they do not conflict with the First Refusal LOI, the terms and conditions of the Lease shall apply to such Right of First Refusal Space. If the First Refusal LOI Term would commence or expire after the Term for the original Premises, then (i) the Term for the original Premises shall be extended such that the Term for the original Premises expires as of the expiration of the First Refusal LOI Term (the “Original Premises Extended Term”), and (ii) the annual Base Rent rate per rentable square foot for the original Premises during the Original Premises Extended Term shall increase at the same rate as that set forth in Section 1.1 (i.e., 4.6% every 12-month period). Named Tenant shall pay Monthly Base Rent for such Right of First Refusal Space at the rate or rates set forth in the First Refusal LOI.</w:t>
      </w:r>
    </w:p>
    <w:p>
      <w:pPr>
        <w:pStyle w:val="TextBody"/>
        <w:bidi w:val="0"/>
        <w:spacing w:before="0" w:after="240"/>
        <w:jc w:val="both"/>
        <w:rPr>
          <w:rFonts w:ascii="Times New Roman" w:hAnsi="Times New Roman"/>
          <w:sz w:val="20"/>
        </w:rPr>
      </w:pPr>
      <w:r>
        <w:rPr>
          <w:rFonts w:ascii="Times New Roman" w:hAnsi="Times New Roman"/>
          <w:color w:val="000000"/>
          <w:sz w:val="24"/>
        </w:rPr>
        <w:t>(4) The rights of Tenant hereunder with respect to the Right of First Refusal Space shall terminate on the earliest to occur of: (i) six (6) months prior to the expiration of the initial Term; (ii) Tenant’s failure to exercise its Right of First Refusal within the twenty (20) business day period provided in Section 2.1(b)(2) above unless and until any portion of the Right of First Refusal Space again becomes vacant and available for lease; or (ii) the date Landlord would have advised Tenant of the First Refusal LOI with respect to such Right of First Refusal Space if Tenant had not been in violation of one or more of the conditions set forth in Section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2.1(b) above unless and until any portion of such Right of First Refusal Space again becomes vacant and available for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If Named Tenant exercises its Right of First Refusal, Landlord shall prepare an amendment (the “First Refusal Space Amendment”) adding such Right of First Refusal Space to the Premises on the terms set forth in the First Refusal LOI and reflecting the changes in the Monthly Base Rent, Rentable Area of the Premises, and other appropriate terms. A copy of the First Refusal Space Amendment shall be sent to Named Tenant within a reasonable time after Landlord’s receipt of the Notice of Exercise executed by Named Tenant, and Named Tenant shall execute and return the First Refusal Space Amendment to Landlord within thirty (30) days thereafter, but an otherwise valid exercise of the Right of First Refusal shall be fully effective after such thirty (30) day period unless Tenant provides a reasonable objection to the First Refusal Space Amendment in writing prior to the expiration of such thirty (30) day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 Notwithstanding anything to the contrary contained herein, Tenant’s Right of First Refusal is subject and subordinate to the expansion rights (whether such rights are designated as a right of first offer, right of first refusal, expansion option or otherwise) of any tenant or other occupant of the Building existing as of the date of the Lease, and the right of the then-current occupant of the Right of First Refusal Space to extend its lease of the First Refusal Space, whether or not such current occupant has an extension option. As of the Date of Lease, Catalent, Inc., a Delaware corporation, does have existing expansion rights as to the Right of First Refusal Space.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 Notwithstanding anything to the contrary contained herein, Named Tenant’s rights under this Section 2.1(b) are personal to Named Tenant and shall not be assigned or assignable, in whole or in part, to any third-party (except in connection with a Permitted Transfer). Any assignment or other transfer of such rights by Named Tenant shall be void and of no force or effect. Without limiting the generality of the foregoing, no sublessee of the Premises other than a Permitted Transferee shall be permitted to exercise the rights granted to Named Tenant under this Section 2.1(b).</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2.2 </w:t>
      </w:r>
      <w:r>
        <w:rPr>
          <w:rFonts w:ascii="Times New Roman" w:hAnsi="Times New Roman"/>
          <w:caps/>
          <w:color w:val="000000"/>
          <w:sz w:val="24"/>
          <w:u w:val="single"/>
        </w:rPr>
        <w:t>TERM</w:t>
      </w:r>
    </w:p>
    <w:p>
      <w:pPr>
        <w:pStyle w:val="TextBody"/>
        <w:bidi w:val="0"/>
        <w:spacing w:before="0" w:after="240"/>
        <w:jc w:val="both"/>
        <w:rPr>
          <w:rFonts w:ascii="Times New Roman" w:hAnsi="Times New Roman"/>
          <w:sz w:val="20"/>
        </w:rPr>
      </w:pPr>
      <w:r>
        <w:rPr>
          <w:rFonts w:ascii="Times New Roman" w:hAnsi="Times New Roman"/>
          <w:color w:val="000000"/>
          <w:sz w:val="24"/>
        </w:rPr>
        <w:t>(a) The Early Access Date, the Commencement Date and the Expiration Date shall be the dates specified in Section 1.1.</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Early Access Period</w:t>
      </w:r>
      <w:r>
        <w:rPr>
          <w:rFonts w:ascii="Times New Roman" w:hAnsi="Times New Roman"/>
          <w:color w:val="000000"/>
          <w:sz w:val="24"/>
        </w:rPr>
        <w:t>. Landlord shall allow Tenant to enter the Premises during the period commencing as of the Early Access Date and ending on the day prior to the Commencement Date (the “Early Access Period”), for the sole purpose of preparing the Premises for the conduct Tenant’s business, including installing any necessary Alterations and furniture, fixtures and equipment (the “Early Access Permitted Use”). Notwithstanding anything to the contrary set forth in the Lease, upon and following any entry into the Premises or Building by Tenant prior to the commencement of the Term (whether authorized or unauthorized), Tenant shall perform all of the obligations of Tenant applicable under this Lease during the Term (except the obligation to pay Monthly Base Rent and Tenant’s Share of Operating Expenses), including, without limitation, obligations pertaining to insurance, indemnity and compliance with Laws. Notwithstanding anything to the contrary set forth in the Lease, Tenant shall indemnify, defend and protect Landlord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hold Landlord harmless of and from any and all claims, proceedings, loss, cost, damage, causes of action, liabilities, injury or expense arising out of or related to claims of injury to or death of persons or damage to property occurring or resulting directly or indirectly from the presence in the Premises or the Building of Tenant or Tenant Parties or the activities of the same in or about the Premises or Building during the Early Access Period, such indemnity to include, without limitation, the obligation to provide all costs of defense against any such claims. If Tenant uses the Premises for any purpose other than the Early Access Permitted Use, then Tenant shall be liable for the payment of Monthly Base Rent and Tenant’s Share of Operating Expenses.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Option to Extend</w:t>
      </w:r>
      <w:r>
        <w:rPr>
          <w:rFonts w:ascii="Times New Roman" w:hAnsi="Times New Roman"/>
          <w:color w:val="000000"/>
          <w:sz w:val="24"/>
        </w:rPr>
        <w:t>. Provided that, at the time of exercise and at all times prior to the commencement of each Extended Term, Tenant shall not be in default under this Lease or otherwise failed to have timely performed all of Tenant’s obligations under this Lease after receipt of written notice and expiration of any applicable cure period, the Term of this Lease shall be subject to two (2) extension options for an additional period of 24 months each (each, an “Extension Option”, and collectively, the “Extension Options”). If (i) the first Extension Option is exercised, the first extension term shall commence as of the expiration of the Initial Term, and expire on the date that is 24 full calendar months thereafter (the “First Extended Term”), and (ii) the first Extension Option and the second Extension Option are both exercised (with exercise of the second Extension Option being conditioned upon the successful exercise of the first Extension Option), the second extension term shall commence as of the expiration of the First Extended Term, and expire on the date that is 24 full calendar months thereafter (the “Second Extended Term”; and individually with the First Extended Term, each shall be referred to as an “Extended Term”), exercisable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The Extension Options shall be upon the same material terms and conditions contained in this Lease, except that the initial Monthly Base Rent for the Premises shall be equal to the Fair Market Rent (as defined in Section 2.2(c)(2) below) for the Premises as of the first month of each Extension Option determined in the manner set forth in Section 2.2(c)(3)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Tenant’s election to exercise the Extension Options must be given to Landlord in writing: (i) with respect to the first Extension Option, no less than 180 days and no more than 365 days prior to the expiration of the initial Term, (ii) and with respect to the second Extension Option, no less than 120 days and no more than 180 days prior to the expiration of the First Extended Term (each, an “Extension Notice”). Within thirty (30) days of Landlord’s receipt of the applicable Extension Notice, Landlord shall send Tenant written notice of Landlord’s determination of the Fair Market Rent for the Premises (the “Fair Market Rent Notice”). For purposes of this Section, the term “Fair Market Rent” shall mean the base rental rate, periodic rental rate adjustment and other charges and increases, if any, for space comparable in size, location and quality to the Premises under a primary lease (and not sublease) to new or renewing tenants, for a comparable term with a tenant improvement allowance, if applicable and taking into consideration such amenities as existing improvements, amenities, view, floor on which the Premises are situated and the like, situated in buildings in Emeryville, California. Notwithstanding anything to the contrary contained herein, the Extension Option shall automatically terminate and be of no further force or effect, whether or not Tenant has timely exercised the Extension Option, if a Default exists at the time of exercise of the Extension Option or at the time of commencement of the applicable Extended Term.</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If Tenant properly exercises the Extension Option, the Monthly Base Rent during the Extended Term shall be determined in the following manner. The Monthly Base Rent as of the commencement of the Extended Term shall be adjusted to an amount equal to the Fair Market Rent for the Premises as specified in the Fair Market Rent Notice, subject to Tenant’s right of arbitration as set forth below. If Tenant objects to the Fair Market Rent specified in the Fair Market Rent Notice, then Tenant shall so notify Landlord within ten (10) days of Tenant’s receipt of the Fair Market Rent Notice, and then Landlord and Tenant shall attempt to agree upon the Fair Market Rent for the applicable Extension Option using their best good-faith efforts. If the parties are unable to agree upon the Fair Market Rent within ten (10) days after Landlord’s receipt of Tenant’s objection to the Fair Market Rent Notice (the “Outside Agreement Date”), then Tenant shall have the right to withdraw its exercise of the Extension Option by delivering written notice thereof to Landlord within five (5) days thereafter, in which event Tenant’s right to extend the Lease pursuant to this Section 2.2(c) shall be of no further force or effect. If Tenant does not withdraw its exercise of the Extension Option, each party shall make a separate determination of the Fair Market Rent for the applicable Extension Option, within ten (10) days after the Outside Agreement Date, and such determinations shall be submitted to arbitration in accordance with Sections 2.2(c)(3)(i) through 2.2(c)(3)(vii), below. For the avoidance of doubt, if Tenant fails to object to Landlord’s determination of the Fair Market Rent for an Extension Option within the time period set forth herein, then Tenant shall be deemed to have accepted Landlord’s determination of Fair Market Rent.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Landlord and Tenant shall each appoint one arbitrator who shall be a real estate appraiser who shall have been active over the five (5) year period ending on the date of such appointment in the appraisal of other class A laboratory/research and development buildings in the Emeryville, California area. The determination of the arbitrators shall be limited solely to the issue of whether Landlord’s or Tenant’s submitted Fair Market Rent is closer to the actual Fair Market Rent, taking into account the requirements of Section 2.2(c)(2) of this Lease, as determined by the arbitrators. Each such arbitrator shall be appointed within fifteen (15) days after the Outside Agreement Date. Landlord and Tenant may consult with their selected arbitrators prior to appointment and may select an arbitrator who is favorable to their respective positions. The arbitrators so selected by Landlord and Tenant each shall be deemed an “Advocate Arbitrator” and shall collectively be deemed the “Advocate Arbitrators”.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Advocate Arbitrators so appointed shall be specifically required pursuant to an engagement letter within ten (10) days of the date of the appointment of the last appointed Advocate Arbitrator to agree upon and appoint a third arbitrator (the “Neutral Arbitrator”) who shall be qualified under the same criteria set forth hereinabove for qualification of the Advocate Arbitrators, except that neither the Landlord or Tenant or either parties’ Advocate Arbitrator may, directly or indirectly, consult with the Neutral Arbitrator prior or subsequent to his or her appointment. The Neutral Arbitrator shall be retained via an engagement letter jointly prepared by Landlord’s counsel and Tenant’s counsel.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three arbitrators shall, within thirty (30) days of the appointment of the Neutral Arbitrator, reach a decision as to whether the parties shall use Landlord’s or Tenant’s submitted Fair Market Rent, and shall notify Landlord and Tenant thereof.</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The decision of the majority of the three arbitrators shall be binding upon Landlord and Tenant.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If either Landlord or Tenant fails to appoint an Advocate Arbitrator within fifteen (15) days after the Outside Agreement Date, then either party may petition the presiding judge of a superior court of the County in which the Project is located to appoint such Advocate Arbitrator subject to the criteria in Section 2.2(c)(3)(i) of this Lease, or if he or she refuses to act, either party may petition any judge having jurisdiction over the parties to appoint such Advocate Arbitrator.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If the Advocate Arbitrators fail to agree upon and appoint the Neutral Arbitrator, then either party may petition the presiding judge of a superior court of the County in which the Project is located to appoint the Neutral Arbitrator, subject to criteria in Section 2.2(c)(3)(i) of this Lease, or if he or she refuses to act, either party may petition any judge having jurisdiction over the parties to appoint such arbitrator.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The cost of the arbitration shall be paid by Landlord and Tenant equally.</w:t>
      </w:r>
    </w:p>
    <w:p>
      <w:pPr>
        <w:pStyle w:val="TextBody"/>
        <w:bidi w:val="0"/>
        <w:spacing w:before="0" w:after="240"/>
        <w:jc w:val="both"/>
        <w:rPr>
          <w:rFonts w:ascii="Times New Roman" w:hAnsi="Times New Roman"/>
          <w:sz w:val="20"/>
        </w:rPr>
      </w:pPr>
      <w:r>
        <w:rPr>
          <w:rFonts w:ascii="Times New Roman" w:hAnsi="Times New Roman"/>
          <w:color w:val="000000"/>
          <w:sz w:val="24"/>
        </w:rPr>
        <w:t>(4) If the amount of the Fair Market Rent is not known as of the commencement of an Extended Term, then Tenant shall continue to pay the Monthly Base Rent for the Premises in effect at the expiration of the Initial Term or the First Extended Term (as applicable) until the amount of the Fair Market Rent is determined. When such determination is made, Tenant shall pay any deficiency to Landlord upon demand.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(5) In connection with the extension of the Term pursuant to Tenant’s exercise of one or both of the Extension Options, the parties acknowledge and agree that Landlord shall not be responsible for the payment to any real estate broker, salesperson or finder claiming to have represented Tenant of any commission, finder’s fee or other compensation in connection with or as a consequence of Tenant’s exercise of the Extension Options.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 Notwithstanding anything to the contrary contained herein, Tenant’s rights under this Section 2.2(c) are personal to the original Tenant executing this Lease and any Permitted Transferee (“Named Tenant”) and shall not be assigned or assignable, in whole or in part, to any third party. Any assignment or other transfer of such rights by Named Tenant shall be void and of no force or effect. Without limiting the generality of the foregoing, no sublessee of the Premises (other than a Permitted Transferee) shall be permitted to exercise the rights granted to Tenant under this Section 2.2(c).</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2.3 </w:t>
      </w:r>
      <w:r>
        <w:rPr>
          <w:rFonts w:ascii="Times New Roman" w:hAnsi="Times New Roman"/>
          <w:caps/>
          <w:color w:val="000000"/>
          <w:sz w:val="24"/>
          <w:u w:val="single"/>
        </w:rPr>
        <w:t>FAILURE TO DELIVER POSSESSION</w:t>
      </w:r>
    </w:p>
    <w:p>
      <w:pPr>
        <w:pStyle w:val="TextBody"/>
        <w:bidi w:val="0"/>
        <w:spacing w:before="0" w:after="240"/>
        <w:jc w:val="both"/>
        <w:rPr>
          <w:rFonts w:ascii="Times New Roman" w:hAnsi="Times New Roman"/>
          <w:sz w:val="20"/>
        </w:rPr>
      </w:pPr>
      <w:r>
        <w:rPr>
          <w:rFonts w:ascii="Times New Roman" w:hAnsi="Times New Roman"/>
          <w:color w:val="000000"/>
          <w:sz w:val="24"/>
        </w:rPr>
        <w:t>If the Premises are not delivered to Tenant by the Early Access Date for any reason, Landlord shall not be liable for any claims, damages or liabilities by reason thereof, nor shall such failure to deliver affect the validity of this Lease or the obligations of Tenant hereunder; provided that if the Premises are not delivered on or before the Early Access Date (subject to extension day-for-day for Force Majeure events), Monthly Base Rent shall abate on a day-for-day basis commencing on the day after the Early Access Date and continuing until the Premises are delivered to Tenant, and such abatement shall be applied to Monthly Base Rent first due after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Commencement Date until fully applied. If the Commencement Date does not occur on or before October 1, 2026, Tenant may, at its option, by upon 15 days prior written notice to Landlord (the “Termination Notice”) cancel this Lease, provided that the Termination Notice is delivered not later than November 1, 2026, in which event this Lease shall terminate as of the date that is 15 days after the date of the Termination Notice (the “Termination Date”). If the delay was caused by a Force Majeure event (which Force Majeure event delay shall in no event delay delivery by more than thirty (30) days following Commencement Date; the “Force Majeure Delay Period”), Tenant may terminate this Lease by delivery of the Termination Notice to Landlord within thirty (30) days of the expiration of the Force Majeure Delay Period. Notwithstanding the foregoing, Landlord may void the Termination Notice if Landlord actually delivers the Premises to Tenant in the Delivery Condition before the Termination Date. The remedies set forth above shall be Tenant’s sole remedies in the event of a delay in delivering the Premises to Tenant. In no event shall Landlord be liable for special or consequential damages as a result of any such delay.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2.4 </w:t>
      </w:r>
      <w:r>
        <w:rPr>
          <w:rFonts w:ascii="Times New Roman" w:hAnsi="Times New Roman"/>
          <w:caps/>
          <w:color w:val="000000"/>
          <w:sz w:val="24"/>
          <w:u w:val="single"/>
        </w:rPr>
        <w:t>CONDITION OF PREMISES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 shall notify Landlord in writing as soon as reasonably possible of any defects in the Premises claimed by Tenant or in the materials or workmanship furnished by Landlord, or of any failure of the Premises to comply with the Delivery Condition (as defined below), but in no event shall Tenant so notify Landlord any later than ninety (90) days after the Commencement Date. Except for any defects and/or failure stated in such notice, Tenant shall be conclusively deemed to have accepted the Premises “AS IS” in the condition existing on the date Tenant first takes possession, and to have waived all claims relating to the condition of the Premises; provided that Tenant shall not be responsible for, nor deemed to have accepted “AS IS”, violations of Law existing as of, and prior to, the Commencement Date. Landlord shall proceed diligently to correct the defects stated in such notice unless Landlord disputes the existence of any such defects in good faith. In the event of any dispute as to the existence of any such defects, the decision of Landlord’s architect shall be final and binding on the parties. No agreement of Landlord to alter, remodel, decorate, clean or improve the Premises or the Real Property and no representation regarding the condition of the Premises or the Real Property has been made by or on behalf of Landlord to Tenant, except as may be specifically stated in this Lease. Notwithstanding the foregoing to the contrary, Landlord shall deliver the Premises (a) with all personal property (other than the FF&amp;E) and prior tenant signage removed therefrom, (b) with all electrical, plumbing, heating, ventilating, air-conditioning, mechanical and the fire and life safety systems serving the Premises in good operating condition and repair on the Commencement Date, and (c) in compliance with all Laws (to the extent such Laws are applicable to unoccupied space) (the “Delivery Conditions”). Should Tenant reasonably determine that there is any noncompliance with the foregoing Delivery Conditions and provide Landlord with a written notice thereof within ninety (90) after the Commencement Date, and Landlord does not disagree with Tenant’s determination in good faith, then Landlord shall promptly after receipt of written notice from Tenant setting forth with specificity the nature and extent of such noncompliance, rectify the same at Landlord’s expense; such noncompliance shall not, however, entitle Tenant to an abatement of rent or to terminate this Lease, or otherwise release Tenant from any of Tenant’s obligations under this Lease. Should Landlord disagree with Tenant’s assessment, Landlord and Tenant shall meet and confer to determine the actual scope of any such noncompliance, and following agreement regarding same, Landlord shall proceed with rectifying the agreed upon noncompliance in accordance with this Section 2.4.</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 </w:t>
      </w:r>
      <w:r>
        <w:rPr>
          <w:rFonts w:ascii="Times New Roman" w:hAnsi="Times New Roman"/>
          <w:caps/>
          <w:color w:val="000000"/>
          <w:sz w:val="24"/>
          <w:u w:val="single"/>
        </w:rPr>
        <w:t>PARKING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During the Term, Tenant may use the number of spaces specified in Section 1.1 for parking at the standard prevailing monthly rates described in Section 1.1 without regard to discounts provided to any other occupants of the Building. In the event Tenant fails at any time to pay the full amount of such parking charges, Tenant’s parking rights shall be reduced to the extent of Tenant’s failure to pay for any such parking. The locations and type of parking (including, without limitation, valet parking, if any) shall be reasonably designated by Landlord or Landlord’s parking operator from time to time. Tenant acknowledges and agrees that the parking spaces serving the Project may include tandem or valet parking and a mixture of spaces for compact vehicles as well as full-size passenger automobiles, and that Tenant shall not use parking spaces for vehicles larger than the striped size of the parking spaces. All vehicles utilizing Tenant’s parking spaces shall prominently display identification stickers or other markers, and/or have passes or keycards for ingress and egress, as may be required and provided by Landlord or its parking operator from time to time. Tenant shall comply with any and all parking rules and regulations from time to time reasonably established by Landlord or Landlord’s parking operator, including a requirement that Tenant pay to Landlord or Landlord’s parking operator a charge for loss and replacement of passes, keycards, identification stickers or markers, and for any and all loss or other damage caused by persons or vehicles related to use of Tenant’s parking spaces. Tenant shall not allow any vehicles using Tenant’s parking spaces to be parked, loaded or unloaded except in accordance with this Section, including in the areas and in the manner designated by Landlord or its parking operator for such activities. If any vehicle is using the parking or loading areas contrary to any provision of this Section, Landlord or its parking operator shall have the right, in addition to all other rights and remedies of Landlord under this Lease, to remove or tow away the vehicle without prior notice to Tenant, and the cost thereof shall be paid to Landlord within ten (10) business days after written notice from Landlord.</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3</w:t>
      </w:r>
      <w:r>
        <w:rPr>
          <w:rFonts w:ascii="Times New Roman" w:hAnsi="Times New Roman"/>
          <w:color w:val="000000"/>
          <w:sz w:val="24"/>
          <w:u w:val="single"/>
        </w:rPr>
        <w:br/>
        <w:t>RENT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and after the Commencement Date, Tenant shall pay to Landlord at the address specified in Section 1.1, or to such other persons, or at such other places designated by Landlord, without any prior demand therefor in immediately available funds and without any deduction or offset whatsoever, Rent, including Monthly Base Rent and Rent Adjustments in accordance with Article 4, during the Term. Monthly Base Rent shall be paid monthly in advance on or prior to the first day of each month of the Term, except that only the first full monthly installment of Monthly Base Rent shall be paid by Tenant to Landlord concurrently with Tenant’s execution of this Lease, with subsequent installments to commence upon the Commencement Date. Monthly Base Rent shall be prorated for partial months within the Term. Tenant’s covenant to pay Rent shall be independent of every other covenant in this Lease.</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4</w:t>
      </w:r>
      <w:r>
        <w:rPr>
          <w:rFonts w:ascii="Times New Roman" w:hAnsi="Times New Roman"/>
          <w:color w:val="000000"/>
          <w:sz w:val="24"/>
          <w:u w:val="single"/>
        </w:rPr>
        <w:br/>
        <w:t>RENT ADJUSTMENTS AND PAYMENTS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4.1 </w:t>
      </w:r>
      <w:r>
        <w:rPr>
          <w:rFonts w:ascii="Times New Roman" w:hAnsi="Times New Roman"/>
          <w:caps/>
          <w:color w:val="000000"/>
          <w:sz w:val="24"/>
          <w:u w:val="single"/>
        </w:rPr>
        <w:t>RENT ADJUSTMENTS</w:t>
      </w:r>
    </w:p>
    <w:p>
      <w:pPr>
        <w:pStyle w:val="TextBody"/>
        <w:bidi w:val="0"/>
        <w:spacing w:before="0" w:after="240"/>
        <w:jc w:val="both"/>
        <w:rPr>
          <w:rFonts w:ascii="Times New Roman" w:hAnsi="Times New Roman"/>
          <w:sz w:val="20"/>
        </w:rPr>
      </w:pPr>
      <w:r>
        <w:rPr>
          <w:rFonts w:ascii="Times New Roman" w:hAnsi="Times New Roman"/>
          <w:color w:val="000000"/>
          <w:sz w:val="24"/>
        </w:rPr>
        <w:t>(a) From and after the Commencement Date, Tenant shall pay to Landlord Rent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16</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Adjustments with respect to each calendar year (or partial calendar year in the case of the year in which the Commencement Date and the Termination Date occur)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The Rent Adjustment Deposit representing Tenant’s Share of Operating Expenses for the applicable calendar year (or partial calendar year), monthly during the Term with the payment of Monthly Base Rent;</w:t>
      </w:r>
    </w:p>
    <w:p>
      <w:pPr>
        <w:pStyle w:val="TextBody"/>
        <w:bidi w:val="0"/>
        <w:spacing w:before="0" w:after="240"/>
        <w:jc w:val="both"/>
        <w:rPr>
          <w:rFonts w:ascii="Times New Roman" w:hAnsi="Times New Roman"/>
          <w:sz w:val="20"/>
        </w:rPr>
      </w:pPr>
      <w:r>
        <w:rPr>
          <w:rFonts w:ascii="Times New Roman" w:hAnsi="Times New Roman"/>
          <w:color w:val="000000"/>
          <w:sz w:val="24"/>
        </w:rPr>
        <w:t>(2) The Rent Adjustment Deposit representing Tenant’s Share of Taxes for the applicable calendar year (or partial calendar year), monthly during the Term with the payment of Monthly Base Rent;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Any Rent Adjustments due in excess of the Rent Adjustment Deposits in accordance with Section 4.2. Rent Adjustments due from Tenant to Landlord for any calendar year (or partial calendar year) shall be Tenant’s Share of Operating Expenses for such calendar year (or partial calendar year) and Tenant’s Share of Taxes for such calendar year (or partial calendar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On or before the beginning of each calendar year or with Landlord’s Statement (as defined in Section 4.2 below), Landlord may estimate and notify Tenant in writing of its estimate of the amount of Operating Expenses and Taxes payable by Tenant for such calendar year. Prior to the first determination by Landlord of the amount of Operating Expenses and Taxes for the first calendar year, Landlord may estimate such amounts in the foregoing calculation. Landlord shall have the right from time to time during any calendar year to provide a new or revised estimate of Operating Expenses and/or Taxes and to notify Tenant in writing thereof, of corresponding adjustments in Tenant’s Rent Adjustment Deposit payable over the remainder of such year, and of the amount or revised amount due allocable to months preceding such change. The last estimate by Landlord shall remain in effect as the applicable Rent Adjustment Deposit unless and until Landlord notifies Tenant in writing of a change, which notice may be given by Landlord from time to time during any calendar year throughout the Term.</w:t>
      </w:r>
    </w:p>
    <w:p>
      <w:pPr>
        <w:pStyle w:val="TextBody"/>
        <w:bidi w:val="0"/>
        <w:spacing w:before="0" w:after="240"/>
        <w:jc w:val="both"/>
        <w:rPr>
          <w:rFonts w:ascii="Times New Roman" w:hAnsi="Times New Roman"/>
          <w:sz w:val="20"/>
        </w:rPr>
      </w:pPr>
      <w:r>
        <w:rPr>
          <w:rFonts w:ascii="Times New Roman" w:hAnsi="Times New Roman"/>
          <w:color w:val="000000"/>
          <w:sz w:val="24"/>
        </w:rPr>
        <w:t>(c) For purposes of determining Rent Adjustments, if the Building or Property is not fully occupied during all or a portion of any calendar year during the Term, Landlord shall make appropriate adjustments to the variable components of Operating Expenses for such calendar year (or partial calendar year), employing sound accounting and management principles consistently applied, to determine the amount of Operating Expenses that would have been paid or incurred by Landlord had the Building or Property been one hundred percent (100%) occupied, and the amount so determined shall be deemed to have been the amount of Operating Expenses for such calendar year (or partial calendar year). In the event that the Property is not fully assessed for all or a portion of any calendar year (or partial calendar year) during the Term, then Taxes shall be adjusted to an amount which would have been payable in such calendar year (or partial calendar year) if the Property had been fully assessed. In the event any other tenant in the Building provides itself with a service of a type which Landlord would supply under this Lease without an additional or separate charge to Tenant, then Operating Expenses shall be deemed to include the cost Landlord would have incurred had Landlord provided such service to such other tenant. In addition, Landlord shall have the right, at its sole discretion, from time to time, to equitably allocate certain Operating Expenses among only certain tenants of the Project as to any expense or cost that relates to a repair, replacement or service that benefits only those tenants, and the Rent Adjustments shall reflect any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17</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allocations.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4.2 </w:t>
      </w:r>
      <w:r>
        <w:rPr>
          <w:rFonts w:ascii="Times New Roman" w:hAnsi="Times New Roman"/>
          <w:caps/>
          <w:color w:val="000000"/>
          <w:sz w:val="24"/>
          <w:u w:val="single"/>
        </w:rPr>
        <w:t>STATEMENT OF 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soon as practical after the expiration of each calendar year, but in no event later than one hundred twenty (120) days thereafter, Landlord will furnish Tenant with a statement respecting the prior calendar year (“Landlord’s Statement”) showing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Actual Operating Expenses and Taxes for such calendar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amount of Rent Adjustments due Landlord for the last calendar year, less credit for Rent Adjustment Deposits paid, if any;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change in the Rent Adjustment Deposit due monthly in the current calendar year, including the amount or revised amount due for months preceding any such change pursuant to Landlord’s Statement.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 shall pay to Landlord within ten (10) business days after receipt of such statement any amounts for Rent Adjustments then due in accordance with Landlord’s Statement. Any amounts due from Landlord to Tenant pursuant to this Section shall be credited to the Rent Adjustment Deposit next coming due, or refunded to Tenant within thirty (30) business days if the Term has already expired, provided Tenant is not in default hereunder; provided that if such amount becoming due to Tenant is not refunded, it shall start collecting daily interest at the Default Rate following such thirty (30) business day period. Landlord’s failure to deliver Landlord’s Statement or to compute the amount of the Rent Adjustments shall not constitute a waiver by Landlord of its right to deliver such items nor constitute a waiver or release of Tenant’s obligations to pay such amounts. The Rent Adjustment Deposit shall be credited against Rent Adjustments due for the applicable calendar year (or partial calendar year). During the last complete calendar year or during any partial calendar year in which this Lease terminates, Landlord may include in the Rent Adjustment Deposit its estimate of Rent Adjustments which might not be finally determined until after the termination of this Lease. Tenant’s obligation to pay Rent Adjustments survives the expiration or termination of this Lease. Notwithstanding the foregoing, in no event shall the sum of Monthly Base Rent and the Rent Adjustments be less than the Monthly Base Rent payable under this 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4.3 </w:t>
      </w:r>
      <w:r>
        <w:rPr>
          <w:rFonts w:ascii="Times New Roman" w:hAnsi="Times New Roman"/>
          <w:caps/>
          <w:color w:val="000000"/>
          <w:sz w:val="24"/>
          <w:u w:val="single"/>
        </w:rPr>
        <w:t>BOOKS AND RECORDS</w:t>
      </w:r>
    </w:p>
    <w:p>
      <w:pPr>
        <w:pStyle w:val="TextBody"/>
        <w:bidi w:val="0"/>
        <w:spacing w:before="0" w:after="240"/>
        <w:jc w:val="both"/>
        <w:rPr>
          <w:rFonts w:ascii="Times New Roman" w:hAnsi="Times New Roman"/>
          <w:sz w:val="20"/>
        </w:rPr>
      </w:pPr>
      <w:r>
        <w:rPr>
          <w:rFonts w:ascii="Times New Roman" w:hAnsi="Times New Roman"/>
          <w:color w:val="000000"/>
          <w:sz w:val="24"/>
        </w:rPr>
        <w:t>Landlord shall maintain books and records showing Operating Expenses and Taxes in accordance with sound accounting and management practices, consistently applied. Tenant or its representative (which representative shall be a certified public accountant licensed to do business in the state in which the Property is located and whose primary business is certified public accounting and who shall not be paid on a contingency basis) shall have the right, for a period of sixty (60) days following the date upon which Landlord’s Statement is delivered to Tenant, to examine Landlord’s books and records with respect to the items in the foregoing statement of Operating Expenses and Taxes during normal business hours, upon written notice, delivered at least five (5) business days in advance. Tenant shall pay for all costs of such examination; provided that if such audit reveals a misstatement of Operating Taxes and Taxes of 5% or more, then Landlord shall pay for all reasonable and actual third-party costs of such examination, up to a</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18</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maximum amount of $5,000.00. If Tenant performs such examination, but does not object in writing to Landlord’s Statement within ninety (90) days after Tenant’s receipt thereof, specifying the nature of the item in dispute and the reasons therefor, then Landlord’s Statement shall be considered final and accepted by Tenant and Tenant shall be deemed to have waived its right to dispute Landlord’s Statement. If Tenant does dispute any Landlord’s Statement, Tenant shall deliver a copy of any such audit to Landlord at the time Tenant notifies Landlord in writing of the dispute. If Tenant does not provide such notice of dispute and a copy of such audit to Landlord within such ninety (90) day period, it shall be deemed to have waived such right to dispute Landlord’s Statement. Any amount due to Landlord as shown on Landlord’s Statement, whether or not disputed by Tenant as provided herein shall be paid by Tenant when due as provided above, without prejudice to any such written exception. In no event shall Tenant be permitted to examine Landlord’s records or to dispute any statement of Operating Expenses and Taxes unless Tenant has paid and continues to pay all Rent when due. Upon resolution of any dispute with respect to Operating Expenses and Taxes, Tenant shall either pay Landlord any shortfall or Landlord shall credit Tenant with respect to any overages paid by Tenant. The records obtained by Tenant shall be treated as confidential and neither Tenant nor any of its representatives or agents shall disclose or discuss the information set forth in the audit to or with any other person or entity (the “Confidentiality Requirement”). Tenant shall indemnify and hold Landlord harmless for any losses or damages arising out of the breach of the Confidentiality Requirement.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4.4 </w:t>
      </w:r>
      <w:r>
        <w:rPr>
          <w:rFonts w:ascii="Times New Roman" w:hAnsi="Times New Roman"/>
          <w:caps/>
          <w:color w:val="000000"/>
          <w:sz w:val="24"/>
          <w:u w:val="single"/>
        </w:rPr>
        <w:t>TENANT OR LEASE SPECIFIC TAXES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to Monthly Base Rent, Rent Adjustments, Rent Adjustment Deposits and other charges to be paid by Tenant, Tenant shall pay to Landlord, upon demand, any and all taxes payable by Landlord (other than federal or state inheritance, general income, gift or estate taxes) whether or not now customary or within the contemplation of the parties hereto: (a) upon, allocable to, or measured by the Rent payable hereunder, including any gross receipts tax or excise tax levied by any governmental or taxing body with respect to the receipt of such Rent; or (b) upon or with respect to the possession, leasing, operation, management, maintenance, alteration, repair, use or occupancy by Tenant of the Premises or any portion thereof; or (c) upon the measured value of Tenant’s personal property located in the Premises or in any storeroom or any other place in the Premises or the Property, or the areas used in connection with the operation of the Property, it being the intention of Landlord and Tenant that, to the extent possible, such personal property taxes shall be billed to and paid directly by Tenant; (d) resulting from any Tenant Work, Tenant Alterations, or any other improvements to the Premises, whether title thereto is in Landlord or Tenant; or (e) upon this transaction. Taxes or supplemental taxes paid by Tenant pursuant to this Section 4.4 shall not be included in any computation of Taxes payable pursuant to Sections 4.1 and 4.2, but standard property management fees shall apply to any such payments.</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5</w:t>
      </w:r>
      <w:r>
        <w:rPr>
          <w:rFonts w:ascii="Times New Roman" w:hAnsi="Times New Roman"/>
          <w:color w:val="000000"/>
          <w:sz w:val="24"/>
          <w:u w:val="single"/>
        </w:rPr>
        <w:br/>
        <w:t>SECURITY</w:t>
      </w:r>
    </w:p>
    <w:p>
      <w:pPr>
        <w:pStyle w:val="TextBody"/>
        <w:bidi w:val="0"/>
        <w:spacing w:before="0" w:after="240"/>
        <w:jc w:val="both"/>
        <w:rPr>
          <w:rFonts w:ascii="Times New Roman" w:hAnsi="Times New Roman"/>
          <w:sz w:val="20"/>
        </w:rPr>
      </w:pPr>
      <w:r>
        <w:rPr>
          <w:rFonts w:ascii="Times New Roman" w:hAnsi="Times New Roman"/>
          <w:color w:val="000000"/>
          <w:sz w:val="24"/>
        </w:rPr>
        <w:t>(a) Simultaneously with Tenant’s execution and delivery of this Lease to Landlord, Tenant shall pay Landlord in immediately available funds the cash amount of the Security Deposit for the full and faithful performance by Tenant of each and every term, provision, covenant, and condition of this Lease. If Tenant fails timely to perform any of the terms, provisions, covenants and conditions of this Lease or any other document executed by Tenant in connection with this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19</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Lease, then Landlord may use, apply, or retain the whole or any part of the Security Deposit for the payment of any Rent not paid when due, for the cost of repairing any damage, for the cost of cleaning the Premises, for the payment of any other sum which Landlord may expend or may be required to expend by reason of Tenant’s failure to perform, and otherwise for compensation of Landlord for any other loss or damage to Landlord occasioned by Tenant’s failure to perform, including, but not limited to, any loss of future Rent and any damage or deficiency in the reletting of the Premises (whether such loss, damages or deficiency accrue before or after summary proceedings or other reentry by Landlord) and the amount of the unpaid past Rent, future Rent loss, and all other losses, costs and damages, that Landlord would be entitled to recover if Landlord were to pursue recovery under Section 11.2(b) or (c) of this Lease or California Civil Code Section 1951.2 or 1951.4 (and any supplements, amendments, replacements and substitutions thereof and therefor from time to time). If Landlord so uses, applies or retains all or part of the Security Deposit, Tenant shall within five (5) business days after demand pay or deliver to Landlord in immediately available funds the sum necessary to replace the amount used, applied or retained. If Tenant has fully and faithfully performed and observed all of Tenant’s obligations under the terms, provisions, covenants and conditions of this Lease, the Security Deposit (except any amount retained for application by Landlord as provided herein) shall be returned to Tenant with thirty (30) days after the latest of: (i) the Expiration Date or early termination of this Lease; (ii) the removal of Tenant from the Premises; or (iii) the surrender of the Premises by Tenant to Landlord in accordance with this Lease, or such longer time as may be permissible under Law; provided, however, in no event shall any such return be construed as an admission by Landlord that Tenant has performed all of its obligations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Security Deposit shall not be deemed an advance rent deposit or an advance payment of any kind, or a measure of Landlord’s damages with respect to Tenant’s failure to perform, nor shall any action or inaction of Landlord with respect to it or its use or application be a waiver of, or bar or defense to, enforcement of any right or remedy of Landlord. Landlord shall not be required to keep the Security Deposit separate from its general funds and shall not have any fiduciary duties or other duties (except as set forth in this Section) concerning the Security Deposit. Tenant shall not be entitled to any interest on the Security Deposit. In the event of any sale, lease or transfer of Landlord’s interest in the Building, Landlord shall have the right to transfer the Security Deposit, or balance thereof, to the transferee and any such transfer shall release Landlord from all liability for the return of the Security Deposit. Tenant thereafter shall look solely to such transferee for the return or payment of the Security Deposit. Tenant shall not assign or encumber or attempt to assign or encumber the Security Deposit or any interest in it and Landlord shall not be bound by any such assignment, encumbrance, attempted assignment or attempted encumbrance, and regardless of one or more assignments of this Lease, Landlord may return the Security Deposit to the original Tenant without liability to any assignee. Tenant hereby waives any and all rights of Tenant under the provisions of Section 1950.7 of the California Civil Code, and any and all rights of Tenant under all provisions of Law, now or hereafter enacted, regarding security deposits.</w:t>
      </w:r>
    </w:p>
    <w:p>
      <w:pPr>
        <w:pStyle w:val="TextBody"/>
        <w:bidi w:val="0"/>
        <w:spacing w:before="0" w:after="240"/>
        <w:jc w:val="both"/>
        <w:rPr>
          <w:rFonts w:ascii="Times New Roman" w:hAnsi="Times New Roman"/>
          <w:sz w:val="20"/>
        </w:rPr>
      </w:pPr>
      <w:r>
        <w:rPr>
          <w:rFonts w:ascii="Times New Roman" w:hAnsi="Times New Roman"/>
          <w:color w:val="000000"/>
          <w:sz w:val="24"/>
        </w:rPr>
        <w:t>(c) Concurrently with its execution of this Lease, in lieu of all or a portion of the cash Security Deposit referenced in Section 5(a) above, Tenant may elect to deliver to Landlord, as protection for the full and faithful performance by Tenant of all of its obligations under this Lease and for all losses and damages Landlord may suffer (or that Landlord reasonably estimates it may suffer) as a result of any breach, default or failure to perform by Tenant under this Lease, an irrevocable and unconditional negotiable standby Letter of Credit (the “Letter of Credit”), in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20</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 as is reasonably acceptable to Landlord, payable at an office in the San Francisco Bay Area, California or by electronic presentment, running in favor of Landlord and issued by a solvent, nationally recognized bank with a long term rating of A– or higher, under the supervision of the Superintendent of Banks of the State of California, or a national banking association (an “Acceptable Issuing Bank”), in the amount provided in Section 1.1(11) (the “Letter of Credit Amount”). The Letter of Credit shall expire not later than sixty (60) days after the Expiration Date. Tenant shall pay all expenses, points, or fees incurred by Tenant in obtaining the Letter of Credit and any replacement Letter of Credit. If an Acceptable Issuing Bank is declared insolvent or taken over by the Federal Deposit Insurance Corporation or any governmental agency for any reason or does not meet the standards to be approved an Acceptable Issuing Bank, Tenant shall deliver a replacement Letter of Credit from another Bank reasonably approved by Landlord that meets the standards for an Acceptable Issuing Bank within the earlier of (i) ninety (90) days after written notice from Landlord that the Bank does not meet the standard for an Acceptable Issuing Bank, or (ii) the date the Bank is declared insolvent or taken over for any reason by the Federal Deposit Insurance Corporation or any other governmental agency.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Letter of Credit shall also provide that Landlord, its successors, and assigns, may, at any time and without notice to Tenant and without first obtaining Tenant’s consent, transfer (one or more times) all of its interest in and to the Letter of Credit to another party, person, or entity, provided such transferee is the assignee of the Landlord’s rights and interests in and to this Lease and expressly assumes the same and Landlord’s obligations under this Lease, or to any lender providing financing to Landlord with respect to the Project. In connection with any such transfer of the Letter of Credit by Landlord, Tenant shall execute and submit to the Bank such applications, documents, and instruments as may be necessary to effectuate such transfer, and Tenant shall be responsible for paying the Bank’s transfer and processing fees in connection with any such transfer.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If, as a result of any drawing by Landlord on the Letter of Credit pursuant to the terms thereof, the amount of the Letter of Credit shall be less than the Letter of Credit Amount, Tenant shall, within ten (10) business days after the drawdown by Landlord and notice thereof to Tenant, take such actions as are required to restore the Letter of Credit Amount, which may include providing a replacement Letter of Credit for the full Letter of Credit Amount, provided such additional Letter(s) of Credit or replacement Letter of Credit comply with the applicable requirements of this Article 5 and all subsections thereof of this Lease.</w:t>
      </w:r>
    </w:p>
    <w:p>
      <w:pPr>
        <w:pStyle w:val="TextBody"/>
        <w:bidi w:val="0"/>
        <w:spacing w:before="0" w:after="240"/>
        <w:jc w:val="both"/>
        <w:rPr>
          <w:rFonts w:ascii="Times New Roman" w:hAnsi="Times New Roman"/>
          <w:sz w:val="20"/>
        </w:rPr>
      </w:pPr>
      <w:r>
        <w:rPr>
          <w:rFonts w:ascii="Times New Roman" w:hAnsi="Times New Roman"/>
          <w:color w:val="000000"/>
          <w:sz w:val="24"/>
        </w:rPr>
        <w:t>(f) Tenant covenants and warrants that it will neither assign nor encumber the Letter of Credit or any part of it and that neither Landlord nor its successors or assigns will be bound by any such assignment, encumbrance, attempted assignment, or attempted encumbrance. Without limiting the generality of the foregoing, if the Letter of Credit expires earlier than the Expiration Date, Landlord will accept a renewal of the letter of credit (such renewal letter of credit to be in effect and delivered to Landlord, as applicable, not later than thirty (30) days prior to the expiration of the Letter of Credit, or such other timeframe or condition to which the parties may subsequently agree in writing), which shall be irrevocable and automatically renewable as required above through the Expiration Date on the same terms as the expiring Letter of Credit or such other terms as may be acceptable to Landlord in its sole discretion. However, if the Letter of Credit is not timely renewed, or if Tenant fails to maintain the Letter of Credit in the amount and in accordance with the terms set forth in this Article 5, Landlord shall have the right to present the Letter of Credit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21</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Bank to draw on the Letter of Credit, and the proceeds of the Letter of Credit may be applied by Landlord against any Rent payable by Tenant under this Lease that is not paid when due and to pay for all losses and damages that Landlord has suffered or that Landlord reasonably estimates that it will suffer as a result of any breach or default by Tenant under this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Tenant acknowledges and agrees that Landlord is entering into this Lease in material reliance on the ability of Landlord to draw on the Letter of Credit on the occurrence of any breach, default or failure to perform on the part of Tenant under this Lease. If Tenant shall breach or fail to perform any provision of this Lease or otherwise be in default under this Lease, Landlord may, but without obligation to do so, and without notice to Tenant, draw on the Letter of Credit, in part or in whole, to cure any breach or default of Tenant and to compensate Landlord for any and all damages of any kind or nature sustained or which Landlord reasonably estimates that it will sustain resulting from Tenant’s breach or default and to which Landlord is entitled under this Lease, including any damages that accrue upon termination of this Lease under this Lease and/or Section 1951.2 of the California Civil Code or any similar provision.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Notwithstanding anything to the contrary contained herein, so long as a Default has not occurred under this Lease, the cash Security Deposit and/or Letter of Credit (as applicable) shall be reduced to the Reduced Security Deposit as of the expiration of Month 3 of the Term (“Reduction Date”), in which case, (i) if such Security Deposit was delivered in cash, Landlord shall apply such amount to Monthly Base Rent first coming due commencing on the Commencement Date and continuing until fully applied, and (ii) if a Letter of Credit is delivered, Tenant shall either provide an amendment to such Letter of Credit which reflects the Reduced Security Deposit, or provide a replacement Letter of Credit in the amount of the Reduced Security Deposit. Tenant shall pay any fees associated with issuing an amendment or replacement to the Letter of Credit reflecting the Reduced Security Deposit.</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6</w:t>
      </w:r>
      <w:r>
        <w:rPr>
          <w:rFonts w:ascii="Times New Roman" w:hAnsi="Times New Roman"/>
          <w:color w:val="000000"/>
          <w:sz w:val="24"/>
          <w:u w:val="single"/>
        </w:rPr>
        <w:br/>
        <w:t>SERVICES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6.1 </w:t>
      </w:r>
      <w:r>
        <w:rPr>
          <w:rFonts w:ascii="Times New Roman" w:hAnsi="Times New Roman"/>
          <w:caps/>
          <w:color w:val="000000"/>
          <w:sz w:val="24"/>
          <w:u w:val="single"/>
        </w:rPr>
        <w:t>LANDLORD’S GENERAL SERVICES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During the Term, Landlord shall furnish the following services the cost of which services shall be included in Operating Expenses or paid directly by Tenant to the utility or service provider: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heat, ventilation and air-conditioning (“HVAC”) in the Premises during Standard Operating Hours as necessary in Landlord’s reasonable judgment for the comfortable occupancy of the Premises under normal business office and laboratory operations, and outside of Standard Operating Hours, HVAC shall be set to minimum safe setback levels for laboratory operations, subject to compliance with all applicable voluntary and mandatory regulations and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tempered and cold water for normal and customary use in the Premises and in lavatories in common with other tenants from the regular supply of the Building;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customary cleaning and janitorial services in the Common Areas five (5) days per week, excluding National Holidays;</w:t>
      </w:r>
    </w:p>
    <w:p>
      <w:pPr>
        <w:pStyle w:val="TextBody"/>
        <w:bidi w:val="0"/>
        <w:jc w:val="left"/>
        <w:rPr>
          <w:rFonts w:ascii="Times New Roman" w:hAnsi="Times New Roman"/>
          <w:color w:val="000000"/>
          <w:sz w:val="24"/>
        </w:rPr>
      </w:pPr>
      <w:r>
        <w:rPr>
          <w:rFonts w:ascii="Times New Roman" w:hAnsi="Times New Roman"/>
          <w:color w:val="000000"/>
          <w:sz w:val="24"/>
        </w:rPr>
        <w:t>22</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washing of the outside windows in the Premises weather permitting at intervals determined by Landlord;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automatic passenger elevator service in common with other tenants of the Building. Freight elevator service, if any, will be subject to reasonable scheduling by Landlord.</w:t>
      </w:r>
    </w:p>
    <w:p>
      <w:pPr>
        <w:pStyle w:val="TextBody"/>
        <w:bidi w:val="0"/>
        <w:spacing w:before="0" w:after="240"/>
        <w:jc w:val="both"/>
        <w:rPr>
          <w:rFonts w:ascii="Times New Roman" w:hAnsi="Times New Roman"/>
          <w:sz w:val="20"/>
        </w:rPr>
      </w:pPr>
      <w:r>
        <w:rPr>
          <w:rFonts w:ascii="Times New Roman" w:hAnsi="Times New Roman"/>
          <w:color w:val="000000"/>
          <w:sz w:val="24"/>
        </w:rPr>
        <w:t>(b) Landlord shall provide a security program for the Building (but not individually for Tenant or the Premises), the cost of which program shall be an Operating Expense. Landlord shall not be liable in any manner to Tenant or any other Tenant Parties for any acts (including criminal acts) of others, or for any direct, indirect, or consequential damages, or any injury or damage to, or interference with, Tenant’s business, including, but not limited to, loss of profits, loss of rents or other revenues, loss of business opportunity, loss of goodwill or loss of use, or other loss or damage, bodily injury or death, related to any malfunction, circumvention or other failure of any security program, or for the failure of any security program to prevent bodily injury, death, or property damage, or loss, or to apprehend any person suspected of causing such injury, death, damage or loss.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So long as this Lease is in full force and effect and Tenant has paid all Rent then due, Landlord shall furnish to the Premises replacement lamps, bulbs, ballasts and starters used in any normal Building lighting installed in the Premises, except that if the replacement or repair of such items is a result of negligence of Tenant or Tenant Parties, such cost shall be paid by Tenant within ten (10) business days after written notice from Landlord and shall not be included as part of Operating Expenses.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If Tenant uses heat generating machines or equipment in the Premises to an extent which adversely affects the temperature otherwise maintained by the air-cooling system or whenever the occupancy or electrical load adversely affects the temperature otherwise maintained by the air-cooling system, Landlord reserves the right to install or to require Tenant to install supplementary air-conditioning units in the Premises. Tenant shall bear all costs and expenses related to the installation, maintenance and operation of such units.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Tenant shall pay Landlord at rates fixed by Landlord for all tenants in the Building, charges for all water furnished to the Premises beyond that described in Section 6.1(a)(2), including the expenses of installation of a water line, meter and fixtures.</w:t>
      </w:r>
    </w:p>
    <w:p>
      <w:pPr>
        <w:pStyle w:val="TextBody"/>
        <w:bidi w:val="0"/>
        <w:spacing w:before="0" w:after="240"/>
        <w:jc w:val="both"/>
        <w:rPr>
          <w:rFonts w:ascii="Times New Roman" w:hAnsi="Times New Roman"/>
          <w:sz w:val="20"/>
        </w:rPr>
      </w:pPr>
      <w:r>
        <w:rPr>
          <w:rFonts w:ascii="Times New Roman" w:hAnsi="Times New Roman"/>
          <w:color w:val="000000"/>
          <w:sz w:val="24"/>
        </w:rPr>
        <w:t>(f) On and after the Commencement Date, Landlord agrees that in the event of an interruption of power to the Building, Tenant may connect Tenant loads to the emergency generator serving the Building (the “Emergency Generator”) on the following conditions: (i) Tenant loads to the Emergency Generator shall in no event exceed Tenant’s Share of the kVA capacity of the Emergency Generator Landlord elects to make available for shared use by tenants of the Building; (ii) any use of the Emergency Generator, including the duration of use, shall be subject to the requirements and limitations (if any) imposed by applicable Law; and (iii) in the event of an emergency causing an interruption of power to any portion of the Building, Landlord may, in its reasonable discretion, immediately shed or shut down Tenant loads (an “Emergency Shut Down”) to the extent necessary to redirect the power from the Emergency Generator (“Emergency Generator Power”) to the Building’s emergency/life-safety systems (e.g., elevators, fire-life safety and emergency lighting). To the extent Landlord’s load shedding equipment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23</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accommodates shedding Tenant loads in stages, then Landlord shall use commercially reasonable good-faith efforts to shed Tenant loads in a priority which Tenant has delivered to Landlord in writing. As a condition to Tenant’s right to connect Tenant loads to the Emergency Generator:</w:t>
      </w:r>
    </w:p>
    <w:p>
      <w:pPr>
        <w:pStyle w:val="TextBody"/>
        <w:bidi w:val="0"/>
        <w:spacing w:before="0" w:after="240"/>
        <w:jc w:val="both"/>
        <w:rPr>
          <w:rFonts w:ascii="Times New Roman" w:hAnsi="Times New Roman"/>
          <w:sz w:val="20"/>
        </w:rPr>
      </w:pPr>
      <w:r>
        <w:rPr>
          <w:rFonts w:ascii="Times New Roman" w:hAnsi="Times New Roman"/>
          <w:color w:val="000000"/>
          <w:sz w:val="24"/>
        </w:rPr>
        <w:t>(1) Tenant shall install and maintain, at Tenant’s sole cost and expense, a meter installed on the Emergency Generator which shall be designed and configured to capture all Tenant loads connected to the Emergency Generator (the “EG Meter”). Any and all costs and expenses incurred by Landlord in connection with the Emergency Generator, including, without limitation, provisions for load-shedding and shunt trips, fuel and maintenance/repair/replacement costs, shall be an Operating Expense. As a further condition to Tenant’s use the Emergency Generator Power, Landlord shall have the right to install and maintain a shunt trip device (“Shunt Trip Device”) designed and configured to automatically shut down Tenant’s connection to the Emergency Generator and use of Emergency Generator Power in the event that the generator load for the Building exceeds eighty percent (80%) of the Emergency Generator rating.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Tenant shall provide Landlord and Landlord’s building management staff (the “Building Management Staff”) with access to the EG Meter during Tenant’s normal business hours for the purpose of inspection, and if necessary (in the reasonable opinion of the Building Management Staff or Landlord), to perform maintenance or repairs thereto. In the event that Landlord incurs any cost or expense in connection with the inspection, repair or maintenance of the EG Meter, Tenant shall reimburse Landlord for Landlord’s reasonable and customary out-of-pocket costs and expenses in connection therewith within thirty (30) days after Tenant’s receipt of Landlord’s written demand therefor (which demand shall be accompanied by documentation of the costs and expenses which are the subject of such demand). Landlord shall have the right at any time during the Term to install and maintain additional or separate transfer switches, meters, control devices and shunt trip devices in order to monitor and control Tenant’s connection to the Emergency Generator and use of the Emergency Generator Power.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Notwithstanding anything to the contrary herein, Tenant acknowledges that the Emergency Generator and any transfer switch may be exercised on a periodic basis, such exercise to be conducted by Landlord or the Building Management Staff at Landlord’s reasonable discretion. Tenant further acknowledges that annual maintenance procedures require that the Emergency Generator be taken off-line and that an annual full load test be performed on an annual basis, which test shall be conducted by Landlord or the Building Management Staff at Landlord’s reasonable discretion; provided, however, Landlord shall give Tenant not less than five (5) business days’ prior written notice thereof. Landlord shall comply with such maintenance and testing procedures for the Emergency Generator that are reasonable and customary for comparable multi-tenanted laboratory/research and development properties. Landlord shall not be liable to Tenant, and Tenant shall not be entitled to any abatement of rent or other recourse in the event that Emergency Generator Power is not available for any reason. Landlord’s actual out-of-pocket cost of such exercise and testing shall be included in Operating Expenses.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Upon the expiration or earlier termination of the Term, Tenant shall surrender and assign the EG Meter to Landlord. In no event shall Tenant be entitled to any reimbursement from Landlord for costs incurred by Tenant in connection with Tenant’s installation and maintenance of the EG Meter.</w:t>
      </w:r>
    </w:p>
    <w:p>
      <w:pPr>
        <w:pStyle w:val="TextBody"/>
        <w:bidi w:val="0"/>
        <w:jc w:val="left"/>
        <w:rPr>
          <w:rFonts w:ascii="Times New Roman" w:hAnsi="Times New Roman"/>
          <w:color w:val="000000"/>
          <w:sz w:val="24"/>
        </w:rPr>
      </w:pPr>
      <w:r>
        <w:rPr>
          <w:rFonts w:ascii="Times New Roman" w:hAnsi="Times New Roman"/>
          <w:color w:val="000000"/>
          <w:sz w:val="24"/>
        </w:rPr>
        <w:t>24</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The rights granted to Tenant under this Section 6.1(f) are personal to the Named Tenant hereunder (and any subtenant of all or substantially all of the Premises and any assignee pursuant to a Permitted Transfer) (each an “Approved User”), and shall only be exercisable by an Approved User so long as only one connection exists from the Premises to the Emergency Generator at a time. Any attempt by an Approved User or any of its subtenants or other transferees to make any additional connection from the Premises to the Emergency Generator shall constitute a material breach and default, and Tenant shall reimburse Landlord for all reasonable and customary out-of-pocket costs and expenses incurred by Landlord in connection with curing any such default within ten (10) business days following Tenant’s receipt of Landlord’s demand therefor accompanied by documentation of such costs and expenses.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6.2 </w:t>
      </w:r>
      <w:r>
        <w:rPr>
          <w:rFonts w:ascii="Times New Roman" w:hAnsi="Times New Roman"/>
          <w:caps/>
          <w:color w:val="000000"/>
          <w:sz w:val="24"/>
          <w:u w:val="single"/>
        </w:rPr>
        <w:t>UTILITIES AND JANITORIAL SERVICES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utility services used in the production of heating and cooling and air supply and exhaust from the central HVAC systems serving the Building and Premises, including, without limitation, electricity and gas, as well as water and sewer services, shall constitute Operating Expenses; provided that such utility services shall not be included in Operating Expenses to the extent such utility service serves any single tenant exclusively or are separately metered. All utility services used by Tenant within the Premises, including, without limitation, electricity and gas, shall be paid for by Tenant either through a separate charge or as part of Operating Expenses. Such charges shall be based upon Tenant’s usage beginning as of the Commencement Date, which usage: (a) as to electricity, other than overhead lighting, shall be measured by a separate meter or sub-meter to be installed as part of the Tenant Work, and paid by Tenant within 30 days after billing as additional Rent under this Lease; and (b) as to all other utilities, shall either be reasonably estimated by Landlord and paid by Tenant within 30 days after billing as additional Rent under this Lease or, as of the Commencement Date, included in Operating Expenses. In addition, Tenant shall provide its own janitorial services to the Premises, using a janitorial service reasonably acceptable to Landlord or shall make arrangements with Landlord for Landlord, through Landlord’s vendors, to perform such Premises cleaning services, and shall pay the costs thereof directly to Landlord. Notwithstanding any provision of this Lease to the contrary, Tenant shall not make any alterations or additions to the electric equipment or systems, in each instance, without the prior written approval of Landlord, which approval shall not be unreasonably withheld, conditioned or delayed so long as such alterations or additions (i) do not exceed the capacity of the wiring, feeders and risers and (ii) are in compliance with the City’s building code. Tenant’s use of electric current shall at no time exceed the capacity of the wiring, feeders and risers providing electric current to the Premises or the Building. The consent of Landlord to the installation of electric equipment shall not relieve Tenant from the obligation to limit usage of electricity to no more than such capacity.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6.3 </w:t>
      </w:r>
      <w:r>
        <w:rPr>
          <w:rFonts w:ascii="Times New Roman" w:hAnsi="Times New Roman"/>
          <w:caps/>
          <w:color w:val="000000"/>
          <w:sz w:val="24"/>
          <w:u w:val="single"/>
        </w:rPr>
        <w:t>ADDITIONAL AND AFTER HOUR SERVICES</w:t>
      </w:r>
    </w:p>
    <w:p>
      <w:pPr>
        <w:pStyle w:val="TextBody"/>
        <w:bidi w:val="0"/>
        <w:spacing w:before="0" w:after="240"/>
        <w:jc w:val="both"/>
        <w:rPr>
          <w:rFonts w:ascii="Times New Roman" w:hAnsi="Times New Roman"/>
          <w:sz w:val="20"/>
        </w:rPr>
      </w:pPr>
      <w:r>
        <w:rPr>
          <w:rFonts w:ascii="Times New Roman" w:hAnsi="Times New Roman"/>
          <w:color w:val="000000"/>
          <w:sz w:val="24"/>
        </w:rPr>
        <w:t>At Tenant’s written request, Landlord shall furnish additional quantities of any of the services or utilities specified in Section 6.1, if Landlord can reasonably do so, on the terms set forth herein. For services or utilities requested by Tenant and furnished by Landlord, Tenant shall pay to Landlord as a charge therefor Landlord’s prevailing rates charged from time to time for such services and utilities, as additional Rent under this Lease. If Tenant shall fail to make any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25</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payment, Landlord may, upon notice to Tenant and in addition to Landlord’s other remedies under this Lease, discontinue any or all of such additional services.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6.4 </w:t>
      </w:r>
      <w:r>
        <w:rPr>
          <w:rFonts w:ascii="Times New Roman" w:hAnsi="Times New Roman"/>
          <w:caps/>
          <w:color w:val="000000"/>
          <w:sz w:val="24"/>
          <w:u w:val="single"/>
        </w:rPr>
        <w:t>TELEPHONE SERVICES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telephone and communication connections which Tenant may desire shall be subject to Landlord’s prior written approval which shall not be unreasonably withheld, conditioned, or delayed, and the location of all Cables and the work in connection therewith shall be performed by contractors reasonably approved by Landlord and shall be subject to the direction of Landlord and in compliance with Landlord’s then current Building standards for Cable installation. In the event Landlord designates a particular vendor or vendors to provide such Cable installation, removal, repair and maintenance for the Building, Tenant agrees to abide by and participate in such program at no material additional cost to Tenant. Tenant shall be responsible for and shall pay, as additional Rent under this Lease, all costs incurred in connection with the installation of Cables in the Premises, including any hook-up, access and maintenance fees related to the installation of such Cables in the Premises and the commencement of service therein, and the maintenance thereafter of such Cables; and there shall be included in Operating Expenses for the Building all installation, removal, hook-up or maintenance costs incurred by Landlord in connection with Cables serving the Building which are not allocable to any individual users of such service but are allocable to the Building generally. If Tenant fails to maintain all Cables in the Premises and such failure affects or interferes with the operation or maintenance of any other Cables serving the Building, Landlord or any vendor hired by Landlord may enter into and upon the Premises forthwith and perform such repairs, restorations or alterations as Landlord deems necessary in order to eliminate any such interference (and Landlord may recover from Tenant all of Landlord’s costs in connection therewith). If required by Landlord, no later than the Termination Date Tenant shall remove all Cables installed by Tenant for and during Tenant’s occupancy and surrender the installation in a condition previously approved by Landlord; provided that Tenant shall not have any obligation to remove any cabling existing or other improvements existing in the Premises as of the Commencement Date. Tenant agrees that neither Landlord nor any of its agents or employees shall be liable to Tenant, any Tenant Parties or anyone claiming through, by or under Tenant or any Tenant Parties, for any damages, injuries, losses, expenses, claims or causes of action because of any interruption, diminution, delay or discontinuance at any time for any reason in the furnishing of any telephone or other communication service to the Premises and the Building.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6.5 </w:t>
      </w:r>
      <w:r>
        <w:rPr>
          <w:rFonts w:ascii="Times New Roman" w:hAnsi="Times New Roman"/>
          <w:caps/>
          <w:color w:val="000000"/>
          <w:sz w:val="24"/>
          <w:u w:val="single"/>
        </w:rPr>
        <w:t>DELAYS IN FURNISHING SERVICES</w:t>
      </w:r>
    </w:p>
    <w:p>
      <w:pPr>
        <w:pStyle w:val="TextBody"/>
        <w:bidi w:val="0"/>
        <w:spacing w:before="0" w:after="240"/>
        <w:jc w:val="both"/>
        <w:rPr>
          <w:rFonts w:ascii="Times New Roman" w:hAnsi="Times New Roman"/>
          <w:sz w:val="20"/>
        </w:rPr>
      </w:pPr>
      <w:r>
        <w:rPr>
          <w:rFonts w:ascii="Times New Roman" w:hAnsi="Times New Roman"/>
          <w:color w:val="000000"/>
          <w:sz w:val="24"/>
        </w:rPr>
        <w:t>Tenant agrees that Landlord shall not be in breach of this Lease nor be liable to Tenant for damages or otherwise, for any failure to furnish, or a delay in furnishing, or a change in the quantity or character of any service when such failure, delay or change is occasioned, in whole or in part, by repairs, improvements or mechanical breakdowns, by the act or default of Tenant or other parties or by an event of Force Majeure. No such failure, delay or change shall be deemed to be an eviction or disturbance of Tenant’s use and possession of the Premises, or relieve Tenant from paying Rent or from performing any other obligations of Tenant under this Lease, without any deduction or offset. Failure to any extent to make available, or any slowdown, stoppage, or interruption of, the specified utility services resulting from any cause, including changes in service provider or Landlord’s compliance with any voluntary or similar governmental or business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26</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guidelines now or hereafter published or any requirements now or hereafter established by any governmental agency, board, or bureau having jurisdiction over the operation of the Property, shall not render Landlord liable in any respect for damages to either persons, property, or business, nor be construed as an eviction of Tenant or work an abatement of Rent, nor relieve Tenant of Tenant’s obligations for fulfillment of any covenant or agreement hereof. Should any equipment or machinery furnished by Landlord break down or for any cause cease to function properly, Landlord shall use reasonable diligence to repair same promptly, but Tenant shall have no claim for abatement of Rent or damages on account of any interruption of service occasioned thereby or resulting therefrom. Notwithstanding anything to the contrary set forth in this Lease including, without limitation, this Section 6.5, if any interruption of services continues for five (5) business days or longer and restoration of such services is in the control of Landlord, Monthly Base Rent shall abate on a day-for-day basis commencing on the sixth (6</w:t>
      </w:r>
      <w:r>
        <w:rPr>
          <w:rFonts w:ascii="Times New Roman" w:hAnsi="Times New Roman"/>
          <w:color w:val="000000"/>
          <w:sz w:val="16"/>
        </w:rPr>
        <w:t>th</w:t>
      </w:r>
      <w:r>
        <w:rPr>
          <w:rFonts w:ascii="Times New Roman" w:hAnsi="Times New Roman"/>
          <w:color w:val="000000"/>
          <w:sz w:val="24"/>
        </w:rPr>
        <w:t>) business day after written notice from Tenant to Landlord of such interruption and continuing until restoration of such services is complete. Tenant hereby waives any benefits of any applicable existing or future Law, including the provisions of California Civil Code section 1932(1), permitting the termination of this Lease due to such interruption, failure or inability.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6.6 </w:t>
      </w:r>
      <w:r>
        <w:rPr>
          <w:rFonts w:ascii="Times New Roman" w:hAnsi="Times New Roman"/>
          <w:caps/>
          <w:color w:val="000000"/>
          <w:sz w:val="24"/>
          <w:u w:val="single"/>
        </w:rPr>
        <w:t>CHOICE OF SERVICE PROVIDER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 acknowledges that Landlord may, at Landlord’s reasonable discretion, to the extent permitted by applicable Law, elect to change, from time to time, the company or companies which provide services (including electrical service, gas service, water, telephone and technical services) to the Building, the Premises and/or its occupants. Notwithstanding anything to the contrary set forth in this Lease, Tenant acknowledges that Landlord has not and does not make any representations or warranties concerning the identity or identities of the company or companies which provide services to the Building and the Premises or its occupants, and Tenant acknowledges that the choice of service providers and matters concerning the engagement and termination thereof shall be solely that of Landlord. The foregoing provision is not intended to modify, amend, change or otherwise derogate any provision of this Lease concerning the nature or type of service to be provided or any specific information concerning the amount thereof to be provided. Tenant agrees to cooperate with Landlord and each of its service providers in connection with any change in service or provider.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6.7 </w:t>
      </w:r>
      <w:r>
        <w:rPr>
          <w:rFonts w:ascii="Times New Roman" w:hAnsi="Times New Roman"/>
          <w:caps/>
          <w:color w:val="000000"/>
          <w:sz w:val="24"/>
          <w:u w:val="single"/>
        </w:rPr>
        <w:t>SIGNAGE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Building Standard Sign</w:t>
      </w:r>
      <w:r>
        <w:rPr>
          <w:rFonts w:ascii="Times New Roman" w:hAnsi="Times New Roman"/>
          <w:color w:val="000000"/>
          <w:sz w:val="24"/>
        </w:rPr>
        <w:t>. Initial Building standard signage for Tenant will be installed by Landlord in the directory in the main lobby of the Building and, in the case of any multi-tenant floor, in the listing of tenants in the elevator lobby for the floor on which the Premises is located and at Tenant’s main entry door to the Premises, all at Tenant’s</w:t>
      </w:r>
      <w:r>
        <w:rPr>
          <w:rFonts w:ascii="Times New Roman" w:hAnsi="Times New Roman"/>
          <w:color w:val="000000"/>
          <w:sz w:val="20"/>
        </w:rPr>
        <w:t xml:space="preserve"> </w:t>
      </w:r>
      <w:r>
        <w:rPr>
          <w:rFonts w:ascii="Times New Roman" w:hAnsi="Times New Roman"/>
          <w:color w:val="000000"/>
          <w:sz w:val="24"/>
        </w:rPr>
        <w:t>sole cost and expense. Any change in such initial signage shall be only with Landlord’s prior written consent which shall not be unreasonably withheld, conditioned, or delayed, and shall conform to Building standard signage and shall be at Tenant’s sole cost and expense.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Exterior Signs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i/>
          <w:color w:val="000000"/>
          <w:sz w:val="24"/>
        </w:rPr>
        <w:t>Monument Signage</w:t>
      </w:r>
      <w:r>
        <w:rPr>
          <w:rFonts w:ascii="Times New Roman" w:hAnsi="Times New Roman"/>
          <w:color w:val="000000"/>
          <w:sz w:val="24"/>
        </w:rPr>
        <w:t>. In addition to the signage identified in Section 6.7(a) above, Tenant shall have the non-exclusive right to one sign panel on any available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27</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monument signage for the Building (as applicable, “Tenant’s Monument Sign”). Landlord shall have the right to reasonably approve the plans and specifications for the design and installation of Tenant’s Monument Sign, the identity of any contractor or subcontractor to be employed on the work of installing Tenant’s Monument Sign, and the time for performance of such work. Any and all maintenance and repair relating to Tenant’s Monument Sign shall be the sole responsibility of Tenant. Tenant shall promptly perform such maintenance and repair obligations in a good and workmanlike manner, such that Tenant’s Monument Sign appears and operates at all times in the manner intended at the time it was designed and installed. All costs pertaining to the design, installation, operation, maintenance, repair and removal of Tenant’s Monument Sign or any part thereof shall be paid by Tenant when due. The provisions of this Lease pertaining to mechanic’s liens shall apply to Tenant’s Monument Sign, and the installation of Tenant’s Monument Sign shall otherwise be performed in accordance with the provisions of Section 9.1 below (including, without limitation, compliance with all Laws).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i/>
          <w:color w:val="000000"/>
          <w:sz w:val="24"/>
        </w:rPr>
        <w:t>Exterior Terrace Signage</w:t>
      </w:r>
      <w:r>
        <w:rPr>
          <w:rFonts w:ascii="Times New Roman" w:hAnsi="Times New Roman"/>
          <w:color w:val="000000"/>
          <w:sz w:val="24"/>
        </w:rPr>
        <w:t>. Provided that Tenant leases and occupies not less than two (2) full floors of the Building, then in addition to Tenant’s Monument Sign, Tenant shall, in accordance with Building standard signage program, have the right to install one (1) exterior non-illuminated sign displaying Tenant’s trade name on the exterior of the Building at the third (3</w:t>
      </w:r>
      <w:r>
        <w:rPr>
          <w:rFonts w:ascii="Times New Roman" w:hAnsi="Times New Roman"/>
          <w:color w:val="000000"/>
          <w:sz w:val="16"/>
        </w:rPr>
        <w:t>rd</w:t>
      </w:r>
      <w:r>
        <w:rPr>
          <w:rFonts w:ascii="Times New Roman" w:hAnsi="Times New Roman"/>
          <w:color w:val="000000"/>
          <w:sz w:val="24"/>
        </w:rPr>
        <w:t xml:space="preserve">) floor facing the outdoor terrace (which terrace is depicted on </w:t>
      </w:r>
      <w:r>
        <w:rPr>
          <w:rFonts w:ascii="Times New Roman" w:hAnsi="Times New Roman"/>
          <w:color w:val="000000"/>
          <w:sz w:val="24"/>
          <w:u w:val="single"/>
        </w:rPr>
        <w:t>Exhibit A</w:t>
      </w:r>
      <w:r>
        <w:rPr>
          <w:rFonts w:ascii="Times New Roman" w:hAnsi="Times New Roman"/>
          <w:color w:val="000000"/>
          <w:sz w:val="24"/>
        </w:rPr>
        <w:t>) (“Tenant’s Exterior Sign”). Tenant’s Exterior Sign shall be subject to all the requirements of Section 6.7(b)(i) above. In addition, Tenant’s Exterior Sign shall be subject to the following additional requirements: (A) Landlord and the City shall have the right to approve the plans and specifications for Tenant’s Signs (which plans and specifications shall depict the size, location and appearance of Tenant’s Exterior Sign); (B) in addition to the maintenance and repair obligations of Tenant set forth in Section 8.2 below, any and all maintenance and repair relating to Tenant’s Exterior Sign shall be the sole responsibility of Tenant including, without limitation: (I) ensuring all penetrations of the exterior of the Project related to Tenant’s Exterior Sign remain “watertight/waterproof” meaning that no portions of Tenant’s Exterior Sign cause or permit any water to penetrate or damage any portion of the Project, (II) cleaning Tenant’s Exterior Sign whenever necessary in order to ensure that its appearance complies with the “Class-A” nature of the Project (as determined by Landlord in its reasonable discretion), (III) promptly repairing any cracks in or other damage to the exterior façade of the Project caused by Tenant’s Exterior Sign (as determined by Landlord in its reasonable discretion), (IV) taking any necessary measures to prevent or abate the presence of birds which may congregate on or around Tenant’s Exterior Sign (as determined in Landlord’s reasonable discretion), and (V) making any other repair or maintenance to Project that Landlord reasonably determines necessary due to the installation, existence, or removal of Tenant’s Exterior Sign; and (C) Tenant shall, prior to the expiration or earlier termination of this Lease, and at Tenant’s sole cost and expense, remove Tenant’s Exterior Sign and restore any portion(s) of the Building or Project impacted by Tenant’s Exterior Sign (as determined by Landlord in its reasonable discretion) to the condition of such portion(s) of the Building or Project which existed prior to the installation of Tenant’s Exterior Sign, and if any patching of holes or other cosmetic blemishes relating to Tenant’s Exterior Sign are visible in the reasonable opinion of Landlord (including, without limitation, discoloration of the exterior façade materials of the Building) following such removal by Tenant, Landlord may require that the underlying façade materials be replaced with new materials consistent in color, appearance and texture to the original façade materials, at Tenant’s sole cost and expense. Landlord shall have no obligation to Tenant with respect to the adequacy or condition of the Building or the Project for the purposes of Tenant’s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28</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Exterior Sign, and Landlord has not made any warranty or representation of any kind to Tenant regarding the condition of the Building or the Project for Tenant’s Exterior Sign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Notwithstanding anything to the contrary contained in this Lease, Landlord shall have the right, but not the obligation, to perform any of the obligations of Tenant set forth in this Section 6.7(b) on Tenant’s behalf, if, after ten (10) days following the delivery of written notice to Tenant of the necessity of any work or obligation set forth herein, Tenant has not caused the commencement of such work or fulfillment of such obligation (or if the completion of such work or fulfillment of such obligation has commenced but ceases to be diligently pursued by Tenant). Tenant shall promptly pay all of Landlord’s costs and expenses related to any such work plus an administration fee of fifteen percent (15%) of such costs and expenses for Landlord’s supervision and coordination of such work. Tenant shall pay such costs and expenses to Landlord within fifteen (15) days after the receipt of reasonably detailed invoice therefor from Landlord, together with reasonable evidence of the amounts incurred and paid by Landlord for such purposes. Such costs and fee shall constitute a part of the Rent due under this Lease and shall be in addition to all other Rent, and Landlord shall have the same rights and remedies with respect to any failure to pay them as herein required which Landlord would have with respect to any other failure to pay Rent when due.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Notwithstanding anything to the contrary contained herein, Tenant’s rights under this Section 6.7(b) are personal to the Named Tenant and shall not be assigned or assignable, in whole or in part, to any third party. Any assignment or other transfer of such rights by Named Tenant shall be void and of no force or effect. Without limiting the generality of the foregoing, no sublessee of the Premises shall be permitted to exercise the rights granted to Named Tenant under this Section 6.7(b).</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7</w:t>
      </w:r>
      <w:r>
        <w:rPr>
          <w:rFonts w:ascii="Times New Roman" w:hAnsi="Times New Roman"/>
          <w:color w:val="000000"/>
          <w:sz w:val="24"/>
          <w:u w:val="single"/>
        </w:rPr>
        <w:br/>
        <w:t>USE OF PREMISES; LANDLORD’S ACCESS RIGHTS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7.1 </w:t>
      </w:r>
      <w:r>
        <w:rPr>
          <w:rFonts w:ascii="Times New Roman" w:hAnsi="Times New Roman"/>
          <w:caps/>
          <w:color w:val="000000"/>
          <w:sz w:val="24"/>
          <w:u w:val="single"/>
        </w:rPr>
        <w:t>USE OF PREMISES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Tenant shall occupy and use the Premises only for the uses specified in Section 1.1 to conduct Tenant’s business. Tenant shall not occupy or use the Premises (or permit the use or occupancy of the Premises) for any purpose or in any manner which: (1) is unlawful or in violation of any Law or Hazardous Materials Law; (2) may be dangerous to persons or property or which may increase the cost of, or invalidate, any policy of insurance carried on the Building or covering its operations; (3) is contrary to or prohibited by the terms and conditions of this Lease or the rules of the Building set forth in Article 18; (4) would reasonably be expected to create or continue a nuisance; or (5) in any manner that will cause the Building or any part thereof not to conform with the Project’s Sustainability Practices or the certification of the Building’s core and shell issued pursuant to the applicable Green Building Standards.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Landlord shall provide Tenant access to the Premises 24 hours per day, 7 days per week and 365/366 days per year through access card keys, the cost of which shall be paid by Tenant within thirty (30) days of Landlord’s demand therefor, and Tenant shall place a deposit for such cards with Landlord to cover lost cards or cards which are not returned at the end of the Term.</w:t>
      </w:r>
    </w:p>
    <w:p>
      <w:pPr>
        <w:pStyle w:val="TextBody"/>
        <w:bidi w:val="0"/>
        <w:jc w:val="left"/>
        <w:rPr>
          <w:rFonts w:ascii="Times New Roman" w:hAnsi="Times New Roman"/>
          <w:color w:val="000000"/>
          <w:sz w:val="24"/>
        </w:rPr>
      </w:pPr>
      <w:r>
        <w:rPr>
          <w:rFonts w:ascii="Times New Roman" w:hAnsi="Times New Roman"/>
          <w:color w:val="000000"/>
          <w:sz w:val="24"/>
        </w:rPr>
        <w:t>29</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Landlord and Tenant acknowledge that the Americans With Disabilities Act of 1990 (42 U.S.C. §12101 et seq.) and regulations and guidelines promulgated thereunder, as all of the same may be amended and supplemented from time to time (collectively referred to herein as the “ADA”) establish requirements for business operations, accessibility and barrier removal, and that such requirements may or may not apply to the Premises, the Building and the Project depending on, among other things: (1) whether Tenant’s business is deemed a “public accommodation” or “commercial facility”, (2) whether such requirements are “readily achievable”, and (3) whether a given alteration affects a “primary function area” or triggers “path of travel” requirements. The parties hereby agree that: (a) Landlord shall be responsible for ADA Title III compliance in the Common Areas and for all violations of ADA existing with respect to the Premises as of, and prior to, the Commencement Date, except as provided below, (b) Tenant shall be responsible for ADA Title III compliance in the Premises, including any Leasehold Improvements installed by Tenant or other work to be performed in the Premises for or by Tenant under or in connection with this Lease, (c) Landlord may perform, or require that Tenant perform, and Tenant shall be responsible for the cost of, ADA Title III “path of travel” requirements triggered by Tenant Alterations in the Premises, and (d) Landlord may perform, or require Tenant to perform, and Tenant shall be responsible for the cost of, ADA Title III compliance in the Common Areas necessitated by the Building being deemed to be a “public accommodation” instead of a “commercial facility” as a result of Tenant’s use of the Premises. Tenant shall be solely responsible for requirements under Title I of the ADA relating to Tenant’s employees.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Landlord and Tenant agree to cooperate and use commercially reasonable efforts to participate in traffic management programs generally applicable to businesses located in or about the area and Tenant shall encourage and support van, shuttle service, and carpooling by, and staggered and flexible working hours for, its office workers and service employees to the extent reasonably permitted by the requirements of Tenant’s business. Neither this Section or any other provision of this Lease is intended to or shall create any rights or benefits in any other person, firm, company, governmental entity or the public.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Tenant agrees, at no material cost to Tenant, to cooperate with Landlord and to comply with any and all guidelines or controls concerning energy management and usage disclosure imposed upon Landlord by federal or state governmental organizations or by any energy conservation association to which Landlord is a party or which is applicable to the Building, including, without limitation, the requirements of California’s Nonresidential Building Energy Use Disclosure Program, as more particularly specified in California Public Resources Code Sections 25402.10 et seq. and regulations adopted pursuant thereto. Further, Tenant hereby authorizes (and agrees that Landlord shall have the authority to authorize) any electric or gas utility company providing service to the Building to disclose from time to time so much of the data collected and maintained by it regarding Tenant’s energy consumption data as may be necessary to cause the Building to participate in the ENERGY STAR® Portfolio Manager system and similar programs; and Tenant further authorizes Landlord to disclose information concerning energy use by Tenant, either individually or in combination with the energy use of other tenants, as applicable as Landlord determines to be necessary to comply with applicable Laws pertaining to the Building or Landlord’s ownership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Hazardous Materials</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30</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Definitions. The following terms shall have the following meanings for purposes of this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“Biohazardous Materials” means any and all substances and materials defined or referred to as “medical waste,” “biological waste,” “biohazardous waste,” “biohazardous material” or any other term of similar import under any Hazardous Materials Laws, including (but not limited to) California Health &amp; Safety Code Sections 25105 et seq., and any regulations promulgated thereunder, as amended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“Chemical Control Area Plan” means that certain plan for the use and storage of Hazardous Materials in the Building created by Landlord and approved by the City.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“Environmental Condition” means the Release of any Hazardous Materials in, over, on, under, through, from or about the Project (including, but not limited to, the Premises).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“Environmental Damages” means all claims, suits, judgments, damages, losses, penalties, fines, liabilities, encumbrances, liens, costs and expenses of whatever kind or nature, contingent or otherwise, matured or unmatured, foreseeable or unforeseeable, arising out of or in connection with any Environmental Condition, including, to the extent arising out of an Environmental Condition, without limitation: (A) damages for personal injury, or for injury or damage to the Project or natural resources occurring on or off the Project, including without limitation (1) any claims brought by or on behalf of any person, (2) any loss of, lost use of, damage to or diminution in value of any Project or natural resource, and (3) costs of any investigation, remediation, removal, abatement, containment, closure, restoration or monitoring work required by any federal, state or local governmental agency or political subdivision, or otherwise reasonably necessary to protect the public health or safety, whether on or off the Project; (B) reasonable fees incurred for the services of attorneys, consultants, contractors, experts and laboratories in connection with the preparation of any feasibility studies, investigations or reports or the performance of any work described above; (C) any liability to any third person or governmental agency to indemnify such person or agency for costs expended or liabilities incurred in connection with any items described in clause (A) or (B) above; (D) any fair market or fair market rental value of the Project; and (E) the amount of any penalties, damages or costs a party is required to pay or incur in excess of that which the party otherwise would reasonably have expected to pay or incur absent the existence of the applicable Environmental Condition.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“Handling” or </w:t>
      </w:r>
      <w:r>
        <w:rPr>
          <w:rFonts w:ascii="Times New Roman" w:hAnsi="Times New Roman"/>
          <w:color w:val="000000"/>
          <w:sz w:val="20"/>
        </w:rPr>
        <w:t>“</w:t>
      </w:r>
      <w:r>
        <w:rPr>
          <w:rFonts w:ascii="Times New Roman" w:hAnsi="Times New Roman"/>
          <w:color w:val="000000"/>
          <w:sz w:val="24"/>
        </w:rPr>
        <w:t>Handles”, when used with reference to any substance or material, includes (but is not limited to) any receipt, storage, use, generation, Release, transportation, treatment or disposal of such substance or material.</w:t>
      </w:r>
    </w:p>
    <w:p>
      <w:pPr>
        <w:pStyle w:val="TextBody"/>
        <w:bidi w:val="0"/>
        <w:spacing w:before="0" w:after="240"/>
        <w:jc w:val="both"/>
        <w:rPr>
          <w:rFonts w:ascii="Times New Roman" w:hAnsi="Times New Roman"/>
          <w:sz w:val="20"/>
        </w:rPr>
      </w:pPr>
      <w:r>
        <w:rPr>
          <w:rFonts w:ascii="Times New Roman" w:hAnsi="Times New Roman"/>
          <w:color w:val="000000"/>
          <w:sz w:val="24"/>
        </w:rPr>
        <w:t>(vi) “Hazardous Materials” means any and all chemical, explosive, biohazardous, radioactive or otherwise toxic or hazardous materials or hazardous wastes, including without limitation any asbestos-containing materials, PCB’s, CFCs, petroleum and derivatives thereof, Radioactive Materials, Biohazardous Materials, Hazardous Wastes, any other substances defined or listed as or meeting the characteristics of a hazardous substance, hazardous material, Hazardous Waste, toxic substance, toxic waste, biohazardous material, biohazardous waste, biological waste, medical waste, radiation, radioactive substance, radioactive waste, or other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31</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similar term, as applicable, under any law, statute, ordinance, code, rule, regulation, directive, order, condition or other written requirement enacted, promulgated or issued by any public officer or governmental or quasi-governmental authority, whether now in force or hereafter in force at any time or from time to time to protect the environment or human health, and/or any mixed materials, substances or wastes containing more than one of the foregoing categories of materials, substances or wastes.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“Hazardous Materials Laws” means, collectively, (A) the Comprehensive Environmental Response, Compensation and Liability Act of 1980, 42 U.S.C. Sections 9601-9657, (B) the Hazardous Materials Transportation Act of 1975, 49 U.S.C. Sections 1801-1812, (C) the Resource Conservation and Recovery Act of 1976, 42 U.S.C. Sections 6901-6987 (together with any amendments thereto, any regulations thereunder and any amendments to any such regulations as in effect from time to time, “RCRA”), (D) the California Carpenter-Presley-Tanner Hazardous Substance Account Act, California Health &amp; Safety Code Sections 25300 et seq., (E) the Hazardous Materials Release Response Plans and Inventory Act, California Health &amp; Safety Code Sections 25500 et seq., (F) the California Hazardous Waste Control Law, California Health &amp; Safety Code Sections 25100 et seq. (together with any amendments thereto, any regulations thereunder and any amendments to any such regulations as in effect from time to time, the “CHWCL”), (G) California Health &amp; Safety Code Sections 25015-25027.8, (H) any amendments to or successor statutes to any of the foregoing, as adopted or enacted from time to time, (I) any regulations or amendments thereto promulgated pursuant to any of the foregoing from time to time, (J) any Laws relating to Biohazardous Materials, including (but not limited to) any regulations or requirements with respect to the shipping, use, decontamination and disposal thereof, and (K) any other Law now or at any time hereafter in effect regulating, relating to or imposing liability or standards of conduct concerning any Hazardous Materials, including (but not limited to) any requirements or conditions imposed pursuant to the terms of any orders, permits, licenses, registrations or operating plans issued or approved by any governmental or quasi-governmental authority from time to time either on a Project-wide basis or in connection with any Handling of Hazardous Materials in, on or about the Premises or the Project.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“Hazardous Wastes” means (A) any waste listed as or meeting the identified characteristics of a “hazardous waste” or terms of similar import under RCRA, (B) any waste meeting the identified characteristics of a “hazardous waste”, “extremely hazardous waste” or “restricted hazardous waste” under the CHWCL, and/or (C) any and all other substances and materials defined or referred to as a “hazardous waste” or other term of similar import under any Hazardous Materials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 “Landlord’s Contamination” means any Hazardous Materials which exist in, on, under or in the vicinity of the Project as of the date of this Lease or which migrate onto or beneath the Project after termination of this Lease. Tenant shall not be required to pay any costs with respect to the remediation or abatement of Landlord’s Contamination.</w:t>
      </w:r>
    </w:p>
    <w:p>
      <w:pPr>
        <w:pStyle w:val="TextBody"/>
        <w:bidi w:val="0"/>
        <w:spacing w:before="0" w:after="240"/>
        <w:jc w:val="both"/>
        <w:rPr>
          <w:rFonts w:ascii="Times New Roman" w:hAnsi="Times New Roman"/>
          <w:sz w:val="20"/>
        </w:rPr>
      </w:pPr>
      <w:r>
        <w:rPr>
          <w:rFonts w:ascii="Times New Roman" w:hAnsi="Times New Roman"/>
          <w:color w:val="000000"/>
          <w:sz w:val="24"/>
        </w:rPr>
        <w:t>(x) “Radioactive Materials” means (A) any and all substances and materials the Handling of which requires an approval, consent, permit or license from the Nuclear Regulatory Commission, (B) any and all substances and materials the Handling of which requires a Radioactive Material License or other similar approval, consent, permit or license from the State of California, and (C) any and all other substances and materials defined or referred to as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32</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color w:val="000000"/>
        </w:rPr>
      </w:pPr>
      <w:r>
        <w:rPr>
          <w:color w:val="000000"/>
        </w:rPr>
        <w:t>“</w:t>
      </w:r>
      <w:r>
        <w:rPr>
          <w:rFonts w:ascii="Times New Roman" w:hAnsi="Times New Roman"/>
          <w:color w:val="000000"/>
          <w:sz w:val="24"/>
        </w:rPr>
        <w:t>radiation,” a “radioactive material” or “radioactive waste,” or any other term of similar import under any Hazardous Materials Laws, including (but not limited to) Title 26, California Code of Regulations Section 17-30100, and any statutes, regulations or other laws administered, enforced or promulgated by the Nuclear Regulatory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 “Release” means any accidental or intentional spilling, leaking, pumping, pouring, emitting, discharging, injecting, escaping, leaching, migrating, dumping or disposing into the air, land, surface water, groundwater or the environment (including without limitation the abandonment or discarding of receptacles containing any Hazardous Materials).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 “Tenant’s Contamination” means any Hazardous Material Release on or about the Property by Tenant and/or any agents, employees, contractors, vendors, suppliers, licensees, subtenants, and invitees of Tenant (individually, a “Tenant Party” and collectively, “Tenant Parties”).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Handling of Hazardous Materials</w:t>
      </w:r>
      <w:r>
        <w:rPr>
          <w:rFonts w:ascii="Times New Roman" w:hAnsi="Times New Roman"/>
          <w:color w:val="000000"/>
          <w:sz w:val="24"/>
        </w:rPr>
        <w:t>. The parties acknowledge that Tenant wishes and intends to use all or a portion of the Premises as a research and development facility in conformance with the conduct by Tenant of its business in accordance with the use specified in Section 1.1, that such use, as conducted or proposed to be conducted by Tenant, would customarily include the Handling of Hazardous Materials, and that Tenant shall therefore be permitted to engage in the Handling in the Premises of necessary and reasonable quantities of Hazardous Materials customarily used in or incidental to the operation of a bio-pharmaceutical research, development preparation and/or dispensing facility in conformance with business operations of Tenant in the manner conducted or proposed to be conducted by Tenant hereunder (“Permitted Hazardous Materials”), provided that the Handling of such Permitted Hazardous Materials by all Tenant Parties shall at all times comply with and be subject to all provisions of this Lease and all Laws, including all Hazardous Materials Laws, and with Landlord’s Chemical Control Area Plan, if any, for the Building. Without limiting the generality of the foregoing, Tenant shall comply at all times with all Hazardous Materials Laws applicable to any aspect of Tenant’s use of the Premises and the Project and of Tenant’s operations and activities in, on and about the Premises and the Project, and shall ensure at all times that Tenant’s Handling of Hazardous Materials in, on and about the Premises does not violate (x) the terms of any governmental licenses or permits applicable to the Building or Premises or to Tenant’s Handling of any Hazardous Materials therein, or (y) any applicable requirements or restrictions relating to the occupancy classification of the Building and the Premises.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Disposition or Emission of Hazardous Materials</w:t>
      </w:r>
      <w:r>
        <w:rPr>
          <w:rFonts w:ascii="Times New Roman" w:hAnsi="Times New Roman"/>
          <w:color w:val="000000"/>
          <w:sz w:val="24"/>
        </w:rPr>
        <w:t>. Tenant shall not Release or dispose of any Hazardous Materials, except to the extent authorized by permit, at the Premises or on the Project, but instead shall arrange for off-site disposal, under Tenant’s own name and EPA waste generator number (or other similar identifying information issued or prescribed by any other governmental authority with respect to Radioactive Materials, Biohazardous Materials or any other Hazardous Materials) and at Tenant’s sole expense, in compliance with all applicable Hazardous Materials Laws, with the Laboratory Rules and Regulations (defined below) and with all other applicable Laws and regulatory requirements. Nothing in this Lease shall prevent Tenant from using cleaning solvents and office products customarily used in an office and/or laboratory setting so long as used and stored in accordance with applicable Hazardous Materials Laws.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33</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Information Regarding Hazardous Materials</w:t>
      </w:r>
      <w:r>
        <w:rPr>
          <w:rFonts w:ascii="Times New Roman" w:hAnsi="Times New Roman"/>
          <w:color w:val="000000"/>
          <w:sz w:val="24"/>
        </w:rPr>
        <w:t>. Tenant shall maintain and make available to Landlord the following information and/or documentation upon demand: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An inventory of all Hazardous Materials that Tenant receives, uses, handles, generates, transports, stores, treats or disposes of from time to time, or at the time of preparation of such inventory proposes or expects to use, handle, generate, transport, store, treat or dispose of from time to time, in connection with its operations at the Premises. Such inventory shall include, but shall separately identify, any Hazardous Wastes, Biohazardous Materials and Radioactive Materials covered by the foregoing description. If such inventory includes any Biohazardous Materials, Tenant shall also disclose in writing to Landlord the Biosafety Level designation associated with the use of such materials.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Copies of all then existing permits, licenses, registrations and other similar documents issued by any governmental or quasi-governmental authority that authorize any Handling of Hazardous Materials in, on or about the Premises or the Project by any Tenant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All Material Safety Data Sheets (“MSDSs”), if any, required to be completed with respect to operations of Tenant at the Premises from time to time in accordance with Title 26, California Code of Regulations Section 8-5194 or 42 U.S.C. Section 11021, or any amendments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All hazardous waste manifests (as defined in Title 26, California Code of Regulations Section 22-66481), if any, that Tenant is required to complete from time to time in connection with its operations at the Premises.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A copy of any “Hazardous Materials Business Plan” required from time to time with respect to Tenant’s operations at the Premises pursuant to California Health &amp; Safety Code Sections 25500 et seq., and any regulations promulgated thereunder, as amended from time to time, or in connection with Tenant’s application for a business license from the City. If applicable Law does not require Tenant to prepare a Hazardous Materials Business Plan, Tenant shall furnish to Landlord at the times and in the manner set forth above the information that would customarily be contained in a Hazardous Materials Business Plan, including (but not limited to) information regarding Tenant’s Hazardous Materials inventories. The parties acknowledge that a Hazardous Materials Business Plan would ordinarily include an emergency response plan, and that regardless of whether applicable Law requires Tenant or other tenants in the Building to prepare Hazardous Materials Business Plans, Landlord in its discretion may elect to prepare a coordinated emergency response plan for the entire Building and/or for multiple Buildings on the Project (if and to the extent applicable).</w:t>
      </w:r>
    </w:p>
    <w:p>
      <w:pPr>
        <w:pStyle w:val="TextBody"/>
        <w:bidi w:val="0"/>
        <w:spacing w:before="0" w:after="240"/>
        <w:jc w:val="both"/>
        <w:rPr>
          <w:rFonts w:ascii="Times New Roman" w:hAnsi="Times New Roman"/>
          <w:sz w:val="20"/>
        </w:rPr>
      </w:pPr>
      <w:r>
        <w:rPr>
          <w:rFonts w:ascii="Times New Roman" w:hAnsi="Times New Roman"/>
          <w:color w:val="000000"/>
          <w:sz w:val="24"/>
        </w:rPr>
        <w:t>(vi) Any “Contingency Plans and Emergency Procedures” required of Tenant from time to time, in connection with its operations at the Premises, pursuant to applicable Law, Title 26, California Code of Regulations Sections 22-67140 et seq., and any amendments thereto, and any “Training Programs and Records” required under Title 26, California Code of Regulations Section 22-66493, and any amendments thereto from time to time. Landlord in its discretion may elect to prepare a Contingency Plan and Emergency Procedures for the entire Building and/or for multiple buildings on the Project, in which event, if applicable Law does not require Tenant to prepare a Contingency Plan and Emergency Procedures for its operations at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34</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Premises, Tenant shall furnish to Landlord at the times and in the manner set forth above the information that would customarily be contained in a Contingency Plan and Emergency Procedures.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Copies of any biennial or other periodic reports furnished or required to be furnished to the California Department of Health Services from time to time, under applicable law, pursuant to Title 26, California Code of Regulations Section 22-66493 and any amendments thereto, relating to any Hazardous Materials.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Copies of any industrial wastewater discharge permits issued to or held by Tenant from time to time in connection with its operations at the Premises (the parties presently anticipate, however, that because of the existence of the Building Discharge Permit in Landlord’s name as described above. Tenant will not be required to maintain a separate, individual discharge permit).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 Copies of any other lists, reports, studies, or inventories of Hazardous Materials or of any subcategories of materials included in Hazardous Materials that Tenant is otherwise required to prepare and file from time to time with any governmental or quasi-governmental authority in connection with Tenant’s operations at the Premises, including (but not limited to) reports filed by Tenant with the federal Food &amp; Drug Administration or any other regulatory authorities primarily in connection with the presence (or lack thereof) of any “select agents” or other Biohazardous Materials on the Premises, together with proof of filing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Any other information reasonably requested by Landlord in writing from time to time in connection with (A) Landlord’s monitoring (in Landlord’s reasonable discretion) and enforcement of Tenant’s obligations under this Section and of compliance with applicable Laws in connection with any Handling or Release of Hazardous Materials in the Premises or Building or on or about the Project by any Tenant Party, (B) any inspections or enforcement actions by any governmental authority pursuant to any Hazardous Materials Laws or any other Laws relating to the presence or Handling of Hazardous Materials in the Premises or Building or on or about the Project by any Tenant Party, and/or (C) Landlord’s preparation (in Landlord’s discretion) and enforcement of any reasonable rules and procedures relating to the presence or Handling by Tenant or any Tenant Party of Hazardous Materials in the Premises or Building or on or about the Project, including (but not limited to) any contingency plans or emergency response plans as described above. Except as otherwise required by Law, Landlord shall keep confidential any information supplied to Landlord by Tenant pursuant to the foregoing, provided, however, that the foregoing shall not apply to any information filed with any governmental authority or available to the public at large. Landlord may provide such information to its lenders, consultants or investors provided such entities agree to keep such information confidential.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Indemnification; Notice of Release</w:t>
      </w:r>
      <w:r>
        <w:rPr>
          <w:rFonts w:ascii="Times New Roman" w:hAnsi="Times New Roman"/>
          <w:color w:val="000000"/>
          <w:sz w:val="24"/>
        </w:rPr>
        <w:t>. Tenant shall be responsible for and shall indemnify, defend and hold Landlord harmless from and against all Environmental Damages to the extent arising out of or otherwise relating to, (i) any Handling of Hazardous Materials by any Tenant Party in, on or about the Premises or the Project in violation of this Section, (ii) any breach of Tenant’s obligations under this Section or of any Hazardous Materials Laws by any Tenant Party, or (iii) the existence of any Tenant’s Contamination in, on or about the Premises or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35</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Project to the extent caused by any Tenant Party, including without limitation any removal, cleanup or restoration work and materials necessary to return the Project or any improvements of whatever nature located on the Project to the condition existing prior to the Handling of Hazardous Materials in, on or about the Premises or the Project by any Tenant Party. In the event of any Tenant’s Contamination in, on or about the Premises or any other portion of the Project or any adjacent lands, Tenant shall promptly remedy the problem in accordance with all applicable Hazardous Materials Laws, shall give Landlord oral notice of any such non-standard or non-customary Release promptly after Tenant becomes aware of such Release, followed by written notice to Landlord within five (5) business days after Tenant becomes aware of such Release, and shall furnish Landlord with concurrent copies of any and all notices, reports and other written materials filed by any Tenant Party with any governmental authority in connection with such Release. Tenant shall have no obligation to remedy any Hazardous Materials contamination which was not caused or released by a Tenant Party. Under no circumstance shall Tenant be liable for any losses, costs, claims, liabilities and damages (including attorneys’ and consultants’ fees) arising out of any Hazardous Materials that exist in, on or about the Project as of the date hereof, or Hazardous Material Released by Landlord or any other tenants of the Building. Landlord will provide Tenant with any Hazardous Material reports relating to the Premises that Landlord has in its immediate possession. The provision of such reports shall be for informational purposes only, and Landlord does not make any representation or warranty as to the correctness or completeness of any such reports.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Governmental Notices</w:t>
      </w:r>
      <w:r>
        <w:rPr>
          <w:rFonts w:ascii="Times New Roman" w:hAnsi="Times New Roman"/>
          <w:color w:val="000000"/>
          <w:sz w:val="24"/>
        </w:rPr>
        <w:t>. Tenant shall promptly provide Landlord with copies of all written notices received by Tenant relating to any actual or alleged presence or Handling by any Tenant Party of Hazardous Materials in, on or about the Premises or any other portion of the Project, including, without limitation, any notice of violation, notice of responsibility or demand for action from any federal, state or local governmental authority or official in connection with any actual or alleged presence or Handling by any Tenant Party of Hazardous Materials in or about the Premises or any other portion of the Project.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Inspection by Landlord</w:t>
      </w:r>
      <w:r>
        <w:rPr>
          <w:rFonts w:ascii="Times New Roman" w:hAnsi="Times New Roman"/>
          <w:color w:val="000000"/>
          <w:sz w:val="24"/>
        </w:rPr>
        <w:t>. In addition to, and not in limitation of, Landlord’s rights under this Lease, upon reasonable prior written request by Landlord, Tenant shall grant Landlord and its consultants, as well as any governmental authorities having jurisdiction over the Premises or over any aspect of Tenant’s use thereof, reasonable access to the Premises on at least 48 hours’ prior notice and during Tenant’s normal business hours to inspect Tenant’s Handling of Hazardous Materials in, on and about the Premises, and Landlord shall not thereby incur any liability to Tenant or be deemed guilty of any disturbance of Tenant’s use or possession of the Premises by reason of such entry; provided, however, that Landlord shall use reasonable efforts to minimize interference with Tenant’s use of the Premises caused by such entry and, if requested by Tenant, Landlord shall be accompanied by a representative of Tenant during all such access. Landlord shall comply with any security precaution reasonably imposed by Tenant during any entry onto the Premises and shall minimize to the extent reasonably possible any interference with Tenant’s use of the Premises caused by such entry. Notwithstanding Landlord’s rights of inspection and review of documents, materials and physical conditions under this Section with respect to Tenant’s Handling of Hazardous Materials, Landlord shall have no duty or obligation to perform any such inspection or review or to monitor in any way any documents, materials, physical conditions or compliance with Laws in connection with Tenant’s Handling of Hazardous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36</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Materials, and no third Party shall be entitled to rely on Landlord to conduct any such inspection, review or monitoring by reason of the provisions of this Section.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Monitoring by Landlord</w:t>
      </w:r>
      <w:r>
        <w:rPr>
          <w:rFonts w:ascii="Times New Roman" w:hAnsi="Times New Roman"/>
          <w:color w:val="000000"/>
          <w:sz w:val="24"/>
        </w:rPr>
        <w:t>. Landlord reserves the right to monitor, in Landlord’s reasonable discretion and at Landlord’s cost, the reasonable cost of which shall be recoverable as an Operating Expense (except in the case of a breach of any of Tenant’s obligations under this Section, in which event such monitoring costs may be charged back entirely to Tenant and shall be reimbursed by Tenant to Landlord within thirty (30) days after written demand by Landlord from time to time, accompanied by supporting documentation reasonably evidencing the costs for which such reimbursement is claimed), at such times and from time to time as Landlord in its reasonable discretion may determine, through consultants engaged by Landlord or otherwise as Landlord in its reasonable discretion may determine: (x) all aqueous and atmospheric discharges and emissions from the Premises during the Term by a Tenant Party, (y) Tenant’s compliance and the collective compliance of all tenants in the Building with requirements and restrictions relating to the occupancy classification of the Building (including, but not limited to, Hazardous Materials inventory levels of Tenant and all other tenants in the Building), and (z) Tenant’s compliance with all other requirements of this Section.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Discovery of Discharge</w:t>
      </w:r>
      <w:r>
        <w:rPr>
          <w:rFonts w:ascii="Times New Roman" w:hAnsi="Times New Roman"/>
          <w:color w:val="000000"/>
          <w:sz w:val="24"/>
        </w:rPr>
        <w:t>. If Landlord, Tenant or any governmental or quasi-governmental authority discovers any Release from the Premises during the Term by a Tenant Party in violation of this Section that, in Landlord’s reasonable determination, jeopardizes the ability of the Building or the Project to meet applicable Laws or otherwise adversely affects the Building’s or the Project’s compliance with applicable discharge or emission standards, or if Landlord discovers any other breach of Tenant’s obligations under this Section, then upon receipt of written notice from Landlord or at such earlier time as Tenant obtains actual knowledge of the applicable discharge, emission or breach, Tenant at its sole expense shall within a reasonable time (x) in the case of a Release in violation of this Lease, cease the applicable discharge or emission and remediate any continuing effects of the discharge or emission until such time, if any, as Tenant demonstrates to Landlord’s reasonable satisfaction that the applicable discharge or emission is in compliance with all applicable Laws and any other applicable regulatory commitments and obligations to the satisfaction of the appropriate governmental agency with jurisdiction over the Release, and (y) in the case of any other breach of Tenant’s obligations under this Section, take such corrective measures as Landlord may reasonably request in writing in order to cure or eliminate the breach as promptly as practicable and to remediate any continuing effects of the breach.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Post-Occupancy Study</w:t>
      </w:r>
      <w:r>
        <w:rPr>
          <w:rFonts w:ascii="Times New Roman" w:hAnsi="Times New Roman"/>
          <w:color w:val="000000"/>
          <w:sz w:val="24"/>
        </w:rPr>
        <w:t>. No later than thirty (30) days following the Termination Date, Tenant at its sole cost and expense, shall obtain and deliver to Landlord an environmental study, performed by an expert reasonably satisfactory to Landlord, evaluating, the presence or absence of any Tenant’s Contamination in, on and about the Premises and the Project. Such study shall be based on a reasonable and prudent level of tests and investigations of the Premises and surrounding portions of the Project (if appropriate) which tests shall be conducted no earlier than twenty (20) days prior to the Termination Date. Liability for any remedial actions required or recommended on the basis of such study shall be allocated in accordance with the applicable provisions of this Lease. To the extent any such remedial actions are the responsibility of Tenant, Tenant at its sole expense shall promptly commence and diligently pursue to completion the required remedial actions.</w:t>
      </w:r>
    </w:p>
    <w:p>
      <w:pPr>
        <w:pStyle w:val="TextBody"/>
        <w:bidi w:val="0"/>
        <w:jc w:val="left"/>
        <w:rPr>
          <w:rFonts w:ascii="Times New Roman" w:hAnsi="Times New Roman"/>
          <w:color w:val="000000"/>
          <w:sz w:val="24"/>
        </w:rPr>
      </w:pPr>
      <w:r>
        <w:rPr>
          <w:rFonts w:ascii="Times New Roman" w:hAnsi="Times New Roman"/>
          <w:color w:val="000000"/>
          <w:sz w:val="24"/>
        </w:rPr>
        <w:t>37</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Emergency Response Plans</w:t>
      </w:r>
      <w:r>
        <w:rPr>
          <w:rFonts w:ascii="Times New Roman" w:hAnsi="Times New Roman"/>
          <w:color w:val="000000"/>
          <w:sz w:val="24"/>
        </w:rPr>
        <w:t>. If Landlord in its reasonable discretion adopts any emergency response plan and/or any Contingency Plan and Emergency Procedures for the Building (or for multiple buildings on the Project if and to the extent applicable) as contemplated above, Landlord shall provide copies of any such plans and procedures to Tenant and, so long as such plans and procedures are reasonable, Tenant shall comply with all of the requirements of such plans and procedures to the extent applicable to Tenant and/or the Premises. If Landlord elects to adopt or materially modify any such plans or procedures that apply to the Building during the Term, Landlord shall consult with Tenant and Tenant shall cooperate, in the preparation of such plans, procedures or modifications in efforts to accurately reflect and maintain consistency with Tenant’s operations in the Premises, but Landlord alone shall determine, in its good faith reasonable discretion, the appropriate scope of such consultation and nothing in this Section shall be construed to give Tenant any right of approval or disapproval over Landlord’s adoption or modification of any such plans or procedures.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Radioactive Materials</w:t>
      </w:r>
      <w:r>
        <w:rPr>
          <w:rFonts w:ascii="Times New Roman" w:hAnsi="Times New Roman"/>
          <w:color w:val="000000"/>
          <w:sz w:val="24"/>
        </w:rPr>
        <w:t>. Without limiting any other applicable provisions of this Section, if Tenant Handles or proposes to Handle any Radioactive Materials in or about the Premises, Tenant shall provide Landlord with copies of Tenant’s licenses or permits for such Radioactive Materials and with copies of all radiation protection programs and procedures required under applicable Laws or otherwise adopted by Tenant from time to time in connection with Tenant’s Handling of such Radioactive Materials. In addition, Tenant shall comply with any and all rules and procedures issued by Landlord in its good faith discretion from time to time with respect to the Handling of Radioactive Materials on the Project (such as, by way of example but not limitation, rules implementing a label defacement program for decayed waste destined for common trash and/or rules relating to transportation and storage of Radioactive Materials on the Project), provided that such rules and procedures shall be reasonable and not in conflict with any applicable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Deemed Holdover Occupancy</w:t>
      </w:r>
      <w:r>
        <w:rPr>
          <w:rFonts w:ascii="Times New Roman" w:hAnsi="Times New Roman"/>
          <w:color w:val="000000"/>
          <w:sz w:val="24"/>
        </w:rPr>
        <w:t>. Notwithstanding any other provisions of this Lease, Tenant expressly agrees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If Tenant Handles any Radioactive Materials in or about the Premises or the Project during the Term, then for so long as any license or permit relating to such Radioactive Materials remains open or valid following the Termination Date, and another entity handling Radioactive Materials which is a prospective tenant of Landlord is legally prohibited from occupying a portion of the Premises for a use similar to Tenant’s use, then Tenant shall be deemed to be occupying that portion of the Premises on a holdover basis without Landlord’s consent (notwithstanding such otherwise applicable termination or expiration of the Term) and shall be required to continue to pay Rent and other charges in accordance with Article 13 solely for that portion of the Premises affected by the radioactive materials license, until such time as all such Radioactive Materials licenses and permits have been fully closed out in accordance with the requirements of this Lease and with all applicable Hazardous Materials Laws and other Laws.</w:t>
      </w:r>
    </w:p>
    <w:p>
      <w:pPr>
        <w:pStyle w:val="TextBody"/>
        <w:bidi w:val="0"/>
        <w:spacing w:before="0" w:after="240"/>
        <w:jc w:val="both"/>
        <w:rPr>
          <w:rFonts w:ascii="Times New Roman" w:hAnsi="Times New Roman"/>
          <w:sz w:val="20"/>
        </w:rPr>
      </w:pPr>
      <w:r>
        <w:rPr>
          <w:rFonts w:ascii="Times New Roman" w:hAnsi="Times New Roman"/>
          <w:color w:val="000000"/>
          <w:sz w:val="24"/>
        </w:rPr>
        <w:t>(ii) If Tenant Handles any Hazardous Materials in or about the Premises or the Project during the Term and, on or before the Termination Date, has failed to remove from the Premises or the Project all known Hazardous Materials Handled by a Tenant Party or has failed to complete any remediation or removal of Tenant’s Contamination and/or to have fully remediated in compliance with the requirements of this Lease and with all applicable Hazardous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38</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Materials Laws and any other applicable Laws, the Tenant’s Handling and/or Release (if applicable) of any such Hazardous Materials during the Term, then for so long as such circumstances continue to exist, Tenant shall be deemed to be occupying the Premises on a holdover basis without Landlord’s consent (notwithstanding such otherwise applicable termination or expiration of the Term) and shall be required to continue to pay Rent and other charges in accordance with Article 13 until such time as all such circumstances have been fully resolved in accordance with the requirements of this Lease and with all applicable Hazardous Materials Laws and other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Survival of Obligations</w:t>
      </w:r>
      <w:r>
        <w:rPr>
          <w:rFonts w:ascii="Times New Roman" w:hAnsi="Times New Roman"/>
          <w:color w:val="000000"/>
          <w:sz w:val="24"/>
        </w:rPr>
        <w:t>. Each party’s obligations under this Section shall survive the Termination Date and shall survive any conveyance by Landlord of its interest in the Premises. The provisions of this Section and any exercise by either party of any of the rights and remedies contained herein shall be without prejudice to any other rights and remedies that such party may have under this Lease or under applicable Law with respect to any Environmental Conditions and/or any Hazardous Materials. Either party’s exercise or failure to exercise, at any time or from time to time, any or all of the rights granted in this Section shall not in any way impose any liability on such party or shift from the other party to such party any responsibility or obligation imposed upon the other party under this Lease or under Hazardous Materials Laws, Environmental Conditions and/or compliance with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4"/>
          <w:u w:val="single"/>
        </w:rPr>
        <w:t>Laboratory Rules and Regulations</w:t>
      </w:r>
      <w:r>
        <w:rPr>
          <w:rFonts w:ascii="Times New Roman" w:hAnsi="Times New Roman"/>
          <w:color w:val="000000"/>
          <w:sz w:val="24"/>
        </w:rPr>
        <w:t xml:space="preserve">. Tenant agrees for itself and for its subtenants, employees, agents, and invitees to comply with the laboratory rules and regulations (“Laboratory Rules and Regulations”) attached to this Lease as </w:t>
      </w:r>
      <w:r>
        <w:rPr>
          <w:rFonts w:ascii="Times New Roman" w:hAnsi="Times New Roman"/>
          <w:color w:val="000000"/>
          <w:sz w:val="24"/>
          <w:u w:val="single"/>
        </w:rPr>
        <w:t>Exhibit C-1</w:t>
      </w:r>
      <w:r>
        <w:rPr>
          <w:rFonts w:ascii="Times New Roman" w:hAnsi="Times New Roman"/>
          <w:color w:val="000000"/>
          <w:sz w:val="20"/>
        </w:rPr>
        <w:t xml:space="preserve"> </w:t>
      </w:r>
      <w:r>
        <w:rPr>
          <w:rFonts w:ascii="Times New Roman" w:hAnsi="Times New Roman"/>
          <w:color w:val="000000"/>
          <w:sz w:val="24"/>
        </w:rPr>
        <w:t>and with all reasonable modifications and additions thereto which Landlord may make from time to time.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7.2 </w:t>
      </w:r>
      <w:r>
        <w:rPr>
          <w:rFonts w:ascii="Times New Roman" w:hAnsi="Times New Roman"/>
          <w:caps/>
          <w:color w:val="000000"/>
          <w:sz w:val="24"/>
          <w:u w:val="single"/>
        </w:rPr>
        <w:t>LANDLORD ACCESS TO PREMISES; APPROVALS</w:t>
      </w:r>
    </w:p>
    <w:p>
      <w:pPr>
        <w:pStyle w:val="TextBody"/>
        <w:bidi w:val="0"/>
        <w:spacing w:before="0" w:after="240"/>
        <w:jc w:val="both"/>
        <w:rPr>
          <w:rFonts w:ascii="Times New Roman" w:hAnsi="Times New Roman"/>
          <w:sz w:val="20"/>
        </w:rPr>
      </w:pPr>
      <w:r>
        <w:rPr>
          <w:rFonts w:ascii="Times New Roman" w:hAnsi="Times New Roman"/>
          <w:color w:val="000000"/>
          <w:sz w:val="24"/>
        </w:rPr>
        <w:t>(a) Tenant shall permit Landlord to erect, use and maintain pipes, ducts, wiring and conduits in and through the Premises, so long as Tenant’s use, layout or design of the Premises is not materially affected or altered and all such pipes, ducts, wiring and conduits are installed behind walls or above the ceiling. Landlord or Landlord’s agents shall have the right to enter upon the Premises in the event of an emergency, or to inspect the Premises, to perform any services required hereunder, to conduct safety and other testing in the Premises and to make such repairs, alterations, improvements or additions to the Premises or the Building or other parts of the Property as Landlord may deem necessary or desirable (including all alterations, improvements and additions in connection with a change in service provider or providers). Any entry or work by Landlord shall be made on at least 48 hours’ prior notice and be during Standard Operating Hours (except in an emergency) and Landlord shall use reasonable efforts to ensure that any entry or work shall not materially interfere with Tenant’s occupancy of the Premises.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Advance notice shall not be required for entry in the event of an emergency or urgent situation, as reasonably determined by Landlord, but any other entry or work by Landlord shall be upon at least 48 hours’ prior notice to Tenant, which notice may be delivered in writing (such written notice may include e-mail) to Tenant’s on-site manager at the Premises. If Tenant shall not be personally present to permit an entry into the Premises when for any reason an entry therein shall be necessary or permissible, Landlord (or Landlord’s agents), after attempting to notify Tenant (unless Landlord believes an emergency situation exists), may enter the Premises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39</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rendering Landlord or its agents liable therefor, and without relieving Tenant of any obligations under this Lease. If requested by Tenant, Landlord shall be accompanied by a representative of Tenant during all such access. Landlord shall use commercially reasonable efforts to minimize any interference with Tenant’s use of or access to the Premises in connection with any entry under this Section 7.2, and shall comply with Tenant’s reasonable security measures. Landlord shall hold confidential any information regarding Tenant’s business that it may learn as a result of such entry.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Landlord may enter the Premises for the purpose of conducting such inspections, tests and studies as Landlord may deem desirable or necessary to confirm Tenant’s compliance with all Laws and Hazardous Materials Laws or for other purposes necessary in Landlord’s reasonable judgment to ensure the sound condition of the Property and the systems serving the Property and such access shall be made in accordance with Section 7.2(b). Landlord’s rights under this Section 7.2(c) are for Landlord’s own protection only, and Landlord has not, and shall not be deemed to have assumed, any responsibility to Tenant or any other party as a result of the exercise or non-exercise of such rights, for compliance with Laws or Hazardous Materials Laws or for the accuracy or sufficiency of any item or the quality or suitability of any item for its intended 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Landlord may do any of the foregoing, or undertake any of the inspection or work described in the preceding paragraphs without such action constituting an actual or constructive eviction of Tenant, in whole or in part, or giving rise to an abatement of Rent by reason of loss or interruption of business of Tenant,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review, approval or consent of Landlord with respect to any item required or permitted under this Lease is for Landlord’s own protection only, and Landlord has not, and shall not be deemed to have assumed, any responsibility to Tenant or any other party, as a result of the exercise or non-exercise of such rights, for compliance with Laws or Hazardous Materials Laws or for the accuracy or sufficiency of any item or the quality or suitability of any item for its intended use.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7.3 </w:t>
      </w:r>
      <w:r>
        <w:rPr>
          <w:rFonts w:ascii="Times New Roman" w:hAnsi="Times New Roman"/>
          <w:caps/>
          <w:color w:val="000000"/>
          <w:sz w:val="24"/>
          <w:u w:val="single"/>
        </w:rPr>
        <w:t>QUIET ENJOYMENT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Landlord covenants, in lieu of any implied covenant of quiet possession or quiet enjoyment, that so long as Tenant is in compliance with the covenants and conditions set forth in this Lease, Tenant shall have the right to quiet enjoyment of the Premises without hindrance or interference from Landlord or those claiming through Landlord, and subject to the covenants and conditions set forth in this Lease and to the rights of any Mortgagee or ground lessor.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7.4 </w:t>
      </w:r>
      <w:r>
        <w:rPr>
          <w:rFonts w:ascii="Times New Roman" w:hAnsi="Times New Roman"/>
          <w:caps/>
          <w:color w:val="000000"/>
          <w:sz w:val="24"/>
          <w:u w:val="single"/>
        </w:rPr>
        <w:t>TRANSPORTATION DEMAND MANAGEMENT PROGRAM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Landlord may elect or may be required to develop and implement a Transportation Demand Management (“TDM”) program for the Building in order to reduce the traffic-related impacts resulting from development of the Property. One element of any such TDM program will require tenants of the Building to adopt programs and offer incentives to their employees to reduce auto use and support the increase of alternative modes of transit. The following are examples of such programs and incentives:</w:t>
      </w:r>
    </w:p>
    <w:p>
      <w:pPr>
        <w:pStyle w:val="TextBody"/>
        <w:bidi w:val="0"/>
        <w:jc w:val="left"/>
        <w:rPr>
          <w:rFonts w:ascii="Times New Roman" w:hAnsi="Times New Roman"/>
          <w:color w:val="000000"/>
          <w:sz w:val="24"/>
        </w:rPr>
      </w:pPr>
      <w:r>
        <w:rPr>
          <w:rFonts w:ascii="Times New Roman" w:hAnsi="Times New Roman"/>
          <w:color w:val="000000"/>
          <w:sz w:val="24"/>
        </w:rPr>
        <w:t>40</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Alternative commute subsidies and/or parking cash-out, where employees are provided with a subsidy if they use transit or commute by alternative modes;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Opportunities to purchase commuter checks which allow employees to purchase transit tickets at discounted rates from their before-tax income;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Compressed work weeks and flex time where employees adjust their work schedules to reduce peak hour trips to/from the Building.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 order to support any such TDM program for the Building, Tenant agrees that it shall adopt programs and offer incentives to its employees in order to reduce auto use and support the increase of alternative modes of transit. The specifics of Tenant’s programs and incentives shall be tailored to the needs of Tenant’s workforce and shall be determined by Tenant in its good faith efforts to meet the goals of the TDM program. Upon written request by Landlord from time to time, but not more often than once per calendar year, Tenant shall provide to Landlord a written report summarizing the programs and incentives being offered by Tenant to achieve the goals of the TDM program.</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8</w:t>
      </w:r>
      <w:r>
        <w:rPr>
          <w:rFonts w:ascii="Times New Roman" w:hAnsi="Times New Roman"/>
          <w:color w:val="000000"/>
          <w:sz w:val="24"/>
          <w:u w:val="single"/>
        </w:rPr>
        <w:br/>
        <w:t>MAINTENANCE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8.1 </w:t>
      </w:r>
      <w:r>
        <w:rPr>
          <w:rFonts w:ascii="Times New Roman" w:hAnsi="Times New Roman"/>
          <w:caps/>
          <w:color w:val="000000"/>
          <w:sz w:val="24"/>
          <w:u w:val="single"/>
        </w:rPr>
        <w:t>LANDLORD’S MAINTENANCE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provisions of Articles 4 and 14, Landlord shall, as an Operating Expense, maintain and make necessary repairs to the foundations, roofs (including roof membrane), exterior walls, elevator system, and the structural elements of the Building, the electrical, plumbing, sewage, drainage, heating, ventilating, air-conditioning, mechanical, communication, security and the fire and life safety systems of the Building and those corridors, washrooms and lobbies which are Common Areas of the Building, except that: (a) Landlord shall not be responsible for the maintenance or repair of any floor or wall coverings in the Premises or any of such systems which are located within the Premises and are supplemental or special to the Building’s standard systems and serve the Premises exclusively; and (b) the cost of performing any of said maintenance or repairs whether to the Premises or to the Building caused by the negligence of Tenant, its employees, agents, servants, licensees, subtenants, contractors or invitees, shall be paid by Tenant, subject to the waivers set forth in Section 16.4. Landlord shall not be liable to Tenant for any expense, injury, loss or damage resulting from work done in or upon, or in connection with the use of, any adjacent or nearby building, land, street or alley.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8.2 </w:t>
      </w:r>
      <w:r>
        <w:rPr>
          <w:rFonts w:ascii="Times New Roman" w:hAnsi="Times New Roman"/>
          <w:caps/>
          <w:color w:val="000000"/>
          <w:sz w:val="24"/>
          <w:u w:val="single"/>
        </w:rPr>
        <w:t>TENANT’S MAINTENANCE</w:t>
      </w:r>
    </w:p>
    <w:p>
      <w:pPr>
        <w:pStyle w:val="TextBody"/>
        <w:bidi w:val="0"/>
        <w:spacing w:before="0" w:after="240"/>
        <w:jc w:val="both"/>
        <w:rPr>
          <w:rFonts w:ascii="Times New Roman" w:hAnsi="Times New Roman"/>
          <w:sz w:val="20"/>
        </w:rPr>
      </w:pPr>
      <w:r>
        <w:rPr>
          <w:rFonts w:ascii="Times New Roman" w:hAnsi="Times New Roman"/>
          <w:color w:val="000000"/>
          <w:sz w:val="24"/>
        </w:rPr>
        <w:t>Tenant shall periodically inspect the Premises to identify any conditions that are dangerous or in need of maintenance, repair or replacement. Tenant shall promptly provide Landlord with notice of any such conditions to the extent Tenant has actual knowledge of same. Tenant shall, at its sole cost and expense, perform all maintenance, repair and replacement of the Premises that are not Landlord’s express responsibility under this Lease, and keep the Premises in good condition and repair, reasonable wear and tear and casualty damage excepted. Tenant’s maintenance, repair and replacement obligations include, without limitation, maintenance, repairs and replacements of: (a) floor covering; (b) interior partitions; (c) doors; (d) the interior side of demising walls; (e)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41</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electronic, phone and data cabling, wiring and related equipment that is installed by or for the exclusive benefit of Tenant (collectively, “Cable”); (f) supplemental air conditioning units, kitchens, including hot water heaters, plumbing, and similar facilities exclusively serving Tenant; and (g) Tenant Alterations. Landlord shall allocate one hundred percent (100%) of the cost of Landlord’s maintenance, repair or replacement of any Tenant Alterations, or repairs or replacements required to areas outside of the Premises due to same, to Tenant as additional Rent under this Lease. Tenant shall reimburse Landlord for the cost of repairing damage to the Building caused by the acts of Tenant, Tenant Parties and their respective contractors and vendors. All maintenance, repairs and replacements, including, but not limited to, janitorial and cleaning services, pest control and waste management and recycling performed by or on behalf of Landlord or Tenant must comply with the Project’s Sustainability Practices and Tenant is strongly encouraged to comply with the applicable Green Building Standards. If Tenant fails to make any repairs or replacements of the Premises for more than fifteen (15) days after written notice from Landlord (although such notice shall not be required in an emergency), Landlord may make the repairs or replacements, and Tenant shall pay, as additional Rent under this Lease, the reasonable cost of the repairs or replacements, together with an administrative charge in an amount equal to 15% of the cost of the repairs or replacements. Tenant hereby waives all right to make repairs or replacements at the expense of Landlord or in lieu thereof to vacate the Premises and its other similar rights as provided in California Civil Code Sections 1932(1), 1941 and 1942 or any other Laws (whether now or hereafter in effect). In addition to the foregoing, Tenant shall be responsible for all costs in connection with maintaining, repairing and replacing all special tenant fixtures and improvements, including garbage disposals, showers, plumbing, water filtration systems and appliances. If Tenant requests that Landlord maintain, repair and/or replace any such fixtures and improvements, Tenant shall reimburse Landlord for the cost of all such maintenance, repair and replacement work, plus an administrative fee equal to fifteen percent (15%) of such cost, as additional Rent under this Lease, and Landlord’s liability for such maintenance, repair and replacement work shall be subject to and limited by the provisions of Article 17 below.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8.3 </w:t>
      </w:r>
      <w:r>
        <w:rPr>
          <w:rFonts w:ascii="Times New Roman" w:hAnsi="Times New Roman"/>
          <w:caps/>
          <w:color w:val="000000"/>
          <w:sz w:val="24"/>
          <w:u w:val="single"/>
        </w:rPr>
        <w:t>SUDDEN WATER INTRUSION</w:t>
      </w:r>
      <w:r>
        <w:rPr>
          <w:rFonts w:ascii="Times New Roman" w:hAnsi="Times New Roman"/>
          <w: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in this Lease to the contrary, in the event of sudden water intrusion into the Premises, due to a leaking or bursting pipe or other water source, Landlord will have the right, but not the obligation, to undertake immediate mitigation and repairs measures of such nature as would normally be Tenant’s responsibility under Section 8.2 above (the “Water Damage Work”) and to notify Tenant promptly after the repairs have been undertaken (including notice by telephone, to the extent reasonably practicable). Landlord shall determine, in its sole and absolute discretion, the contractors to be used for the Water Damage Work. Tenant shall reimburse Landlord for the reasonable cost of the Water Damage Work, as additional Rent under this Lease, within 30 days following Tenant’s receipt of written demand from Landlord therefor.</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9</w:t>
      </w:r>
      <w:r>
        <w:rPr>
          <w:rFonts w:ascii="Times New Roman" w:hAnsi="Times New Roman"/>
          <w:color w:val="000000"/>
          <w:sz w:val="24"/>
          <w:u w:val="single"/>
        </w:rPr>
        <w:br/>
        <w:t>ALTERATIONS AND IMPROVEMENTS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9.1 </w:t>
      </w:r>
      <w:r>
        <w:rPr>
          <w:rFonts w:ascii="Times New Roman" w:hAnsi="Times New Roman"/>
          <w:caps/>
          <w:color w:val="000000"/>
          <w:sz w:val="24"/>
          <w:u w:val="single"/>
        </w:rPr>
        <w:t>TENANT ALTERATIONS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following provisions shall apply to the completion of any Tenant Alterations:</w:t>
      </w:r>
    </w:p>
    <w:p>
      <w:pPr>
        <w:pStyle w:val="TextBody"/>
        <w:bidi w:val="0"/>
        <w:jc w:val="left"/>
        <w:rPr>
          <w:rFonts w:ascii="Times New Roman" w:hAnsi="Times New Roman"/>
          <w:color w:val="000000"/>
          <w:sz w:val="24"/>
        </w:rPr>
      </w:pPr>
      <w:r>
        <w:rPr>
          <w:rFonts w:ascii="Times New Roman" w:hAnsi="Times New Roman"/>
          <w:color w:val="000000"/>
          <w:sz w:val="24"/>
        </w:rPr>
        <w:t>42</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Tenant shall not, except as provided herein, without the prior written consent of Landlord, which consent shall not be unreasonably withheld, conditioned, or delayed, make or cause to be made any Tenant Alterations in or to the Premises or any Property systems serving the Premises. Notwithstanding anything in this Section 9.1 to the contrary, Landlord’s consent shall not be required for any Tenant Alteration that satisfies all of the following criteria (a “Cosmetic Alteration”): (a) is of a cosmetic nature such as painting, wallpapering, hanging pictures, rearranging furniture/workstations and installing carpeting; (b) is not visible from the exterior of the Premises or Building; (c) will not affect the Building’s systems (e.g. light fixtures and cables that do not affect building systems); (d) does not require work to be performed inside the walls or above the ceiling of the Premises (provided that non-permanent partitions or shelving are acceptable); (e) does not require a building permit; and (f) does not exceed $50,000.00 in any instance. Cosmetic Alterations shall be subject to all the other provisions of this Section 9.1. Prior to making any Tenant Alterations, Tenant shall give Landlord ten (10) days prior written notice (or such earlier notice as would be necessary pursuant to applicable Law) to permit Landlord sufficient time to post appropriate notices of non-responsibility. Tenant shall furnish Landlord with the names and addresses of all contractors and subcontractors and copies of all contracts. All Tenant Alterations shall be completed at such time and in such manner as Landlord may from time to time designate, and only by contractors or mechanics approved by Landlord, which approval shall not be unreasonably withheld; provided, however, that Landlord may, in its sole discretion, specify the engineers and contractors to perform all work relating to the Building’s systems (including the mechanical, heating, plumbing, security, ventilating, air-conditioning, electrical, communication and the fire and life safety systems in the Building). The contractors, mechanics and engineers who may be used are further limited to those whose work will not cause or threaten to cause disharmony or interference with Landlord or other tenants in the Building and their respective agents and contractors performing work in or about the Building. Landlord may further condition its consent upon Tenant furnishing to Landlord and Landlord approving prior to the commencement of any work or delivery of materials to the Premises related to the Tenant Alterations such of the following as specified by Landlord: architectural plans and specifications, opinions from Landlord’s engineers stating that the Tenant Alterations will not in any way adversely affect the Building’s systems, necessary permits and licenses, certificates of insurance, and such other documents in such form reasonably requested by Landlord. Landlord may, in the exercise of reasonable judgment, request that Tenant provide Landlord with appropriate evidence of Tenant’s ability to complete and pay for the completion of the Tenant Alterations such as a performance bond or letter of credit. Upon completion of the Tenant Alterations (other than Cosmetic Alterations), Tenant shall deliver to Landlord an as-built digitized set of plans and specifications for the Tenant Alterations in both protected document (“.pdf”) and computer-aided design (“CAD”) formats.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Tenant shall pay the cost of all Tenant Alterations and the cost of decorating the Premises and any work to the Property occasioned thereby. Upon completion of Tenant Alterations, Tenant shall furnish Landlord with contractors’ affidavits and full and final waivers of lien and receipted bills covering all labor and materials expended and used in connection therewith and such other documentation reasonably requested by Landlord or Mortgagee.</w:t>
      </w:r>
    </w:p>
    <w:p>
      <w:pPr>
        <w:pStyle w:val="TextBody"/>
        <w:bidi w:val="0"/>
        <w:spacing w:before="0" w:after="240"/>
        <w:jc w:val="both"/>
        <w:rPr>
          <w:rFonts w:ascii="Times New Roman" w:hAnsi="Times New Roman"/>
          <w:sz w:val="20"/>
        </w:rPr>
      </w:pPr>
      <w:r>
        <w:rPr>
          <w:rFonts w:ascii="Times New Roman" w:hAnsi="Times New Roman"/>
          <w:color w:val="000000"/>
          <w:sz w:val="24"/>
        </w:rPr>
        <w:t>(3) Tenant agrees to complete all Tenant Alterations (i) in accordance with all Laws, Hazardous Materials Laws, all requirements of applicable insurance companies and in accordance with Landlord’s standard construction rules and regulations, (ii) in a good and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43</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workmanlike manner with the use of good grades of materials, and (iii) in accordance with the requirements of the Project’s Sustainability Practices and Tenant is strongly encouraged to comply with the applicable Green Building Standards. Tenant shall notify Landlord immediately if Tenant receives any notice of violation of any Law in connection with completion of any Tenant Alterations and shall immediately take such steps as are necessary to remedy such violation. In no event shall such supervision or right to supervise by Landlord nor shall any approvals given by Landlord under this Lease constitute any warranty by Landlord to Tenant of the adequacy of the design, workmanship or quality of such work or materials for Tenant’s intended use or of compliance with the requirements of Section 9.1(a)(3)(i) and (ii) above or impose any liability upon Landlord in connection with the performance of such work.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For any Tenant Alterations which Tenant requests Landlord to install, the forgoing provisions of this Section 9.1 shall apply; provided, however, in addition to paying the cost of the Tenant Alterations, Tenant also shall pay an administrative fee equal to five percent (5%) of such cost to Landlord, as additional Rent under this Lease, and Landlord’s liability for such Tenant Alterations work shall be subject to and limited by the provisions of Article 17 below. All Tenant Additions, whether installed by Landlord or Tenant, shall without compensation or credit to Tenant, become part of the Premises and the property of Landlord at the time of their installation and shall remain in the Premises, unless pursuant to Article 12, Tenant may remove them or is required to remove them at Landlord’s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Tenant shall be entitled to make Tenant Alterations to the Premises at Tenant’s sole cost and expense and in accordance with the provisions of this Article 9; provided, however, that Landlord shall contribute an amount not to exceed the Tenant Improvement Allowance towards the cost of the initial Tenant Alterations to the Premises. Provided that Tenant is not then in Default under the terms of this Lease, Tenant shall receive the portion of the Tenant Improvement Allowance allocable to the amount actually expended for the initial Tenant Alterations, which portion shall be payable within thirty (30) days after Tenant provides paid receipts for the amounts so expended and full lien releases from all contractors who worked on those Tenant Alterations. In no event shall Landlord be obligated to disburse more than the amount of the Tenant Improvement Allowance, regardless of the total cost of the initial Tenant Alterations. If the Tenant Improvement Allowance has not been used on or before September 30, 2028, Tenant may elect to apply any portion of the Tenant Improvement Allowance that has not been claimed by Tenant for the cost of such initial Tenant Improvements to Rent subsequently due under the terms of this Lease until fully applied.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9.2 </w:t>
      </w:r>
      <w:r>
        <w:rPr>
          <w:rFonts w:ascii="Times New Roman" w:hAnsi="Times New Roman"/>
          <w:caps/>
          <w:color w:val="000000"/>
          <w:sz w:val="24"/>
          <w:u w:val="single"/>
        </w:rPr>
        <w:t>LIENS</w:t>
      </w:r>
    </w:p>
    <w:p>
      <w:pPr>
        <w:pStyle w:val="TextBody"/>
        <w:bidi w:val="0"/>
        <w:spacing w:before="0" w:after="240"/>
        <w:jc w:val="both"/>
        <w:rPr>
          <w:rFonts w:ascii="Times New Roman" w:hAnsi="Times New Roman"/>
          <w:sz w:val="20"/>
        </w:rPr>
      </w:pPr>
      <w:r>
        <w:rPr>
          <w:rFonts w:ascii="Times New Roman" w:hAnsi="Times New Roman"/>
          <w:color w:val="000000"/>
          <w:sz w:val="24"/>
        </w:rPr>
        <w:t>Tenant shall not permit any lien or claim for lien of any mechanic, laborer or supplier or any other lien to be filed against the Building, the Land, the Premises, or any other part of the Property arising out of work performed, or alleged to have been performed by, or at the direction of, or on behalf of Tenant. If any such lien or claim for lien is filed, Tenant shall within ten (10) business days after receiving written notice of such lien or claim (a) have such lien or claim for lien released of record or (b) deliver to Landlord a bond in form, content, amount, and issued by surety, satisfactory to Landlord, indemnifying, protecting, defending and holding harmless the Indemnitees against all costs and liabilities resulting from such lien or claim for lien and the foreclosure or attempted foreclosure thereof. If Tenant fails to take any of the above actions,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44</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Landlord, in addition to its rights and remedies under Article 11, without investigating the validity of such lien or claim for lien, may pay or discharge the same and Tenant shall, as payment of additional Rent hereunder, reimburse Landlord upon demand for the amount so paid by Landlord, including Landlord’s expenses and reasonable out-of-pocket attorneys’ fees.</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10</w:t>
      </w:r>
      <w:r>
        <w:rPr>
          <w:rFonts w:ascii="Times New Roman" w:hAnsi="Times New Roman"/>
          <w:color w:val="000000"/>
          <w:sz w:val="24"/>
          <w:u w:val="single"/>
        </w:rPr>
        <w:br/>
        <w:t>ASSIGNMENT AND SUBLETTING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10.1 </w:t>
      </w:r>
      <w:r>
        <w:rPr>
          <w:rFonts w:ascii="Times New Roman" w:hAnsi="Times New Roman"/>
          <w:caps/>
          <w:color w:val="000000"/>
          <w:sz w:val="24"/>
          <w:u w:val="single"/>
        </w:rPr>
        <w:t>ASSIGNMENT AND SUBLETTING</w:t>
      </w:r>
    </w:p>
    <w:p>
      <w:pPr>
        <w:pStyle w:val="TextBody"/>
        <w:bidi w:val="0"/>
        <w:spacing w:before="0" w:after="240"/>
        <w:jc w:val="both"/>
        <w:rPr>
          <w:rFonts w:ascii="Times New Roman" w:hAnsi="Times New Roman"/>
          <w:sz w:val="20"/>
        </w:rPr>
      </w:pPr>
      <w:r>
        <w:rPr>
          <w:rFonts w:ascii="Times New Roman" w:hAnsi="Times New Roman"/>
          <w:color w:val="000000"/>
          <w:sz w:val="24"/>
        </w:rPr>
        <w:t>(a) Without the prior written consent of Landlord, which consent of Landlord shall not be unreasonably withheld, conditioned or delayed, Tenant may not sublease, assign, mortgage, pledge, hypothecate or otherwise transfer or permit the transfer of this Lease or the encumbering of Tenant’s interest therein in whole or in part, by operation of Law or otherwise or permit the use or occupancy of the Premises, or any part thereof, by anyone other than Tenant. Tenant agrees that the provisions governing sublease and assignment set forth in this Article 10 shall be deemed to be reasonable. If Tenant desires to enter into any sublease of the Premises or assignment of this Lease (other than a Permitted Transfer), Tenant shall deliver written notice thereof to Landlord (“Tenant’s Notice”), together with the identity of the proposed subtenant or assignee and the proposed principal terms thereof and financial and other information sufficient for Landlord to make an informed judgment with respect to such proposed subtenant or assignee at least forty-five (45) days prior to the commencement date of the term of the proposed sublease or assignment. Landlord shall notify Tenant in writing of its approval or disapproval of the proposed sublease or assignment or its decision to exercise its rights under Section 10.2 within thirty (30) days after receipt of Tenant’s Notice (and all required information).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With respect to Landlord’s consent to an assignment or sublease, Landlord may take into consideration any factors that Landlord may deem relevant, and the reasons for which Landlord’s denial shall be deemed to be reasonable shall include, without limitation,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business reputation or creditworthiness of any proposed subtenant or assignee is not acceptable to Landlord;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in Landlord’s reasonable judgment the proposed assignee or sublessee would diminish the value or reputation of the Project or Landlord, or would increase the expenses associated with operating, maintaining and repairing the Project;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any proposed assignee’s or sublessee’s use of the Premises would violate Section 7.1 of this Lease or would violate the provisions of any other leases of tenants in the Project;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the proposed sublessee or assignee would materially increase the estimated pedestrian and vehicular traffic to and from the Premises and the Project above that deemed typical by Landlord for office/lab use in the Project;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Tenant is in Default under this Lease.</w:t>
      </w:r>
    </w:p>
    <w:p>
      <w:pPr>
        <w:pStyle w:val="TextBody"/>
        <w:bidi w:val="0"/>
        <w:spacing w:before="0" w:after="240"/>
        <w:jc w:val="both"/>
        <w:rPr>
          <w:rFonts w:ascii="Times New Roman" w:hAnsi="Times New Roman"/>
          <w:sz w:val="20"/>
        </w:rPr>
      </w:pPr>
      <w:r>
        <w:rPr>
          <w:rFonts w:ascii="Times New Roman" w:hAnsi="Times New Roman"/>
          <w:color w:val="000000"/>
          <w:sz w:val="24"/>
        </w:rPr>
        <w:t>(c) Any sublease or assignment shall be expressly subject to the terms and conditions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45</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this Lease. Any subtenant or assignee shall execute such documents as Landlord may reasonably require to evidence such subtenant or assignee’s assumption of the obligations and liabilities of Tenant under this Lease. Tenant shall deliver to Landlord a copy of all agreements executed by Tenant and the proposed subtenant and assignee with respect to the Premises. Landlord’s approval of a sublease, assignment, hypothecation, transfer or third party use or occupancy shall not constitute a waiver of Tenant’s obligation to obtain Landlord’s consent to further assignments or subleases, hypothecations, transfers or third party use or occupancy.</w:t>
      </w:r>
    </w:p>
    <w:p>
      <w:pPr>
        <w:pStyle w:val="TextBody"/>
        <w:bidi w:val="0"/>
        <w:spacing w:before="0" w:after="240"/>
        <w:jc w:val="both"/>
        <w:rPr>
          <w:rFonts w:ascii="Times New Roman" w:hAnsi="Times New Roman"/>
          <w:sz w:val="20"/>
        </w:rPr>
      </w:pPr>
      <w:bookmarkStart w:id="24" w:name="ole_link2"/>
      <w:bookmarkEnd w:id="24"/>
      <w:r>
        <w:rPr>
          <w:rFonts w:ascii="Times New Roman" w:hAnsi="Times New Roman"/>
          <w:color w:val="000000"/>
          <w:sz w:val="24"/>
        </w:rPr>
        <w:t>(d) For purposes of this Article 10, an assignment shall be deemed to include a transfer of 51% or more of the ownership interests in Tenant, resulting from any transfer, sale or assignment of shares of stock of Tenant occurring by operation of Law or otherwise if Tenant is a corporation whose shares of stock are not traded publicly. If Tenant is a partnership, any change in 51% or more of the partnership interests of Tenant shall be deemed to be an assignment.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For purposes of this Lease, a “Permitted Transferee” shall mean any Person which: (i) is an Affiliate; or (ii) is the corporation or other entity (the “Successor”) resulting from a merger, consolidation or non-bankruptcy reorganization with Tenant; or (iii) is otherwise a deemed assignee due to a change of control under Section 10.1(d) above; or (iv) purchases substantially all the business or assets of Tenant as a going concern (the “Purchaser”), each a “Permitted Transfer”). Notwithstanding anything to the contrary in Sections 10.1(a) and (b), 10.2 and 10.3, provided there is no uncured Default under this Lease, Tenant shall have the right, without the prior written consent of Landlord, to assign this Lease to a Permitted Transferee or to sublease the Premises or any part thereof to a Permitted Transferee provided that: (1) Landlord receives thirty (30) days’ prior written notice of an assignment or sublease (including a proposed transaction described in subparts (i), (ii), (iii) or (iv) of this Section 10.1(e)); (2) with respect to an assignment of this Lease or a sublease of more than half the Premises to an entity described in subparts (ii) or (iv) of this Section 10.1(e), the Permitted Transferee’s net worth and liquidity are each not less than the greater of (A) Tenant’s net worth and liquidity as of the date of this Lease or (B) Tenant’s net worth and liquidity immediately prior to such assignment or subletting; (3) the Permitted Transferee expressly assumes (except a Permitted Transferee which is a deemed assignee under subpart (iii) of this Section 10.1(e) or which is a sublessee in the event of a sublease under this Section 10.1(e)) in writing reasonably satisfactory to Landlord all of the obligations of Tenant under this Lease and delivers such assumption to Landlord no later than fifteen (15) days prior to the effective date of the assignment; (4) Landlord receives no later than five (5) days before the effective date a fully executed copy of the applicable assignment or sublease agreement between Tenant and the Permitted Transferee; (5) promptly after Landlord’s written request, Tenant and the Permitted Transferee provide such reasonable documents and information which Landlord reasonably requests for the purpose of substantiating whether or not the assignment or sublease is to a Permitted Transferee; and (6) such transfer is not being entered into for the purpose of avoiding the requirement for Landlord’s prior consent or the provisions of Sections 10.2 or 10.3. All determinations of net worth and liquidity for purposes of this Subsection shall exclude any value attributable to goodwill or going concern value.</w:t>
      </w:r>
    </w:p>
    <w:p>
      <w:pPr>
        <w:pStyle w:val="TextBody"/>
        <w:bidi w:val="0"/>
        <w:spacing w:before="0" w:after="240"/>
        <w:jc w:val="both"/>
        <w:rPr>
          <w:rFonts w:ascii="Times New Roman" w:hAnsi="Times New Roman"/>
          <w:sz w:val="20"/>
        </w:rPr>
      </w:pPr>
      <w:r>
        <w:rPr>
          <w:rFonts w:ascii="Times New Roman" w:hAnsi="Times New Roman"/>
          <w:color w:val="000000"/>
          <w:sz w:val="24"/>
        </w:rPr>
        <w:t>(f) With respect to any sublease hereunder, Tenant hereby irrevocably assigns to Landlord, effective upon any such sublease, all rent and other payments due from subtenant under the sublease, provided however, that Landlord hereby grants Tenant a license to collect such rent and other payments until the occurrence of a Default by Tenant under any of the provisions of this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46</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Lease. At any time after such Default, at Landlord’s option, Landlord shall have the right to give notice to the subtenant of such assignment. Landlord shall credit Tenant with any rent received by Landlord under such assignment but the acceptance of any payment on account of rent from the subtenant as the result of any such default shall in no manner whatsoever serve to release Tenant from any liability under the terms, covenants, conditions, provisions or agreement under this Lease. No such payment of rent or any other payment by the subtenant directly to Landlord and/or acceptance of such payment(s) by Landlord, regardless of the circumstances or reasons therefor, shall in any manner whatsoever be deemed an attornment by the subtenant to Landlord in the absence of a specific written agreement signed by Landlord to such an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10.2 </w:t>
      </w:r>
      <w:r>
        <w:rPr>
          <w:rFonts w:ascii="Times New Roman" w:hAnsi="Times New Roman"/>
          <w:color w:val="000000"/>
          <w:sz w:val="24"/>
          <w:u w:val="single"/>
        </w:rPr>
        <w:t>INTENTIONALLY OMITTED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10.3 </w:t>
      </w:r>
      <w:r>
        <w:rPr>
          <w:rFonts w:ascii="Times New Roman" w:hAnsi="Times New Roman"/>
          <w:caps/>
          <w:color w:val="000000"/>
          <w:sz w:val="24"/>
          <w:u w:val="single"/>
        </w:rPr>
        <w:t>EXCESS RENT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 shall pay Landlord on the first day of each month during the term of the sublease or assignment, as additional Rent under this Lease, fifty percent (50%) of the amount by which the sum of all rent and other consideration attributable to Tenant’s interest in this Lease due from the subtenant or assignee for such month exceeds: (i) that portion of the Monthly Base Rent and Rent Adjustments due under this Lease for said month which is allocable to the space sublet or assigned; and (ii) the following costs and expenses for the subletting or assignment of such space: (1) brokerage commissions and attorneys’ fees and expenses, (2) the actual costs paid in making any improvements or substitutions in the Premises required by any sublease or assignment; and (3) moving costs and other amounts actually paid with respect of such subtenant’s or assignee’s other leases or occupancy arrangements, but only to the extent same are typical, reasonable and appropriate under the prevailing market conditions. All such costs and expenses shall be amortized over the term of the sublease or assignment pursuant to sound accounting principles.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10.4 </w:t>
      </w:r>
      <w:r>
        <w:rPr>
          <w:rFonts w:ascii="Times New Roman" w:hAnsi="Times New Roman"/>
          <w:caps/>
          <w:color w:val="000000"/>
          <w:sz w:val="24"/>
          <w:u w:val="single"/>
        </w:rPr>
        <w:t>TENANT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of any sublease or assignment, whether or not with Landlord’s consent, Tenant shall not be released or discharged from any liability, whether past, present or future, under this Lease, including any liability arising from the exercise of any renewal or expansion option, to the extent such exercise is expressly permitted by Landlord. Tenant’s liability shall remain primary, and in the event of default by any subtenant, assignee or successor of Tenant in performance or observance of any of the covenants or conditions of this Lease, Landlord may proceed directly against Tenant without the necessity of exhausting remedies against said subtenant, assignee or successor. If Landlord grants consent to such sublease or assignment, Tenant shall pay all reasonable attorneys’ fees and expenses incurred by Landlord with respect to such assignment or sublease. In addition, if Tenant has any options to extend the Term or to add other space to the Premises, such options shall not be available to any subtenant or assignee, directly or indirectly without Landlord’s express written consent, which may be withheld in Landlord’s sole discretion.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10.5 </w:t>
      </w:r>
      <w:r>
        <w:rPr>
          <w:rFonts w:ascii="Times New Roman" w:hAnsi="Times New Roman"/>
          <w:caps/>
          <w:color w:val="000000"/>
          <w:sz w:val="24"/>
          <w:u w:val="single"/>
        </w:rPr>
        <w:t>ASSUMPTION AND ATTORNMENT</w:t>
      </w:r>
    </w:p>
    <w:p>
      <w:pPr>
        <w:pStyle w:val="TextBody"/>
        <w:bidi w:val="0"/>
        <w:spacing w:before="0" w:after="240"/>
        <w:jc w:val="both"/>
        <w:rPr>
          <w:rFonts w:ascii="Times New Roman" w:hAnsi="Times New Roman"/>
          <w:sz w:val="20"/>
        </w:rPr>
      </w:pPr>
      <w:r>
        <w:rPr>
          <w:rFonts w:ascii="Times New Roman" w:hAnsi="Times New Roman"/>
          <w:color w:val="000000"/>
          <w:sz w:val="24"/>
        </w:rPr>
        <w:t>If Tenant shall assign this Lease as permitted herein, the assignee shall expressly assume all of the obligations of Tenant hereunder in a written instrument satisfactory to Landlord and furnished to Landlord not later than fifteen (15) days prior to the effective date of the assignment.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47</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sublease by Tenant hereunder shall be subject and subordinate to this Lease and to the matters to which this Lease is or shall be subordinate, and each subtenant by entering into a sublease is deemed to have agreed that in the event of termination, re-entry or dispossession by Landlord under this Lease, Landlord may, at its option, either terminate the sublease or take over all of the right, title and interest of Tenant, as sublandlord, under such sublease, and such subtenant shall, at Landlord’s option, attorn to Landlord pursuant to the then executory provisions of such sublease, except that Landlord shall not be: (1) liable for any previous act or omission of Tenant under such sublease; (2) subject to any counterclaim, offset or defense that such subtenant might have against Tenant; (3) bound by any previous modification of such sublease or by any rent or additional rent or advance rent which such subtenant might have paid for more than the current month to Tenant, and all such rent shall remain due and owing, notwithstanding such advance payment; (4) bound by any security or advance rental deposit made by such subtenant which is not delivered or paid over to Landlord and with respect to which such subtenant shall look solely to Tenant for refund or reimbursement; or (5)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upon and as a condition of its occupying or using the Premises or any part thereof, to have agreed to be bound by the terms and conditions set forth in this Section 10.5. The provisions of this Section 10.5 shall be self-operative, and no further instrument shall be required to give effect to this provision.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10.6 </w:t>
      </w:r>
      <w:r>
        <w:rPr>
          <w:rFonts w:ascii="Times New Roman" w:hAnsi="Times New Roman"/>
          <w:color w:val="000000"/>
          <w:sz w:val="24"/>
          <w:u w:val="single"/>
        </w:rPr>
        <w:t>PROCESSING EXPENSES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 shall pay to Landlord, as Landlord’s cost of processing each proposed assignment or subletting (whether or not the same is ultimately approved by Landlord or consummated by Tenant), an amount equal to the sum of (i) Landlord’s reasonable attorneys’ and other professional fees, plus (ii) the sum of $2,500.00 for the cost of Landlord’s administrative, accounting and clerical time (collectively, “Processing Costs”). When the actual amount of the Processing Costs is determined, it shall be reconciled with Landlord’s estimate, and any payments or refunds required as a result thereof shall promptly thereafter be made by the parties.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10.7 </w:t>
      </w:r>
      <w:r>
        <w:rPr>
          <w:rFonts w:ascii="Times New Roman" w:hAnsi="Times New Roman"/>
          <w:color w:val="000000"/>
          <w:sz w:val="24"/>
          <w:u w:val="single"/>
        </w:rPr>
        <w:t>EFFECT OF IMPERMISSIBLE TRANSFER</w:t>
      </w:r>
    </w:p>
    <w:p>
      <w:pPr>
        <w:pStyle w:val="TextBody"/>
        <w:bidi w:val="0"/>
        <w:spacing w:before="0" w:after="240"/>
        <w:jc w:val="both"/>
        <w:rPr>
          <w:rFonts w:ascii="Times New Roman" w:hAnsi="Times New Roman"/>
          <w:sz w:val="20"/>
        </w:rPr>
      </w:pPr>
      <w:r>
        <w:rPr>
          <w:rFonts w:ascii="Times New Roman" w:hAnsi="Times New Roman"/>
          <w:color w:val="000000"/>
          <w:sz w:val="24"/>
        </w:rPr>
        <w:t>Any assignment or sublease effected without Landlord’s consent in violation of this Article 10 shall, at Landlord’s option, be a noncurable Default under Section 11.1 without the necessity of any notice and grace period.</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11</w:t>
      </w:r>
      <w:r>
        <w:rPr>
          <w:rFonts w:ascii="Times New Roman" w:hAnsi="Times New Roman"/>
          <w:color w:val="000000"/>
          <w:sz w:val="24"/>
          <w:u w:val="single"/>
        </w:rPr>
        <w:br/>
        <w:t>DEFAULT AND REMEDIES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11.1 </w:t>
      </w:r>
      <w:r>
        <w:rPr>
          <w:rFonts w:ascii="Times New Roman" w:hAnsi="Times New Roman"/>
          <w:caps/>
          <w:color w:val="000000"/>
          <w:sz w:val="24"/>
          <w:u w:val="single"/>
        </w:rPr>
        <w:t>DEFAULT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occurrence or existence of any one or more of the following shall constitute a “Default” by Tenant under this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Tenant fails to pay any installment or other payment of Rent including Rent Adjustment Deposits or Rent Adjustments within five (5) days after Tenant’s receipt of written notice of such failure;</w:t>
      </w:r>
    </w:p>
    <w:p>
      <w:pPr>
        <w:pStyle w:val="TextBody"/>
        <w:bidi w:val="0"/>
        <w:jc w:val="left"/>
        <w:rPr>
          <w:rFonts w:ascii="Times New Roman" w:hAnsi="Times New Roman"/>
          <w:color w:val="000000"/>
          <w:sz w:val="24"/>
        </w:rPr>
      </w:pPr>
      <w:r>
        <w:rPr>
          <w:rFonts w:ascii="Times New Roman" w:hAnsi="Times New Roman"/>
          <w:color w:val="000000"/>
          <w:sz w:val="24"/>
        </w:rPr>
        <w:t>48</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Tenant permanently vacates or abandons the Premises and ceases to pay Rent;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Tenant violates the restrictions on assignments and subleases set forth in Article 10 – Assignment and Subletting;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Tenant fails to maintain any insurance policy required hereunder, and fails to cure such default within ten (10) days after written notice thereof to Tenant;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Tenant fails to observe or perform any of the other covenants, conditions or provisions of this Lease and fails to cure such default within thirty (30) days after written notice thereof to Tenant, unless the default involves an Environmental Condition, which shall be cured forthwith or unless the failure to perform is a Default for which this Lease specifies there is no cure or grace period. Notwithstanding the forgoing, if such cure is not reasonably capable of being cured in such thirty (30) day period, Tenant shall have such additional time as required for such cure so long as Tenant commences such cure within such thirty (30) day period and diligently pursues such cure to completion;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interest of Tenant in this Lease is levied upon under execution or other legal process;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a petition is filed by or against Tenant to declare Tenant bankrupt or seeking a plan of reorganization or arrangement under any Chapter of the Bankruptcy Code or any amendment thereto, replacement thereof or substitution therefor, or to delay payment of, reduce or modify Tenant’s debts, which in the case of an involuntary action is not discharged within sixty (60) days;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Tenant is declared insolvent by Law or any assignment of Tenant’s property is made for the benefit of creditors;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 receiver is appointed for Tenant or Tenant’s property, which appointment is not discharged within sixty (60) days;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any action taken by or against Tenant to reorganize or modify Tenant’s capital structure in a materially adverse way which in the case of an involuntary action is not discharged within sixty (60) days;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upon the dissolution of Tenant.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11.2 </w:t>
      </w:r>
      <w:r>
        <w:rPr>
          <w:rFonts w:ascii="Times New Roman" w:hAnsi="Times New Roman"/>
          <w:caps/>
          <w:color w:val="000000"/>
          <w:sz w:val="24"/>
          <w:u w:val="single"/>
        </w:rPr>
        <w:t>LANDLORD’S REMEDIES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 Default shall constitute a breach of this Lease for which Landlord shall have the rights and remedies set forth in this Section 11.2 and all other rights and remedies set forth in this Lease or now or hereafter allowed by Law, whether legal or equitable, and all rights and remedies of Landlord shall be cumulative and none shall exclude any other right or remedy now or hereafter allowed by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(b) With respect to a Default, at any time Landlord may terminate Tenant’s right to possession by written notice to Tenant stating such election. Any written notice required pursuant to Section 11.1 shall constitute notice of unlawful detainer pursuant to California Code of Civil</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49</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Procedure Section 1161 if, at Landlord’s sole discretion, it states Landlord’s election that Tenant’s right to possession is terminated after expiration of any period required by Law or any longer period required by Section 11.1. Upon the expiration of the period stated in Landlord’s written notice of termination (and unless such notice provides an option to cure within such period and Tenant cures the Default within such period), Tenant’s right to possession shall terminate and this Lease shall terminate, and Tenant shall remain liable as hereinafter provided. Upon such termination in writing of Tenant’s right to possession, Landlord shall have the right, subject to applicable Law, to re-enter the Premises and dispossess Tenant and the legal representatives of Tenant and all other occupants of the Premises by unlawful detainer or other summary proceedings, or as otherwise permitted by Law, regain possession of the Premises and remove their property (including their trade fixtures, personal property and Required Removables pursuant to Article 12), but Landlord shall not be obligated to effect such removal, and such property may, at Landlord’s option, be stored elsewhere, sold or otherwise dealt with as permitted by Law, at the risk of, expense of and for the account of Tenant, and the proceeds of any sale shall be applied pursuant to Law. Landlord shall in no event be responsible for the value, preservation or safekeeping of any such property. Tenant hereby waives all claims for damages that may be caused by Landlord’s removing or storing Tenant’s personal property pursuant to this Section or Section 12.1, and Tenant hereby indemnifies, and agrees to defend, protect and hold harmless, the Indemnitees from any and all loss, claims, demands, actions, expenses, liability and cost (including attorneys’ fees and expenses) arising out of or in any way related to such removal or storage. Upon such written termination of Tenant’s right to possession and this Lease, Landlord shall have the right to recover damages for Tenant’s Default as provided herein or by Law, including the following damages provided by California Civil Code Section 1951.2: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the worth at the time of award of the unpaid Rent which had been earned at the time of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the worth at the time of award of the amount by which the unpaid Rent which would have been earned after termination until the time of award exceeds the amount of such Rent loss that Tenant proves could reasonably have been avoided;</w:t>
      </w:r>
    </w:p>
    <w:p>
      <w:pPr>
        <w:pStyle w:val="TextBody"/>
        <w:bidi w:val="0"/>
        <w:spacing w:before="0" w:after="240"/>
        <w:jc w:val="both"/>
        <w:rPr>
          <w:rFonts w:ascii="Times New Roman" w:hAnsi="Times New Roman"/>
          <w:sz w:val="20"/>
        </w:rPr>
      </w:pPr>
      <w:r>
        <w:rPr>
          <w:rFonts w:ascii="Times New Roman" w:hAnsi="Times New Roman"/>
          <w:color w:val="000000"/>
          <w:sz w:val="24"/>
        </w:rPr>
        <w:t>(3) the worth at the time of award of the amount by which the unpaid Rent for the balance of the term of this Lease after the time of award exceeds the amount of such Rent loss that Tenant proves could be reasonably avoided;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any other amount necessary to compensate Landlord for all the detriment proximately caused by Tenant’s failure to perform its obligations under this Lease or which in the ordinary course of things would be likely to result therefrom, including, without limitation, Landlord’s unamortized costs of tenant improvements, leasing commissions and legal fees incurred in connection with entering into this Lease;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any other amounts, in addition to or in lieu of those listed above, that may be permitted by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The word “rent” as used in this Section 11.2 shall have the same meaning as the defined term Rent in this Lease. The “worth at the time of award” of the amount referred to in clauses (1) and (2) above is computed by allowing interest at the Default Rate. The worth at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50</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time of award of the amount referred to in clause (3) above is computed by discounting such amount at the discount rate of the Federal Reserve Bank of San Francisco at the time of award plus one percent (1%). For the purpose of determining unpaid Rent under clause (3) above, the monthly Rent reserved in this Lease shall be deemed to be the sum of the Monthly Base Rent, monthly storage space rent, if any, the amounts last payable by Tenant as Rent Adjustments for the calendar year in which Landlord terminated this Lease as provided hereinabove, and any additional Rent under this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Even if Tenant is in Default, this Lease shall continue in effect for so long as Landlord does not terminate Tenant’s right to possession by written notice as provided in Section 11.2(b) above, and Landlord may enforce all its rights and remedies under this Lease, including the right to recover Rent as it becomes due under this Lease. In such event, Landlord shall have all of the rights and remedies of a landlord under California Civil Code Section 1951.4 (lessor may continue lease in effect after lessee’s breach and abandonment and recover rent as it becomes due, if lessee has the right to sublet or assign, subject only to reasonable limitations), or any successor statute. During such time as Tenant is in Default, if Landlord has not terminated this Lease by written notice and if Tenant requests Landlord’s consent to an assignment of this Lease or a sublease of the Premises, such consent shall be governed by the terms and conditions of Article 10 above. Tenant acknowledges and agrees that the provisions of Article 10 shall be deemed to constitute reasonable limitations of Tenant’s right to assign or sublet. Tenant acknowledges and agrees that in the absence of written notice pursuant to Section 11.2(b) above terminating Tenant’s right to possession, no other act of Landlord shall constitute a termination of Tenant’s right to possession or an acceptance of Tenant’s surrender of the Premises, including acts of maintenance or preservation or efforts to relet the Premises or the appointment of a receiver upon initiative of Landlord to protect Landlord’s interest under this Lease or the withholding of consent to a subletting or assignment, or terminating a subletting or assignment, if in accordance with other provisions of this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In the event that Landlord seeks an injunction with respect to a breach or threatened breach by Tenant of any of the covenants, conditions or provisions of this Lease, Tenant agrees to pay the premium for any bond required in connection with such injunction.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Tenant hereby waives any and all rights to relief from forfeiture, redemption or reinstatement granted by Law (including California Civil Code of Procedure Sections 1174 and 1179) in the event of Tenant being evicted or dispossessed for any cause or in the event of Landlord obtaining possession of the Premises by reason of Tenant’s Default or otherwise.</w:t>
      </w:r>
    </w:p>
    <w:p>
      <w:pPr>
        <w:pStyle w:val="TextBody"/>
        <w:bidi w:val="0"/>
        <w:spacing w:before="0" w:after="240"/>
        <w:jc w:val="both"/>
        <w:rPr>
          <w:rFonts w:ascii="Times New Roman" w:hAnsi="Times New Roman"/>
          <w:sz w:val="20"/>
        </w:rPr>
      </w:pPr>
      <w:bookmarkStart w:id="25" w:name="ole_link3"/>
      <w:bookmarkEnd w:id="25"/>
      <w:r>
        <w:rPr>
          <w:rFonts w:ascii="Times New Roman" w:hAnsi="Times New Roman"/>
          <w:color w:val="000000"/>
          <w:sz w:val="24"/>
        </w:rPr>
        <w:t xml:space="preserve">(f) Notwithstanding any other provision of this Lease, a notice to Tenant given under this Article and Article 24 of this Lease or given pursuant to California Code of Civil Procedure Section 1161, and any notice served by mail, shall be deemed served, and the requisite waiting period deemed to begin under said Code of Civil Procedure Section upon mailing </w:t>
      </w:r>
      <w:bookmarkStart w:id="26" w:name="ole_link1"/>
      <w:bookmarkEnd w:id="26"/>
      <w:r>
        <w:rPr>
          <w:rFonts w:ascii="Times New Roman" w:hAnsi="Times New Roman"/>
          <w:color w:val="000000"/>
          <w:sz w:val="24"/>
        </w:rPr>
        <w:t>(except as may be required under Code of Civil Procedure Section 1161 et seq.), without any additional waiting requirement under Code of Civil Procedure Section 1011 et seq. or by other Law. For purposes of Code of Civil Procedure Section 1162, Tenant’s “place of residence”, “usual place of business”, “the property” and “the place where the property is situated” shall mean and be the Premises, whether or not Tenant has vacated same at the time of service.</w:t>
      </w:r>
    </w:p>
    <w:p>
      <w:pPr>
        <w:pStyle w:val="TextBody"/>
        <w:bidi w:val="0"/>
        <w:jc w:val="left"/>
        <w:rPr>
          <w:rFonts w:ascii="Times New Roman" w:hAnsi="Times New Roman"/>
          <w:color w:val="000000"/>
          <w:sz w:val="24"/>
        </w:rPr>
      </w:pPr>
      <w:r>
        <w:rPr>
          <w:rFonts w:ascii="Times New Roman" w:hAnsi="Times New Roman"/>
          <w:color w:val="000000"/>
          <w:sz w:val="24"/>
        </w:rPr>
        <w:t>51</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The voluntary or other surrender or termination of this Lease, or a mutual termination or cancellation thereof, shall not work a merger and shall terminate all or any existing assignments, subleases, subtenancies or occupancies permitted by Tenant, except if and as otherwise specified in writing by 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No delay or omission in the exercise of any right or remedy of Landlord upon any default by Tenant, and no exercise by Landlord of its rights pursuant to Section 25.16 to perform any duty which Tenant fails timely to perform, shall impair any right or remedy or be construed as a waiver. No provision of this Lease shall be deemed waived by Landlord unless such waiver is in writing signed by Landlord. The waiver by Landlord of any breach of any provision of this Lease shall not be deemed a waiver of any subsequent breach of the same or any other provision of this 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11.3 </w:t>
      </w:r>
      <w:r>
        <w:rPr>
          <w:rFonts w:ascii="Times New Roman" w:hAnsi="Times New Roman"/>
          <w:caps/>
          <w:color w:val="000000"/>
          <w:sz w:val="24"/>
          <w:u w:val="single"/>
        </w:rPr>
        <w:t>ATTORNEYS’ FEES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any party brings any suit or other proceeding with respect to the subject matter or enforcement of this Lease, the prevailing party (as determined by the court, agency or other authority before which such suit or proceeding is commenced) shall, in addition to such other relief as may be awarded, be entitled to recover attorneys’ fees, expenses and costs of investigation as actually incurred, including court costs, expert witness fees, costs and expenses of investigation, and all attorneys’ fees, costs and expenses in any such suit or proceeding (including in any action or participation in or in connection with any case or proceeding under the Bankruptcy Code, 11 United States Code Sections 101 et seq. (the “Bankruptcy Code”), or any successor statutes, in establishing or enforcing the right to indemnification, in appellate proceedings, or in connection with the enforcement or collection of any judgment obtained in any such suit or proceeding).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11.4 </w:t>
      </w:r>
      <w:r>
        <w:rPr>
          <w:rFonts w:ascii="Times New Roman" w:hAnsi="Times New Roman"/>
          <w:caps/>
          <w:color w:val="000000"/>
          <w:sz w:val="24"/>
          <w:u w:val="single"/>
        </w:rPr>
        <w:t>BANKRUPTCY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following provisions shall apply in the event of the bankruptcy or insolvency of Tenant: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In connection with any proceeding under Chapter 7 of the Bankruptcy Code where the trustee of Tenant elects to assume this Lease for the purposes of assigning it, such election or assignment, may only be made upon compliance with the provisions of (b) and (c) below, which conditions Landlord and Tenant acknowledge to be commercially reasonable. In the event the trustee elects to reject this Lease, then Landlord shall immediately be entitled to possession of the Premises without further obligation to Tenant or the trustee.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election to assume this Lease under Chapter 11 or 13 of the Bankruptcy Code by Tenant as debtor-in-possession or by Tenant’s trustee (the “Electing Party”) must provide for: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Electing Party to cure or provide to Landlord adequate assurance that it will cure all monetary defaults under this Lease within fifteen (15) days from the date of assumption, and that it will cure all nonmonetary defaults under this Lease within thirty (30) days from the date of assumption. Landlord and Tenant acknowledge such condition to be commercially reasonable.</w:t>
      </w:r>
    </w:p>
    <w:p>
      <w:pPr>
        <w:pStyle w:val="TextBody"/>
        <w:bidi w:val="0"/>
        <w:spacing w:before="0" w:after="240"/>
        <w:jc w:val="both"/>
        <w:rPr>
          <w:rFonts w:ascii="Times New Roman" w:hAnsi="Times New Roman"/>
          <w:sz w:val="20"/>
        </w:rPr>
      </w:pPr>
      <w:r>
        <w:rPr>
          <w:rFonts w:ascii="Times New Roman" w:hAnsi="Times New Roman"/>
          <w:color w:val="000000"/>
          <w:sz w:val="24"/>
        </w:rPr>
        <w:t>(c) If the Electing Party has assumed this Lease or elects to assign Tenant’s interest under this Lease to any other person, such interest may be assigned only if the intended assignee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52</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has provided adequate assurance of future performance (as herein defined), of all of the obligations imposed on Tenant under this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purposes hereof, “adequate assurance of future performance” means that Landlord has ascertained that each of the following conditions has been satisfied: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The assignee has submitted a current financial statement, certified by its chief financial officer, which shows a net worth and working capital in amounts sufficient to assure the future performance by the assignee of Tenant’s obligations under this Lease; and</w:t>
      </w:r>
    </w:p>
    <w:p>
      <w:pPr>
        <w:pStyle w:val="TextBody"/>
        <w:bidi w:val="0"/>
        <w:spacing w:before="0" w:after="240"/>
        <w:jc w:val="both"/>
        <w:rPr>
          <w:rFonts w:ascii="Times New Roman" w:hAnsi="Times New Roman"/>
          <w:sz w:val="20"/>
        </w:rPr>
      </w:pPr>
      <w:r>
        <w:rPr>
          <w:rFonts w:ascii="Times New Roman" w:hAnsi="Times New Roman"/>
          <w:color w:val="000000"/>
          <w:sz w:val="24"/>
        </w:rPr>
        <w:t>(2) Landlord has obtained consents or waivers from any third parties that may be required under a lease, mortgage, financing arrangement, or other agreement by which Landlord is bound, to enable Landlord to permit such assignment.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Landlord’s acceptance of rent or any other payment from any trustee, receiver, assignee, person, or other entity will not be deemed to have waived, or waive, the requirement of Landlord’s consent, Landlord’s right to terminate this Lease for any transfer of Tenant’s interest under this Lease without such consent, or Landlord’s claim for any amount of Rent due from Tenant.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11.5 </w:t>
      </w:r>
      <w:r>
        <w:rPr>
          <w:rFonts w:ascii="Times New Roman" w:hAnsi="Times New Roman"/>
          <w:caps/>
          <w:color w:val="000000"/>
          <w:sz w:val="24"/>
          <w:u w:val="single"/>
        </w:rPr>
        <w:t>LANDLORD’S DEFAULT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Landlord shall be in default hereunder in the event Landlord has not commenced and pursued with reasonable diligence the cure of any failure of Landlord to meet its obligations hereunder within thirty (30) days after the receipt by Landlord of written notice from Tenant of the alleged failure to perform. In no event shall Tenant have the right to terminate or rescind this Lease as a result of Landlord’s default as to any covenant or agreement contained in this Lease. Tenant hereby waives such remedies of termination and rescission and hereby agrees that Tenant’s remedies for default hereunder and for breach of any promise or inducement shall be limited to a suit for damages and/or injunction. In addition, Tenant hereby covenants that, prior to the exercise of any such remedies, it will give any Mortgagee notice and a reasonable time to cure any default by Landlord (as specified in Section 23.2 below).</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12</w:t>
      </w:r>
      <w:r>
        <w:rPr>
          <w:rFonts w:ascii="Times New Roman" w:hAnsi="Times New Roman"/>
          <w:color w:val="000000"/>
          <w:sz w:val="24"/>
          <w:u w:val="single"/>
        </w:rPr>
        <w:br/>
        <w:t>SURRENDER OF PREMISES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12.1 </w:t>
      </w:r>
      <w:r>
        <w:rPr>
          <w:rFonts w:ascii="Times New Roman" w:hAnsi="Times New Roman"/>
          <w:caps/>
          <w:color w:val="000000"/>
          <w:sz w:val="24"/>
          <w:u w:val="single"/>
        </w:rPr>
        <w:t>IN GENERAL</w:t>
      </w:r>
    </w:p>
    <w:p>
      <w:pPr>
        <w:pStyle w:val="TextBody"/>
        <w:bidi w:val="0"/>
        <w:spacing w:before="0" w:after="240"/>
        <w:jc w:val="both"/>
        <w:rPr>
          <w:rFonts w:ascii="Times New Roman" w:hAnsi="Times New Roman"/>
          <w:sz w:val="20"/>
        </w:rPr>
      </w:pPr>
      <w:r>
        <w:rPr>
          <w:rFonts w:ascii="Times New Roman" w:hAnsi="Times New Roman"/>
          <w:color w:val="000000"/>
          <w:sz w:val="24"/>
        </w:rPr>
        <w:t>Upon the Termination Date, Tenant shall surrender and vacate the Premises immediately and deliver possession thereof to Landlord in a clean, good and tenantable condition, ordinary wear and tear and casualty damage excepted, with all trade fixtures, personal property and Required Removables (as defined below in this Section 12.1) removed therefrom, and any damage from casualty and condemnation, and damage caused by Landlord, shall be governed by the provisions of this Lease dealing specifically therewith. Tenant shall deliver to Landlord all keys to the Premises. All improvements in and to the Premises, including any Tenant Alterations (collectively, “Leasehold Improvements”) shall remain upon the Premises at the end of the Term without compensation to Tenant. Landlord, however, (a) by written notice to Tenant at least 30 days prior to the Termination Date, may require Tenant, at its expense, to remove any Cable, and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53</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by written notice given at the time Landlord approves an Tenant Additions or receives notice of any Cosmetic Alteration, any Tenant Additions that, in Landlord’s reasonable judgment, are of a nature that would require removal and repair costs that are materially in excess of the removal and repair costs associated with standard laboratory and office improvements (collectively referred to as “Required Removables”). Required Removables may include, without limitation, internal stairways, raised floors, personal baths and showers, vaults, rolling file systems and structural alterations and modifications. The designated Required Removables shall be removed by Tenant before the Termination Date. Tenant’s removal and disposal of items pursuant to this Section 12.1 must comply with the Project’s Sustainability Practices and Tenant is strongly encouraged to comply with the applicable Green Building Standards. Tenant shall repair damage caused by the installation or removal of Required Removables. If Tenant fails to perform its obligations in a timely manner, Landlord may perform such work at Tenant’s expense. In the event possession of the Premises is not delivered to Landlord when required hereunder, or if Tenant shall fail to remove those items described above, Landlord may (but shall not be obligated to), at Tenant’s expense, remove any of such property and store, sell or otherwise deal with such property, and undertake, at Tenant’s expense, such restoration work as Landlord deems necessary or advisable. Notwithstanding anything in this Section 12.1 to the contrary, failure by Tenant to strictly comply with the provisions of this Section 12.1 with respect to any trade fixtures, personal property or Required Removables that are required to be removed from the Premises by Tenant hereunder shall constitute a failure of Tenant to validly surrender the Premises.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12.2 </w:t>
      </w:r>
      <w:r>
        <w:rPr>
          <w:rFonts w:ascii="Times New Roman" w:hAnsi="Times New Roman"/>
          <w:caps/>
          <w:color w:val="000000"/>
          <w:sz w:val="24"/>
          <w:u w:val="single"/>
        </w:rPr>
        <w:t>LANDLORD’S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property which may be removed from the Premises by Landlord shall be conclusively presumed to have been abandoned by Tenant and Landlord may deal with such property as provided in Section 11.2(b), including the waiver and indemnity obligations provided in that Section. Tenant shall also reimburse Landlord for all costs and expenses incurred by Landlord in removing any Tenant Additions and in restoring the Premises to the condition required by this Lease.</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13</w:t>
      </w:r>
      <w:r>
        <w:rPr>
          <w:rFonts w:ascii="Times New Roman" w:hAnsi="Times New Roman"/>
          <w:color w:val="000000"/>
          <w:sz w:val="24"/>
          <w:u w:val="single"/>
        </w:rPr>
        <w:br/>
        <w:t>HOLDING OVER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Tenant holds over in possession of the Premises after the Termination Date, Tenant shall pay Landlord 125% of the Monthly Base Rent payable for the month immediately preceding the holding over (including 100% of any applicable Rent Adjustments or increases to Rent Adjustments which Landlord may reasonably estimate) for the first 30 days Tenant holds over possession of the Premises, and thereafter, 150% of the Monthly Base Rent payable for the month immediately preceding the holding over (including 100% of any applicable Rent Adjustments or increases to Rent Adjustments which Landlord may reasonably estimate). Tenant shall also pay all damages, including consequential damages, sustained by Landlord by reason of such holding over. The provisions of this Article shall not constitute a waiver by Landlord of any re-entry rights of Landlord, and Tenant’s continued occupancy of the Premises shall be as a tenancy in sufferance.</w:t>
      </w:r>
    </w:p>
    <w:p>
      <w:pPr>
        <w:pStyle w:val="TextBody"/>
        <w:bidi w:val="0"/>
        <w:jc w:val="left"/>
        <w:rPr>
          <w:rFonts w:ascii="Times New Roman" w:hAnsi="Times New Roman"/>
          <w:color w:val="000000"/>
          <w:sz w:val="24"/>
        </w:rPr>
      </w:pPr>
      <w:r>
        <w:rPr>
          <w:rFonts w:ascii="Times New Roman" w:hAnsi="Times New Roman"/>
          <w:color w:val="000000"/>
          <w:sz w:val="24"/>
        </w:rPr>
        <w:t>54</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14</w:t>
      </w:r>
      <w:r>
        <w:rPr>
          <w:rFonts w:ascii="Times New Roman" w:hAnsi="Times New Roman"/>
          <w:color w:val="000000"/>
          <w:sz w:val="24"/>
          <w:u w:val="single"/>
        </w:rPr>
        <w:br/>
        <w:t>DAMAGE BY FIRE OR OTHER CASUALTY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14.1 </w:t>
      </w:r>
      <w:r>
        <w:rPr>
          <w:rFonts w:ascii="Times New Roman" w:hAnsi="Times New Roman"/>
          <w:caps/>
          <w:color w:val="000000"/>
          <w:sz w:val="24"/>
          <w:u w:val="single"/>
        </w:rPr>
        <w:t>SUBSTANTIAL UNTENANTABILITY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If any fire or other casualty (whether insured or uninsured) renders all or a substantial portion of the Premises or the Building untenantable, Landlord shall, with reasonable promptness after the occurrence of such damage, estimate the length of time that will be required to substantially complete the repair and restoration and shall, by notice advise Tenant of such estimate (“Landlord’s Notice”). If Landlord estimates that the amount of time required to substantially complete such repair and restoration will exceed two hundred seventy (270) days from the date such damage occurred, then Landlord, or Tenant shall have the right to terminate this Lease as of the date of such damage by delivering written notice to the other at any time within twenty (20) days after delivery of Landlord’s Notice, provided that if Landlord so chooses, Landlord’s Notice may also constitute such notice of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Unless this Lease is terminated as provided in the preceding subparagraph, Landlord shall proceed with reasonable promptness to repair and restore the Premises to its condition as existed prior to such casualty, subject to reasonable delays for insurance adjustments and Force Majeure delays, and also subject to zoning Laws and building codes then in effect. Landlord shall have no liability to Tenant, and Tenant shall not be entitled to terminate this Lease if such repairs and restoration are not in fact completed within the time period estimated by Landlord so long as Landlord shall proceed with reasonable diligence to complete such repairs and restoration.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Tenant acknowledges that Landlord shall be entitled to the full proceeds of any insurance coverage, whether carried by Landlord or Tenant, for damages to the Premises, except for those proceeds of Tenant’s insurance for its own personal property and equipment which would be removable by Tenant at the Termination Date. All such insurance proceeds shall be payable to Landlord whether or not the Premises are to be repaired and restored; provided, however, if this Lease is not terminated and the parties proceed to repair and restore Tenant Additions at Tenant’s cost, to the extent Landlord received proceeds of Tenant’s insurance covering Tenant Additions, such proceeds shall be applied to reimburse Tenant for its cost of repairing and restoring Tenant Additions.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Notwithstanding anything to the contrary herein set forth: (i) Landlord shall have no duty pursuant to this Section to repair or restore any portion of any Tenant Additions or to expend for any repair or restoration of the Premises or Building in amounts in excess of insurance proceeds paid to Landlord and available for repair or restoration; and (ii) Tenant shall not have the right to terminate this Lease pursuant to this Section if any damage or destruction was caused by the act or neglect of Tenant, its agent or employees. Whether or not this Lease is terminated pursuant to this Article 14, in no event shall Tenant be entitled to any compensation or damages for loss of the use of the whole or any part of the Premises or for any inconvenience or annoyance occasioned by any such damage, destruction, rebuilding or restoration of the Premises or the Building or access thereto.</w:t>
      </w:r>
    </w:p>
    <w:p>
      <w:pPr>
        <w:pStyle w:val="TextBody"/>
        <w:bidi w:val="0"/>
        <w:spacing w:before="0" w:after="240"/>
        <w:jc w:val="both"/>
        <w:rPr>
          <w:rFonts w:ascii="Times New Roman" w:hAnsi="Times New Roman"/>
          <w:sz w:val="20"/>
        </w:rPr>
      </w:pPr>
      <w:r>
        <w:rPr>
          <w:rFonts w:ascii="Times New Roman" w:hAnsi="Times New Roman"/>
          <w:color w:val="000000"/>
          <w:sz w:val="24"/>
        </w:rPr>
        <w:t>(e) Any repair or restoration of the Premises performed by Tenant shall be in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55</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accordance with the provisions of Article 9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14.2 </w:t>
      </w:r>
      <w:r>
        <w:rPr>
          <w:rFonts w:ascii="Times New Roman" w:hAnsi="Times New Roman"/>
          <w:caps/>
          <w:color w:val="000000"/>
          <w:sz w:val="24"/>
          <w:u w:val="single"/>
        </w:rPr>
        <w:t>INSUBSTANTIAL UNTENANTABILITY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Premises or the Building is damaged by a casualty but neither is rendered substantially untenantable and Landlord estimates that the time to substantially complete the repair or restoration will not exceed three hundred sixty-five (365) days from the date such damage occurred, then Landlord shall proceed to repair and restore the Building or the Premises other than Tenant Additions, with reasonable promptness, unless such damage is to the Premises and occurs during the last six (6) months of the Term, in which event either Tenant or Landlord shall have the right to terminate this Lease as of the date of such casualty by giving written notice thereof to the other within twenty (20) days after the date of such casualty. Notwithstanding the aforesaid, Landlord’s obligation to repair shall be limited in accordance with the provisions of Section 14.1 above.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14.3 </w:t>
      </w:r>
      <w:r>
        <w:rPr>
          <w:rFonts w:ascii="Times New Roman" w:hAnsi="Times New Roman"/>
          <w:caps/>
          <w:color w:val="000000"/>
          <w:sz w:val="24"/>
          <w:u w:val="single"/>
        </w:rPr>
        <w:t>RENT ABATEMENT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for the negligence or willful act of Tenant or its agents, employees, contractors or invitees, if all or any part of the Premises are rendered untenantable by fire or other casualty and this Lease is not terminated, Monthly Base Rent and Rent Adjustments shall abate for that part of the Premises which is untenantable on a per diem basis from the date of the casualty until Landlord has substantially completed the repair and restoration work in the Premises which it is required to perform, provided, that as a result of such casualty, Tenant does not occupy the portion of the Premises which is untenantable during such period.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14.4 </w:t>
      </w:r>
      <w:r>
        <w:rPr>
          <w:rFonts w:ascii="Times New Roman" w:hAnsi="Times New Roman"/>
          <w:caps/>
          <w:color w:val="000000"/>
          <w:sz w:val="24"/>
          <w:u w:val="single"/>
        </w:rPr>
        <w:t>WAIVER OF STATUTORY REMEDIES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provisions of this Lease, including this Article 14, constitute an express agreement between Landlord and Tenant with respect to any and all damage to, or destruction of, the Premises or the Property or any part of either, and any Law, including Sections 1932(2), 1933(4), 1941 and 1942 of the California Civil Code, with respect to any rights or obligations concerning damage or destruction shall have no application to this Lease or to any damage to or destruction of all or any part of the Premises or the Property or any part of either, and are hereby waived.</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15</w:t>
      </w:r>
      <w:r>
        <w:rPr>
          <w:rFonts w:ascii="Times New Roman" w:hAnsi="Times New Roman"/>
          <w:color w:val="000000"/>
          <w:sz w:val="24"/>
          <w:u w:val="single"/>
        </w:rPr>
        <w:br/>
        <w:t>EMINENT DOMAIN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15.1 </w:t>
      </w:r>
      <w:r>
        <w:rPr>
          <w:rFonts w:ascii="Times New Roman" w:hAnsi="Times New Roman"/>
          <w:caps/>
          <w:color w:val="000000"/>
          <w:sz w:val="24"/>
          <w:u w:val="single"/>
        </w:rPr>
        <w:t>TAKING OF WHOLE OR SUBSTANTIAL PART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the whole or any substantial part of the Building or of the Premises is taken or condemned by any competent authority for any public use or purpose (including a deed given in lieu of condemnation) and is thereby rendered untenantable, this Lease shall terminate as of the date title vests in such authority, and Monthly Base Rent and Rent Adjustments shall be apportioned as of the Termination Date. Notwithstanding anything to the contrary herein set forth, in the event the taking is temporary (for less than the remaining Term of this Lease), Landlord may elect either (i) to terminate this Lease or (ii) permit Tenant to receive the entire award attributable to the Premises in which case Tenant shall continue to pay Rent and this Lease shall not terminate.</w:t>
      </w:r>
    </w:p>
    <w:p>
      <w:pPr>
        <w:pStyle w:val="TextBody"/>
        <w:bidi w:val="0"/>
        <w:jc w:val="left"/>
        <w:rPr>
          <w:rFonts w:ascii="Times New Roman" w:hAnsi="Times New Roman"/>
          <w:color w:val="000000"/>
          <w:sz w:val="24"/>
        </w:rPr>
      </w:pPr>
      <w:r>
        <w:rPr>
          <w:rFonts w:ascii="Times New Roman" w:hAnsi="Times New Roman"/>
          <w:color w:val="000000"/>
          <w:sz w:val="24"/>
        </w:rPr>
        <w:t>56</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15.2 </w:t>
      </w:r>
      <w:r>
        <w:rPr>
          <w:rFonts w:ascii="Times New Roman" w:hAnsi="Times New Roman"/>
          <w:caps/>
          <w:color w:val="000000"/>
          <w:sz w:val="24"/>
          <w:u w:val="single"/>
        </w:rPr>
        <w:t>TAKING OF PART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a part of the Building or the Premises is taken or condemned by any competent authority (or a deed is delivered in lieu of condemnation) and this Lease is not terminated, this Lease shall be amended to reduce or increase, as the case may be, the Monthly Base Rent and Tenant’s Share (including Rent Adjustments and Rent Adjustment Deposit) to reflect the Rentable Area of the Premises or Building, as the case may be, remaining after any such taking or condemnation. Landlord, upon receipt and to the extent of the award in condemnation (or proceeds of sale) shall make necessary repairs and restorations to the Premises (exclusive of Tenant Additions) and to the Building to the extent necessary to constitute the portion of the Building not so taken or condemned as a complete architectural and economically efficient unit. Notwithstanding the foregoing, if as a result of any taking, or a governmental order that the grade of any street or alley adjacent to the Building is to be changed and such taking or change of grade makes it necessary or desirable to substantially remodel or restore the Building or prevents the economical operation of the Building, Landlord shall have the right to terminate this Lease upon ninety (90) days prior written notice to Tenant.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15.3 </w:t>
      </w:r>
      <w:r>
        <w:rPr>
          <w:rFonts w:ascii="Times New Roman" w:hAnsi="Times New Roman"/>
          <w:caps/>
          <w:color w:val="000000"/>
          <w:sz w:val="24"/>
          <w:u w:val="single"/>
        </w:rPr>
        <w:t>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Landlord shall be entitled to receive the entire award (or sale proceeds) from any such taking, condemnation or sale without any payment to Tenant, and Tenant hereby assigns to Landlord, Tenant’s interest, if any, in such award; provided, however, Tenant shall have the right separately to pursue against the condemning authority a separate award in respect of the loss, if any, to Tenant Additions paid for by Tenant without any credit or allowance from Landlord so long as there is no diminution of Landlord’s award as a result.</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16</w:t>
      </w:r>
      <w:r>
        <w:rPr>
          <w:rFonts w:ascii="Times New Roman" w:hAnsi="Times New Roman"/>
          <w:color w:val="000000"/>
          <w:sz w:val="24"/>
          <w:u w:val="single"/>
        </w:rPr>
        <w:br/>
        <w:t>INSURANCE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16.1 </w:t>
      </w:r>
      <w:r>
        <w:rPr>
          <w:rFonts w:ascii="Times New Roman" w:hAnsi="Times New Roman"/>
          <w:caps/>
          <w:color w:val="000000"/>
          <w:sz w:val="24"/>
          <w:u w:val="single"/>
        </w:rPr>
        <w:t>TENANT’S INSURANCE</w:t>
      </w:r>
    </w:p>
    <w:p>
      <w:pPr>
        <w:pStyle w:val="TextBody"/>
        <w:bidi w:val="0"/>
        <w:spacing w:before="0" w:after="240"/>
        <w:jc w:val="both"/>
        <w:rPr>
          <w:rFonts w:ascii="Times New Roman" w:hAnsi="Times New Roman"/>
          <w:sz w:val="20"/>
        </w:rPr>
      </w:pPr>
      <w:r>
        <w:rPr>
          <w:rFonts w:ascii="Times New Roman" w:hAnsi="Times New Roman"/>
          <w:color w:val="000000"/>
          <w:sz w:val="24"/>
        </w:rPr>
        <w:t>Tenant, at Tenant’s expense, agrees to maintain in force, with a company or companies acceptable to Landlord, during the Term: (a) Commercial General Liability Insurance on a primary basis and without any right of contribution from any insurance carried by Landlord covering the Premises on an occurrence basis against claims for personal injury, bodily injury, death and property damage, including contractual liability covering the indemnification provisions in this Lease, and such insurance shall be for such limits but not less than a combined single limit (each occurrence and in the aggregate) of Five Million and No/100 Dollars ($5,000,000.00) (which limit may be achieved through use of umbrella coverage); (b) Workers’ Compensation and Employers’ Liability Insurance to the extent required by and in accordance with the Laws of the State of California; (c) special form property insurance in an amount adequate to cover the full replacement cost of all Tenant Additions, equipment, installations, fixtures and contents of the Premises in the event of loss from water damage (caused by systems within the Building), earthquake sprinkler leakage, and such other risks as Landlord may designate from time to time; (d) in the event a motor vehicle is to be used by Tenant in connection with its business operation from the Premises, commercial Automobile Liability Insurance coverage with limits of not less than One Million and No/100 Dollars ($1,000,000.00) combined single limit coverage against bodily injury liability and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57</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property damage liability arising out of the use by or on behalf of Tenant, in connection with this Lease, of any owned, non-owned or hired motor vehicles; (e) environmental liability (also known as “Pollution Legal Liability”) coverage with limits of not less than One Million and No/100 Dollars ($1,000,000.00) to cover Tenant’s indemnity obligations pursuant to Section 7.1(f)(5) above; and (f) such other insurance or coverages as Landlord reasonably requires.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16.2 </w:t>
      </w:r>
      <w:r>
        <w:rPr>
          <w:rFonts w:ascii="Times New Roman" w:hAnsi="Times New Roman"/>
          <w:caps/>
          <w:color w:val="000000"/>
          <w:sz w:val="24"/>
          <w:u w:val="single"/>
        </w:rPr>
        <w:t>FORM OF POLICIES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policy referred to in Section 16.1 shall satisfy the following requirements: (i) the Commercial General Liability policy shall name Landlord and the Indemnitees as additional insureds, (ii) the special form property insurance shall name Landlord and the Indemnitees as loss payees to the extent of Landlord’s interest in the proceeds (as set forth in Article 14 above), (iii) each policy shall be issued by one or more insurance companies licensed to do business in the State of California and with an A.M. Best rating of not less than A-XII), and (iv) where applicable (and excluding policies for Commercial General Liability and Workers Compensation), each policy shall provide for deductible amounts of not greater than Fifty Thousand and 00/100ths Dollars ($50,000.00) and not permit co</w:t>
        <w:noBreakHyphen/>
        <w:t>insurance. Tenant shall deliver to Landlord, certificates of insurance, prior to Tenant’s entry into the Premises and prior to the expiration date of each policy. If Tenant fails to carry the insurance required under this Article 16 or fails to provide certificates of renewal as and when required hereunder, Landlord may, but shall not be obligated to acquire such insurance on Tenant’s behalf or Tenant’s sole cost and expense.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16.3 </w:t>
      </w:r>
      <w:r>
        <w:rPr>
          <w:rFonts w:ascii="Times New Roman" w:hAnsi="Times New Roman"/>
          <w:caps/>
          <w:color w:val="000000"/>
          <w:sz w:val="24"/>
          <w:u w:val="single"/>
        </w:rPr>
        <w:t>LANDLORD’S INSURANCE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Landlord agrees to purchase and keep in full force and effect during the Term hereof, including any extensions or renewals thereof, insurance under policies issued by insurers of recognized responsibility, qualified to do business in the State of California on the Building in amounts sufficient to cover 80% of the replacement cost thereof, insuring against fire and such other risks as may be included in standard forms of all risk coverage insurance reasonably available from time to time (which requirement may be achieved through use of a single insurance policy covering multiple buildings owned by Landlord and affiliates of Landlord). Landlord agrees to maintain in force during the Term, Commercial General Liability Insurance covering the Building on an occurrence basis against all claims for personal injury, bodily injury, death, and property damage. Such insurance shall be for a combined single limit (each occurrence and in the aggregate) of not less than Five Million and No/100 Dollars ($5,000,000.00) (which limit may be achieved through use of umbrella coverage). Neither Landlord’s obligation to carry such insurance nor the carrying of such insurance shall be deemed to be an indemnity by Landlord with respect to any claim, liability, loss, cost or expense due, in whole or in part, to Tenant’s negligent acts or omissions or willful misconduct. Without obligation to do so, Landlord may, in its sole discretion from time to time, carry insurance in amounts greater and/or for coverage additional to the coverage and amounts set forth above.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16.4 </w:t>
      </w:r>
      <w:r>
        <w:rPr>
          <w:rFonts w:ascii="Times New Roman" w:hAnsi="Times New Roman"/>
          <w:caps/>
          <w:color w:val="000000"/>
          <w:sz w:val="24"/>
          <w:u w:val="single"/>
        </w:rPr>
        <w:t>WAIVER OF SUBROGATION</w:t>
      </w:r>
    </w:p>
    <w:p>
      <w:pPr>
        <w:pStyle w:val="TextBody"/>
        <w:bidi w:val="0"/>
        <w:spacing w:before="0" w:after="240"/>
        <w:jc w:val="both"/>
        <w:rPr>
          <w:rFonts w:ascii="Times New Roman" w:hAnsi="Times New Roman"/>
          <w:sz w:val="20"/>
        </w:rPr>
      </w:pPr>
      <w:r>
        <w:rPr>
          <w:rFonts w:ascii="Times New Roman" w:hAnsi="Times New Roman"/>
          <w:color w:val="000000"/>
          <w:sz w:val="24"/>
        </w:rPr>
        <w:t>(a) Landlord agrees that, if obtainable at no, or minimal, additional cost, and so long as the same is permitted under the laws of the State of California, it will include in its “All Risks” policies appropriate clauses pursuant to which the insurance companies (i) waive all right of</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58</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subrogation against Tenant with respect to losses payable under such policies and/or (ii) agree that such policies shall not be invalidated should the insured waive in writing prior to a loss any or all right of recovery against any party for losses covered by such policies.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Tenant agrees to include, if obtainable at no, or minimal, additional cost, and so long as the same is permitted under the laws of the State of California, in its special insurance policy or policies on Tenant Additions, whether or not removable, and on Tenant’s furniture, furnishings, fixtures and other property removable by Tenant under the provisions of this Lease, appropriate clauses pursuant to which the insurance company or companies waive the right of subrogation against Landlord with respect to losses payable under such policy or policies.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Provided that Landlord’s right of full recovery under its policy or policies aforesaid is not adversely affected or prejudiced thereby, Landlord hereby waives any and all right of recovery which it might otherwise have against Tenant, its servants, agents and employees, for loss or damage occurring to the Real Property and the fixtures, appurtenances and equipment therein, to the extent the same is covered by Landlord’s insurance, notwithstanding that such loss or damage may result from the negligence or fault of Tenant, its servants, agents or employees. Provided that Tenant’s right of full recovery under its aforesaid policy or policies is not adversely affected or prejudiced thereby, Tenant hereby waives any and all right of recovery which it might otherwise have against Landlord, its servants, and employees and against every other tenant of the Real Property who shall have executed a similar waiver as set forth in this Section 16.4(c) for loss or damage to Tenant Additions, whether or not removable, and to Tenant’s furniture, furnishings, fixtures and other property removable by Tenant under the provisions hereof to the extent the same is coverable by Tenant’s insurance required under this Lease, notwithstanding that such loss or damage may result from the negligence or fault of Landlord, its servants, agents or employees, or such other tenant and the servants, agents or employees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Landlord and Tenant hereby agree to advise the other promptly if the clauses to be included in their respective insurance policies pursuant to subparagraphs (a) and (b) above cannot be obtained on the terms hereinbefore provided. Landlord and Tenant hereby also agree to notify the other promptly of any cancellation or change of the terms of any such policy that would affect such clauses.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16.5 </w:t>
      </w:r>
      <w:r>
        <w:rPr>
          <w:rFonts w:ascii="Times New Roman" w:hAnsi="Times New Roman"/>
          <w:caps/>
          <w:color w:val="000000"/>
          <w:sz w:val="24"/>
          <w:u w:val="single"/>
        </w:rPr>
        <w:t>NOTICE OF CASUALTY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 shall give Landlord notice in case of a fire or accident in the Premises promptly after Tenant is aware of such event.</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17</w:t>
      </w:r>
      <w:r>
        <w:rPr>
          <w:rFonts w:ascii="Times New Roman" w:hAnsi="Times New Roman"/>
          <w:color w:val="000000"/>
          <w:sz w:val="24"/>
          <w:u w:val="single"/>
        </w:rPr>
        <w:br/>
        <w:t>WAIVER OF CLAIMS AND INDEMNITY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17.1 </w:t>
      </w:r>
      <w:r>
        <w:rPr>
          <w:rFonts w:ascii="Times New Roman" w:hAnsi="Times New Roman"/>
          <w:caps/>
          <w:color w:val="000000"/>
          <w:sz w:val="24"/>
          <w:u w:val="single"/>
        </w:rPr>
        <w:t>WAIVER OF CLAIMS</w:t>
      </w:r>
    </w:p>
    <w:p>
      <w:pPr>
        <w:pStyle w:val="TextBody"/>
        <w:bidi w:val="0"/>
        <w:spacing w:before="0" w:after="240"/>
        <w:jc w:val="both"/>
        <w:rPr>
          <w:rFonts w:ascii="Times New Roman" w:hAnsi="Times New Roman"/>
          <w:sz w:val="20"/>
        </w:rPr>
      </w:pPr>
      <w:r>
        <w:rPr>
          <w:rFonts w:ascii="Times New Roman" w:hAnsi="Times New Roman"/>
          <w:color w:val="000000"/>
          <w:sz w:val="24"/>
        </w:rPr>
        <w:t>To the extent permitted by Law, Tenant hereby releases the Indemnitees from, and waives all claims for, damage to person or property sustained by Tenant or any occupant of the Premises or the Property resulting directly or indirectly from any existing or future condition, defect, matter or thing in and about the Premises or the Property or any part of either or any equipment or appurtenance therein, or resulting from any accident in or about the Premises or the Property, or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59</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resulting directly or indirectly from any act or neglect of any tenant or occupant of the Property or of any other person, including Landlord’s agents and servants, except to the extent caused by the gross negligence or willful and wrongful act of any of the Indemnitees. To the extent permitted by Law, Tenant and Landlord each (but not, with respect to Landlord, as to liability relating to Section 7.1(f) or Article 13) hereby waives any consequential damages, compensation or claims for inconvenience or loss of business, rents, or profits as a result of such injury or damage, whether or not caused by the gross negligence or willful and wrongful act of any such party. If any such damage, whether to the Premises or the Property or any part of either, or whether to Landlord or to other tenants in the Property, results from any act or neglect of Tenant, its employees, servants, agents, contractors, invitees or customers, Tenant shall be liable therefor and Landlord may, at Landlord’s option, repair such damage and Tenant shall, upon demand by Landlord, as payment of additional Rent hereunder, reimburse Landlord within sixty (60) days after demand for the total cost of such repairs, in excess of amounts, if any, paid to Landlord under insurance covering such damages. Tenant shall not be liable for any such damage caused by its acts or neglect if Landlord or a tenant has recovered the full amount of the damage from proceeds of insurance policies and the insurance company has waived its right of subrogation against Tenant.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17.2 </w:t>
      </w:r>
      <w:r>
        <w:rPr>
          <w:rFonts w:ascii="Times New Roman" w:hAnsi="Times New Roman"/>
          <w:caps/>
          <w:color w:val="000000"/>
          <w:sz w:val="24"/>
          <w:u w:val="single"/>
        </w:rPr>
        <w:t>INDEMNITY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permitted by Law, except to the extent arising from the gross negligence or willful misconduct of Landlord, Tenant hereby indemnifies, and agrees to protect, defend and hold the Indemnitees harmless, against any and all actions, claims, demands, liability, costs and expenses, including attorneys’ fees and expenses for the defense thereof, arising from Tenant’s occupancy of the Premises, from the undertaking of any Tenant Additions or repairs to the Premises, from the conduct of Tenant’s business on the Premises, or from any breach or default on the part of Tenant in the performance of any covenant or agreement on the part of Tenant to be performed pursuant to the terms of this Lease, or from any willful act or negligence of Tenant, its agents, contractors, servants, employees, customers or invitees, in or about the Premises or the Property or any part of either. In case of any action or proceeding brought against the Indemnitees by reason of any such claim, upon notice from Landlord, Tenant covenants to defend such action or proceeding by counsel chosen by Tenant and reasonably acceptable to Landlord. Landlord reserves the right to settle, compromise or dispose of any and all actions, claims and demands related to the foregoing indemnity. The foregoing indemnity shall not operate to relieve Indemnitees of liability to the extent such liability is caused by the willful and wrongful act of Indemnitees. Further, the foregoing indemnity is subject to and shall not diminish any waivers in effect in accordance with Section 16.4 by Landlord or its insurers to the extent of amounts, if any, paid to Landlord under its “All Risks” property insurance. Notwithstanding anything to the contrary in this Lease, Landlord shall not be indemnified for any losses, damages, liabilities, claims, attorneys’ fees, costs and expenses arising from the gross negligence or willful misconduct of Landlord or its agents, contractors or licensees. This Article 17 shall survive the expiration or earlier termination of this 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17.3 </w:t>
      </w:r>
      <w:r>
        <w:rPr>
          <w:rFonts w:ascii="Times New Roman" w:hAnsi="Times New Roman"/>
          <w:caps/>
          <w:color w:val="000000"/>
          <w:sz w:val="24"/>
          <w:u w:val="single"/>
        </w:rPr>
        <w:t>WAIVER OF CONSEQUENTIAL DAMAGES</w:t>
      </w:r>
    </w:p>
    <w:p>
      <w:pPr>
        <w:pStyle w:val="TextBody"/>
        <w:bidi w:val="0"/>
        <w:spacing w:before="0" w:after="240"/>
        <w:jc w:val="both"/>
        <w:rPr>
          <w:rFonts w:ascii="Times New Roman" w:hAnsi="Times New Roman"/>
          <w:sz w:val="20"/>
        </w:rPr>
      </w:pPr>
      <w:r>
        <w:rPr>
          <w:rFonts w:ascii="Times New Roman" w:hAnsi="Times New Roman"/>
          <w:color w:val="000000"/>
          <w:sz w:val="24"/>
        </w:rPr>
        <w:t>To the extent permitted by Law, Tenant and Landlord each (but not, with respect to Landlord, as to liability relating to Section 7.1(f) or Article 13) hereby waives and releases the other from any consequential damages, compensation or claims for inconvenience or loss of</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60</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business, rents or profits as a result of any injury or damage, whether or not caused by the willful and wrongful act of either the Indemnitees or the Tenant.</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18</w:t>
      </w:r>
      <w:r>
        <w:rPr>
          <w:rFonts w:ascii="Times New Roman" w:hAnsi="Times New Roman"/>
          <w:color w:val="000000"/>
          <w:sz w:val="24"/>
          <w:u w:val="single"/>
        </w:rPr>
        <w:br/>
        <w:t>RULES AND REGULATIONS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18.1 </w:t>
      </w:r>
      <w:r>
        <w:rPr>
          <w:rFonts w:ascii="Times New Roman" w:hAnsi="Times New Roman"/>
          <w:caps/>
          <w:color w:val="000000"/>
          <w:sz w:val="24"/>
          <w:u w:val="single"/>
        </w:rPr>
        <w:t>RULES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Tenant agrees for itself and for its subtenants, employees, agents, and invitees to comply with the rules and regulations listed on </w:t>
      </w:r>
      <w:r>
        <w:rPr>
          <w:rFonts w:ascii="Times New Roman" w:hAnsi="Times New Roman"/>
          <w:color w:val="000000"/>
          <w:sz w:val="24"/>
          <w:u w:val="single"/>
        </w:rPr>
        <w:t>Exhibit C-2</w:t>
      </w:r>
      <w:r>
        <w:rPr>
          <w:rFonts w:ascii="Times New Roman" w:hAnsi="Times New Roman"/>
          <w:color w:val="000000"/>
          <w:sz w:val="20"/>
        </w:rPr>
        <w:t xml:space="preserve"> </w:t>
      </w:r>
      <w:r>
        <w:rPr>
          <w:rFonts w:ascii="Times New Roman" w:hAnsi="Times New Roman"/>
          <w:color w:val="000000"/>
          <w:sz w:val="24"/>
        </w:rPr>
        <w:t>attached hereto and with all reasonable modifications and additions thereto which Landlord may make from time to time on a non-discriminatory basis.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18.2 </w:t>
      </w:r>
      <w:r>
        <w:rPr>
          <w:rFonts w:ascii="Times New Roman" w:hAnsi="Times New Roman"/>
          <w:caps/>
          <w:color w:val="000000"/>
          <w:sz w:val="24"/>
          <w:u w:val="single"/>
        </w:rPr>
        <w:t>ENFORCEMENT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Nothing in this Lease shall be construed to impose upon Landlord any duty or obligation to enforce the rules and regulations as set forth on </w:t>
      </w:r>
      <w:r>
        <w:rPr>
          <w:rFonts w:ascii="Times New Roman" w:hAnsi="Times New Roman"/>
          <w:color w:val="000000"/>
          <w:sz w:val="24"/>
          <w:u w:val="single"/>
        </w:rPr>
        <w:t>Exhibit C-2</w:t>
      </w:r>
      <w:r>
        <w:rPr>
          <w:rFonts w:ascii="Times New Roman" w:hAnsi="Times New Roman"/>
          <w:color w:val="000000"/>
          <w:sz w:val="20"/>
        </w:rPr>
        <w:t xml:space="preserve"> </w:t>
      </w:r>
      <w:r>
        <w:rPr>
          <w:rFonts w:ascii="Times New Roman" w:hAnsi="Times New Roman"/>
          <w:color w:val="000000"/>
          <w:sz w:val="24"/>
        </w:rPr>
        <w:t>or as hereafter adopted, or the terms, covenants or conditions of any other lease as against any other tenant, and Landlord shall not be liable to Tenant for violation of the same by any other tenant, its servants, employees, agents, visitors or licensees. Landlord shall use reasonable efforts to enforce the rules and regulations of the Project in a uniform and non-discriminatory manner.</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19</w:t>
      </w:r>
      <w:r>
        <w:rPr>
          <w:rFonts w:ascii="Times New Roman" w:hAnsi="Times New Roman"/>
          <w:color w:val="000000"/>
          <w:sz w:val="24"/>
          <w:u w:val="single"/>
        </w:rPr>
        <w:br/>
        <w:t>LANDLORD’S RESERVED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Landlord shall have the following rights exercisable without notice to Tenant and without liability to Tenant for damage or injury to persons, property or business and without being deemed an eviction or disturbance of Tenant’s use or possession of the Premises or giving rise to any claim for offset or abatement of Rent: (1) to change the Building’s name or street address upon thirty (30) days’ prior written notice to Tenant; (2) to install, affix and maintain all signs on the exterior and/or interior of the Building; (3) to designate and/or approve prior to installation, all types of signs, window shades, blinds, drapes, awnings or other similar items, and all internal lighting that may be visible from the exterior of the Premises; (4) upon reasonable notice to Tenant, to display the Premises to prospective purchasers and lenders during Tenant’s normal business hours at any time during the Term and to prospective tenants during Tenant’s normal business hours during the last twelve (12) months of the Term; (5) to grant to any party the exclusive right to conduct any business or render any service in or to the Building, provided such exclusive right shall not operate to prohibit Tenant from accessing or using the Premises for the purpose permitted hereunder; (6) to change the arrangement and/or location of entrances or passageways, doors and doorways, corridors, elevators, stairs, washrooms or public portions of the Building, and to close entrances, doors, corridors, elevators or other facilities, provided that such action shall not materially and adversely interfere with Tenant’s use of or access to the Premises or the Building; (7) to have access for Landlord and other tenants of the Building to any mail chutes and boxes located in or on the Premises as required by any applicable rules of the United States Post Office; and (8) to close the Building after Standard Operating Hours, except that Tenant and its employees and invitees shall be entitled to admission at all times, under such regulations as Landlord reasonably prescribes for security purposes.</w:t>
      </w:r>
    </w:p>
    <w:p>
      <w:pPr>
        <w:pStyle w:val="TextBody"/>
        <w:bidi w:val="0"/>
        <w:jc w:val="left"/>
        <w:rPr>
          <w:rFonts w:ascii="Times New Roman" w:hAnsi="Times New Roman"/>
          <w:color w:val="000000"/>
          <w:sz w:val="24"/>
        </w:rPr>
      </w:pPr>
      <w:r>
        <w:rPr>
          <w:rFonts w:ascii="Times New Roman" w:hAnsi="Times New Roman"/>
          <w:color w:val="000000"/>
          <w:sz w:val="24"/>
        </w:rPr>
        <w:t>61</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20</w:t>
      </w:r>
      <w:r>
        <w:rPr>
          <w:rFonts w:ascii="Times New Roman" w:hAnsi="Times New Roman"/>
          <w:color w:val="000000"/>
          <w:sz w:val="24"/>
          <w:u w:val="single"/>
        </w:rPr>
        <w:br/>
        <w:t>ESTOPPEL CERTIFICATE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20.1 </w:t>
      </w:r>
      <w:r>
        <w:rPr>
          <w:rFonts w:ascii="Times New Roman" w:hAnsi="Times New Roman"/>
          <w:caps/>
          <w:color w:val="000000"/>
          <w:sz w:val="24"/>
          <w:u w:val="single"/>
        </w:rPr>
        <w:t>IN GENERAL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ten (10) business days after request therefor by Landlord, Mortgagee or any prospective mortgagee or owner, Tenant agrees as directed in such request to execute the proposed form of estoppel certificate (an “Estoppel Certificate”) (which may require that such instrument be notarized), binding upon Tenant, certifying (i) that this Lease is unmodified and in full force and effect (or if there have been modifications, a description of such modifications and that this Lease as modified is in full force and effect); (ii) the dates to which Rent has been paid; (iii) that Tenant is in the possession of the Premises, if that is the case; (iv) that Landlord is not in default under this Lease, or, if Tenant believes Landlord is in default, the nature thereof in detail; (v) that Tenant has no offsets or defenses to the performance of its obligations under this Lease (or if Tenant believes there are any offsets or defenses, a full and complete explanation thereof); (vi) that the Premises have been completed in accordance with the terms and provisions hereof, that Tenant has accepted the Premises and the condition thereof and of all improvements thereto and has no claims against Landlord or any other party with respect thereto; (vii) that if an assignment of rents or leases has been served upon Tenant by a Mortgagee, Tenant will acknowledge receipt thereof and agree to be bound by the provisions thereof; (viii) that Tenant will give to the Mortgagee copies of all notices required or permitted to be given by Tenant to Landlord; and (ix) to any other information reasonably requested.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20.2 </w:t>
      </w:r>
      <w:r>
        <w:rPr>
          <w:rFonts w:ascii="Times New Roman" w:hAnsi="Times New Roman"/>
          <w:caps/>
          <w:color w:val="000000"/>
          <w:sz w:val="24"/>
          <w:u w:val="single"/>
        </w:rPr>
        <w:t>ENFORCEMENT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(a) Tenant fails to timely deliver an Estoppel Certificate, (b) such failure continues following a second, five (5) business days’ written notice, and (c) Tenant has neither delivered the Estoppel Certificate, nor provided written notice of its good faith comments to or good faith dispute with the contents of such Estoppel Certificate, then (i) Tenant shall be bound to, and deemed to have irrevocably agreed to, the accuracy and truthfulness of the Estoppel Certificate delivered to Tenant, and (ii) Landlord, and any third party receiving such form of Estoppel Certificate, including a Mortgagee or purchaser, may rely upon the accuracy and truthfulness thereof.</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21</w:t>
      </w:r>
      <w:r>
        <w:rPr>
          <w:rFonts w:ascii="Times New Roman" w:hAnsi="Times New Roman"/>
          <w:color w:val="000000"/>
          <w:sz w:val="24"/>
          <w:u w:val="single"/>
        </w:rPr>
        <w:br/>
        <w:t>INTENTIONALLY OMITTED</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22</w:t>
      </w:r>
      <w:r>
        <w:rPr>
          <w:rFonts w:ascii="Times New Roman" w:hAnsi="Times New Roman"/>
          <w:color w:val="000000"/>
          <w:sz w:val="24"/>
          <w:u w:val="single"/>
        </w:rPr>
        <w:br/>
        <w:t>REAL ESTATE BROKERS</w:t>
      </w:r>
    </w:p>
    <w:p>
      <w:pPr>
        <w:pStyle w:val="TextBody"/>
        <w:bidi w:val="0"/>
        <w:spacing w:before="0" w:after="240"/>
        <w:jc w:val="both"/>
        <w:rPr>
          <w:rFonts w:ascii="Times New Roman" w:hAnsi="Times New Roman"/>
          <w:sz w:val="20"/>
        </w:rPr>
      </w:pPr>
      <w:r>
        <w:rPr>
          <w:rFonts w:ascii="Times New Roman" w:hAnsi="Times New Roman"/>
          <w:color w:val="000000"/>
          <w:sz w:val="24"/>
        </w:rPr>
        <w:t>Tenant represents that, except for the broker(s) listed in Section 1.1, Tenant has not dealt with any real estate broker, sales person, or finder in connection with this Lease, and no such person initiated or participated in the negotiation of this Lease, or showed the Premises to Tenant. Tenant hereby agrees to indemnify, protect, defend and hold Landlord and the Indemnitees, harmless from and against any and all liabilities and claims for commissions and fees arising out of a breach of the foregoing representation, as well as from any claim or claims for any commission or fee by any broker or other party claiming to represent Tenant in connection with any future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62</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extensions or renewals of the Term. Landlord agrees to pay any commission to which the brokers listed in Section 1.1 are entitled in connection with this Lease pursuant to Landlord’s written agreement with such broker.</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23</w:t>
      </w:r>
      <w:r>
        <w:rPr>
          <w:rFonts w:ascii="Times New Roman" w:hAnsi="Times New Roman"/>
          <w:color w:val="000000"/>
          <w:sz w:val="24"/>
          <w:u w:val="single"/>
        </w:rPr>
        <w:br/>
        <w:t>MORTGAGEE PROTECTION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23.1 </w:t>
      </w:r>
      <w:r>
        <w:rPr>
          <w:rFonts w:ascii="Times New Roman" w:hAnsi="Times New Roman"/>
          <w:caps/>
          <w:color w:val="000000"/>
          <w:sz w:val="24"/>
          <w:u w:val="single"/>
        </w:rPr>
        <w:t>SUBORDINATION AND ATTORNMENT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Subject to Tenant’s rights under Section 23.1(b) below, this Lease is and shall be expressly subject and subordinate at all times to (i) any ground or underlying lease of the Real Property, now or hereafter existing, and all amendments, extensions, renewals and modifications to any such lease, and (ii) the lien of any mortgage or trust deed now or hereafter encumbering fee title to the Real Property and/or the leasehold estate under any such lease, and all amendments, extensions, renewals, replacements and modifications of such mortgage or trust deed and/or the obligation secured thereby, unless such ground lease or ground lessor, or mortgage, trust deed or Mortgagee, expressly provides or elects that this Lease shall be superior to such lease or mortgage or trust deed. If any such mortgage or trust deed is foreclosed (including any sale of the Real Property pursuant to a power of sale), or if any such lease is terminated, upon request of the Mortgagee or ground lessor, as the case may be, Tenant shall attorn to the purchaser at the foreclosure sale or to the ground lessor under such lease, as the case may be, provided, however, that such purchaser or ground lessor shall not be (i) bound by any payment of Rent for more than one month in advance except payments in the nature of security for the performance by Tenant of its obligations under this Lease; (ii) subject to any offset, defense or damages arising out of a default of any obligations of any preceding Landlord; or (iii) bound by any amendment or modification of this Lease made without the written consent of the Mortgagee or ground lessor; or (iv) liable for any security deposits not actually received in cash by such purchaser or ground lessor. This subordination shall be self-operative and no further certificate or instrument of subordination need be required by any such Mortgagee or ground lessor. In confirmation of such subordination, however, Tenant shall execute promptly any reasonable certificate or instrument that Landlord, Mortgagee or ground lessor may request. Upon request by such successor in interest, Tenant shall execute and deliver reasonable instruments confirming the attornment provided for herein; provided that such instrument shall not materially diminish the rights nor materially increase the obligations of Tenant under this Lease. The terms of this paragraph shall survive any termination of this Lease by reason of foreclosure.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Tenant’s obligation to subordinate to any Mortgagee shall be conditioned on Landlord causing such Mortgagee to sign and deliver to Tenant a non-disturbance agreement in substantially the form attached as </w:t>
      </w:r>
      <w:r>
        <w:rPr>
          <w:rFonts w:ascii="Times New Roman" w:hAnsi="Times New Roman"/>
          <w:color w:val="000000"/>
          <w:sz w:val="24"/>
          <w:u w:val="single"/>
        </w:rPr>
        <w:t>Exhibit D</w:t>
      </w:r>
      <w:r>
        <w:rPr>
          <w:rFonts w:ascii="Times New Roman" w:hAnsi="Times New Roman"/>
          <w:color w:val="000000"/>
          <w:sz w:val="20"/>
        </w:rPr>
        <w:t xml:space="preserve"> </w:t>
      </w:r>
      <w:r>
        <w:rPr>
          <w:rFonts w:ascii="Times New Roman" w:hAnsi="Times New Roman"/>
          <w:color w:val="000000"/>
          <w:sz w:val="24"/>
        </w:rPr>
        <w:t>hereto (the “SNDA”); provided, however, that (i) delivery of the SNDA executed by such Mortgagee shall be deemed satisfaction of the condition set forth in this Section 23.1(b), (ii) Tenant shall be responsible for any fees charged by Mortgagee, and its own attorney’s fees, in connection with the SNDA, and (iii) Landlord shall make commercially reasonable efforts to cause the Mortgagee to address Tenant’s reasonable revisions to the SNDA.</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23.2 </w:t>
      </w:r>
      <w:r>
        <w:rPr>
          <w:rFonts w:ascii="Times New Roman" w:hAnsi="Times New Roman"/>
          <w:caps/>
          <w:color w:val="000000"/>
          <w:sz w:val="24"/>
          <w:u w:val="single"/>
        </w:rPr>
        <w:t>MORTGAGEE PROTECTION</w:t>
      </w:r>
    </w:p>
    <w:p>
      <w:pPr>
        <w:pStyle w:val="TextBody"/>
        <w:bidi w:val="0"/>
        <w:jc w:val="left"/>
        <w:rPr>
          <w:rFonts w:ascii="Times New Roman" w:hAnsi="Times New Roman"/>
          <w:color w:val="000000"/>
          <w:sz w:val="24"/>
        </w:rPr>
      </w:pPr>
      <w:r>
        <w:rPr>
          <w:rFonts w:ascii="Times New Roman" w:hAnsi="Times New Roman"/>
          <w:color w:val="000000"/>
          <w:sz w:val="24"/>
        </w:rPr>
        <w:t>63</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 agrees to give any Mortgagee or ground lessor, by registered or certified mail, a copy of any notice of default served upon Landlord by Tenant, provided that prior to such notice Tenant has received notice (by way of service on Tenant of a copy of an assignment of rents and leases, or otherwise) of the address of such Mortgagee or ground lessor. Tenant further agrees that if Landlord shall have failed to cure such default within the time provided for in this Lease, then the Mortgagee or ground lessor shall have an additional thirty (30) days after receipt of notice thereof within which to cure such default or if such default cannot be cured within that time, then such additional notice time as may be necessary, if, within such thirty (30) days, any Mortgagee or ground lessor has commenced and is diligently pursuing the remedies necessary to cure such default (including commencement of foreclosure proceedings or other proceedings to acquire possession of the Real Property, if necessary to effect such cure). Such period of time shall be extended by any period within which such Mortgagee or ground lessor is prevented from commencing or pursuing such foreclosure proceedings or other proceedings to acquire possession of the Real Property by reason of Landlord’s bankruptcy. Until the time allowed as aforesaid for Mortgagee or ground lessor to cure such defaults has expired without cure, Tenant shall have no right to, and shall not, terminate this Lease on account of default. This Lease may not be modified or amended so as to reduce the Rent or shorten the Term, or so as to adversely affect in any other respect to any material extent the rights of Landlord, nor shall this Lease be canceled or surrendered, without the prior written consent, in each instance, of the ground lessor or the Mortgagee.</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24</w:t>
      </w:r>
      <w:r>
        <w:rPr>
          <w:rFonts w:ascii="Times New Roman" w:hAnsi="Times New Roman"/>
          <w:color w:val="000000"/>
          <w:sz w:val="24"/>
          <w:u w:val="single"/>
        </w:rPr>
        <w:br/>
        <w:t>NOTICES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All notices, demands or requests provided for or permitted to be given pursuant to this Lease must be in writing and shall be personally delivered, sent by Federal Express or other reputable overnight courier service, or mailed by first class, registered or certified United States mail, return receipt requested, postage prepaid.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All notices, demands or requests to be sent pursuant to this Lease shall be deemed to have been properly given or served by delivering or sending the same in accordance with this Section, addressed to the parties hereto at their respective addresses listed in Section 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Notices, demands or requests sent by mail or overnight courier service as described above shall be effective upon deposit in the mail or with such courier service. However, except with respect to a notice given under Code of Civil Procedure Section 1161 et seq., the time period in which a response to any such notice, demand or request must be given shall commence to run from (i) in the case of delivery by mail, the date of receipt on the return receipt of the notice, demand or request by the addressee thereof, or (ii) in the case of delivery by Federal Express or other overnight courier service, the date of acceptance of delivery by an employee, officer, director or partner of Landlord or Tenant. Rejection or other refusal to accept or the inability to deliver because of changed address of which no notice was given, as indicated by advice from Federal Express or other overnight courier service or by mail return receipt, shall be deemed to be receipt of notice, demand or request sent. Notices may also be served by personal service upon any officer, director or partner of Landlord or Tenant, and shall be effective upon such service.</w:t>
      </w:r>
    </w:p>
    <w:p>
      <w:pPr>
        <w:pStyle w:val="TextBody"/>
        <w:bidi w:val="0"/>
        <w:spacing w:before="0" w:after="240"/>
        <w:jc w:val="both"/>
        <w:rPr>
          <w:rFonts w:ascii="Times New Roman" w:hAnsi="Times New Roman"/>
          <w:sz w:val="20"/>
        </w:rPr>
      </w:pPr>
      <w:r>
        <w:rPr>
          <w:rFonts w:ascii="Times New Roman" w:hAnsi="Times New Roman"/>
          <w:color w:val="000000"/>
          <w:sz w:val="24"/>
        </w:rPr>
        <w:t>(d) By giving to the other party at least thirty (30) days written notice thereof, either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64</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party shall have the right from time to time during the term of this Lease to change their respective addresses for notices, statements, demands and requests, provided such new address shall be within the United States of America.</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25</w:t>
      </w:r>
      <w:r>
        <w:rPr>
          <w:rFonts w:ascii="Times New Roman" w:hAnsi="Times New Roman"/>
          <w:color w:val="000000"/>
          <w:sz w:val="24"/>
          <w:u w:val="single"/>
        </w:rPr>
        <w:br/>
        <w:t>MISCELLANEOUS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25.1 </w:t>
      </w:r>
      <w:r>
        <w:rPr>
          <w:rFonts w:ascii="Times New Roman" w:hAnsi="Times New Roman"/>
          <w:caps/>
          <w:color w:val="000000"/>
          <w:sz w:val="24"/>
          <w:u w:val="single"/>
        </w:rPr>
        <w:t>LATE CHARGES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All payments required hereunder (other than the Monthly Base Rent, Rent Adjustments, and Rent Adjustment Deposits, which shall be due as hereinbefore provided) to Landlord shall be paid within ten (10) days after Landlord’s written demand therefor. All such amounts (including Monthly Base Rent, Rent Adjustments, and Rent Adjustment Deposits) not paid when due shall bear interest from the date due until the date paid at the Default Rate in effect on the date such payment was due.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 the event Tenant is more than five (5) days late in paying any installment of Rent due under this Lease, Tenant shall pay Landlord a late charge equal to five percent (5%) of the delinquent installment of Rent. The parties agree that (i) such delinquency will cause Landlord to incur costs and expenses not contemplated herein, the exact amount of which will be difficult to calculate, including the cost and expense that will be incurred by Landlord in processing each delinquent payment of rent by Tenant, (ii) the amount of such late charge represents a reasonable estimate of such costs and expenses and that such late charge shall be paid to Landlord for each delinquent payment in addition to all Rent otherwise due hereunder. The parties further agree that the payment of late charges and the payment of interest provided for in subparagraph (a) above are distinct and separate from one another in that the payment of interest is to compensate Landlord for its inability to use the money improperly withheld by Tenant, while the payment of late charges is to compensate Landlord for its additional administrative expenses in handling and processing delinquent payments.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Payment of interest at the Default Rate and/or of late charges shall not excuse or cure any default by Tenant under this Lease, nor shall the foregoing provisions of this Article or any such payments prevent Landlord from exercising any right or remedy available to Landlord upon Tenant’s failure to pay Rent when due, including the right to terminate this 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25.2 </w:t>
      </w:r>
      <w:r>
        <w:rPr>
          <w:rFonts w:ascii="Times New Roman" w:hAnsi="Times New Roman"/>
          <w:caps/>
          <w:color w:val="000000"/>
          <w:sz w:val="24"/>
          <w:u w:val="single"/>
        </w:rPr>
        <w:t>NO JURY TRIAL; VENUE; JURISDICTION</w:t>
      </w:r>
    </w:p>
    <w:p>
      <w:pPr>
        <w:pStyle w:val="TextBody"/>
        <w:bidi w:val="0"/>
        <w:spacing w:before="0" w:after="240"/>
        <w:jc w:val="both"/>
        <w:rPr>
          <w:rFonts w:ascii="Times New Roman" w:hAnsi="Times New Roman"/>
          <w:sz w:val="20"/>
        </w:rPr>
      </w:pPr>
      <w:r>
        <w:rPr>
          <w:rFonts w:ascii="Times New Roman" w:hAnsi="Times New Roman"/>
          <w:color w:val="000000"/>
          <w:sz w:val="24"/>
        </w:rPr>
        <w:t>To the fullest extent permitted by Laws, each party hereto (which includes any assignee, successor, heir or personal representative of a party) shall not seek a jury trial, hereby waives trial by jury, and hereby further waives any objection to venue in the County in which the Project is located, and agrees and consents to personal jurisdiction of the courts of the State of California, in any action or proceeding or counterclaim brought by any party hereto against the other on any matter whatsoever arising out of or in any way connected with this Lease, the relationship of Landlord and Tenant, Tenant’s use or occupancy of the Premises, or any claim of injury or damage, or the enforcement of any remedy under any statute, emergency or otherwise, whether any of the foregoing is based on this Lease or on tort law. No party will seek to consolidate any such action in which a jury has been waived with any other action in which a jury trial cannot or has not been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65</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waived. It is the intention of the parties that these provisions shall be subject to no exceptions. The provisions of this Section shall survive the expiration or earlier termination of this 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25.3 </w:t>
      </w:r>
      <w:r>
        <w:rPr>
          <w:rFonts w:ascii="Times New Roman" w:hAnsi="Times New Roman"/>
          <w:color w:val="000000"/>
          <w:sz w:val="24"/>
          <w:u w:val="single"/>
        </w:rPr>
        <w:t xml:space="preserve">NO </w:t>
      </w:r>
      <w:r>
        <w:rPr>
          <w:rFonts w:ascii="Times New Roman" w:hAnsi="Times New Roman"/>
          <w:caps/>
          <w:color w:val="000000"/>
          <w:sz w:val="24"/>
          <w:u w:val="single"/>
        </w:rPr>
        <w:t>DISCRIMINATION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 agrees for Tenant and Tenant’s heirs, executors, administrators, successors and assigns and all persons claiming under or through Tenant, and this Lease is made and accepted upon and subject to the following conditions: that there shall be no discrimination against or segregation of any person or group of persons on account of race, color, creed, religion, sex, marital status, national origin or ancestry (whether in the leasing, subleasing, transferring, use, occupancy, tenure or enjoyment of the Premises or otherwise) nor shall Tenant or any person claiming under or through Tenant establish or permit any such practice or practices of discrimination or segregation with reference to the use or occupancy of the Premises by Tenant or any person claiming through or under Tenant.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25.4 </w:t>
      </w:r>
      <w:r>
        <w:rPr>
          <w:rFonts w:ascii="Times New Roman" w:hAnsi="Times New Roman"/>
          <w:color w:val="000000"/>
          <w:sz w:val="24"/>
          <w:u w:val="single"/>
        </w:rPr>
        <w:t>FINANCIAL STATEMENTS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Within ten (10) days after written request from Landlord from time to time during the Term, Tenant shall provide Landlord with current financial statements setting forth Tenant’s financial condition and net worth for the most recent publicly-reportable financial quarter, including balance sheets and statements of profits and losses. Such statements shall be prepared by an independent accountant and certified by Tenant’s president, chief executive officer or chief financial officer. Landlord shall keep such financial information confidential and shall only disclose such information to Landlord’s lenders, consultants, purchasers or investors, or other agents (who shall be subject to the same confidentiality obligations) on a need-to-know basis in connection with the administration of this Lease. Tenant need not provide the financial statements required under this Section 25.4 so long as same are publicly available free of charge.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25.5 </w:t>
      </w:r>
      <w:r>
        <w:rPr>
          <w:rFonts w:ascii="Times New Roman" w:hAnsi="Times New Roman"/>
          <w:caps/>
          <w:color w:val="000000"/>
          <w:sz w:val="24"/>
          <w:u w:val="single"/>
        </w:rPr>
        <w:t>OPTION</w:t>
      </w:r>
    </w:p>
    <w:p>
      <w:pPr>
        <w:pStyle w:val="TextBody"/>
        <w:bidi w:val="0"/>
        <w:spacing w:before="0" w:after="240"/>
        <w:jc w:val="both"/>
        <w:rPr>
          <w:rFonts w:ascii="Times New Roman" w:hAnsi="Times New Roman"/>
          <w:sz w:val="20"/>
        </w:rPr>
      </w:pPr>
      <w:r>
        <w:rPr>
          <w:rFonts w:ascii="Times New Roman" w:hAnsi="Times New Roman"/>
          <w:color w:val="000000"/>
          <w:sz w:val="24"/>
        </w:rPr>
        <w:t>This Lease shall not become effective as a lease or otherwise until executed and delivered by both Landlord and Tenant. The submission of this Lease to Tenant does not constitute a reservation of or option for the Premises, but when executed by Tenant and delivered to Landlord, this Lease shall constitute an irrevocable offer by Tenant in effect for fifteen (15) days to lease the Premises on the terms and conditions herein contained.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25.6 </w:t>
      </w:r>
      <w:r>
        <w:rPr>
          <w:rFonts w:ascii="Times New Roman" w:hAnsi="Times New Roman"/>
          <w:caps/>
          <w:color w:val="000000"/>
          <w:sz w:val="24"/>
          <w:u w:val="single"/>
        </w:rPr>
        <w:t>TENANT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 represents and warrants to Landlord that it has full authority and power to enter into and perform its obligations under this Lease, that the person executing this Lease is fully empowered to do so, and that no consent or authorization is necessary from any third party. Landlord may request that Tenant provide Landlord evidence of Tenant’s authority.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25.7 </w:t>
      </w:r>
      <w:r>
        <w:rPr>
          <w:rFonts w:ascii="Times New Roman" w:hAnsi="Times New Roman"/>
          <w:caps/>
          <w:color w:val="000000"/>
          <w:sz w:val="24"/>
          <w:u w:val="single"/>
        </w:rPr>
        <w:t>ENTIRE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Lease, the Exhibits, and Riders attached hereto contain the entire agreement between Landlord and Tenant concerning the Premises and there are no other agreements, either oral or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66</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written, and no other representations or statements, either oral or written, on which Tenant has relied. This Lease shall not be modified except by a writing executed by Landlord and Tenant.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25.8 </w:t>
      </w:r>
      <w:r>
        <w:rPr>
          <w:rFonts w:ascii="Times New Roman" w:hAnsi="Times New Roman"/>
          <w:caps/>
          <w:color w:val="000000"/>
          <w:sz w:val="24"/>
          <w:u w:val="single"/>
        </w:rPr>
        <w:t>MODIFICATION OF LEASE FOR BENEFIT OF MORTGAGEE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Mortgagee of Landlord requires a modification of this Lease which shall not result in any increased cost or expense to Tenant or in any other substantial and adverse change in the rights and obligations of Tenant hereunder, then Tenant agrees that this Lease may be so modified.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25.9 </w:t>
      </w:r>
      <w:r>
        <w:rPr>
          <w:rFonts w:ascii="Times New Roman" w:hAnsi="Times New Roman"/>
          <w:caps/>
          <w:color w:val="000000"/>
          <w:sz w:val="24"/>
          <w:u w:val="single"/>
        </w:rPr>
        <w:t>EXCULPATION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 agrees, on its behalf and on behalf of its successors and assigns, that any liability or obligation under this Lease shall only be enforced against Landlord’s equity interest in the Property up to a maximum of Five Million Dollars ($5,000,000.00) and in no event against any other assets of Landlord, or Landlord’s members, officers, directors or partners, and that any liability of Landlord with respect to this Lease shall be so limited and Tenant shall not be entitled to any judgment in excess of such amount. Notwithstanding anything to the contrary contained herein, in no event shall Landlord be liable to Tenant for consequential, punitive or special damages with respect to this 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25.10 </w:t>
      </w:r>
      <w:r>
        <w:rPr>
          <w:rFonts w:ascii="Times New Roman" w:hAnsi="Times New Roman"/>
          <w:caps/>
          <w:color w:val="000000"/>
          <w:sz w:val="24"/>
          <w:u w:val="single"/>
        </w:rPr>
        <w:t>ACCORD AND SATISFACTION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payment by Tenant or receipt by Landlord of a lesser amount than any installment or payment of Rent due shall be deemed to be other than on account of the amount due, and no endorsement or statement on any check or any letter accompanying any check or payment of Rent shall be deemed an accord and satisfaction, and Landlord may accept such check or payment without prejudice to Landlord’s right to recover the balance of such installment or payment of Rent or pursue any other remedies available to Landlord. No receipt of money by Landlord from Tenant after the termination of this Lease or Tenant’s right of possession of the Premises shall reinstate, continue or extend the Term. Receipt or acceptance of payment from anyone other than Tenant, including an assignee of Tenant, is not a waiver of any breach of Article 10, and Landlord may accept such payment on account of the amount due without prejudice to Landlord’s right to pursue any remedies available to Landlord.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25.11 </w:t>
      </w:r>
      <w:r>
        <w:rPr>
          <w:rFonts w:ascii="Times New Roman" w:hAnsi="Times New Roman"/>
          <w:caps/>
          <w:color w:val="000000"/>
          <w:sz w:val="24"/>
          <w:u w:val="single"/>
        </w:rPr>
        <w:t>LANDLORD’S OBLIGATIONS ON SALE OF BUILDING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of any sale or other transfer of the Building, Landlord shall be entirely freed and relieved of all agreements and obligations of Landlord hereunder accruing or to be performed after the date of such sale or transfer, and any remaining liability of Landlord with respect to this Lease shall be limited to the dollar amount specified in Section 25.9 and Tenant shall not be entitled to any judgment in excess of such amount. Landlord shall have the right to assign this Lease to an entity comprised of the principals of Landlord or any Landlord Affiliate. Upon such assignment and assumption of the obligations of Landlord hereunder, Landlord shall be entirely freed and relieved of all obligations hereunder.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25.12 </w:t>
      </w:r>
      <w:r>
        <w:rPr>
          <w:rFonts w:ascii="Times New Roman" w:hAnsi="Times New Roman"/>
          <w:caps/>
          <w:color w:val="000000"/>
          <w:sz w:val="24"/>
          <w:u w:val="single"/>
        </w:rPr>
        <w:t>BINDING EFFECT</w:t>
      </w:r>
    </w:p>
    <w:p>
      <w:pPr>
        <w:pStyle w:val="TextBody"/>
        <w:bidi w:val="0"/>
        <w:jc w:val="left"/>
        <w:rPr>
          <w:rFonts w:ascii="Times New Roman" w:hAnsi="Times New Roman"/>
          <w:color w:val="000000"/>
          <w:sz w:val="24"/>
        </w:rPr>
      </w:pPr>
      <w:r>
        <w:rPr>
          <w:rFonts w:ascii="Times New Roman" w:hAnsi="Times New Roman"/>
          <w:color w:val="000000"/>
          <w:sz w:val="24"/>
        </w:rPr>
        <w:t>67</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provisions of Article 10, this Lease shall be binding upon and inure to the benefit of Landlord and Tenant and their respective heirs, legal representatives, successors and permitted assigns.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25.13 </w:t>
      </w:r>
      <w:r>
        <w:rPr>
          <w:rFonts w:ascii="Times New Roman" w:hAnsi="Times New Roman"/>
          <w:caps/>
          <w:color w:val="000000"/>
          <w:sz w:val="24"/>
          <w:u w:val="single"/>
        </w:rPr>
        <w:t>CAPTIONS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Article and Section captions in this Lease are inserted only as a matter of convenience and in no way define, limit, construe, or describe the scope or intent of such Articles and Sections.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25.14 </w:t>
      </w:r>
      <w:r>
        <w:rPr>
          <w:rFonts w:ascii="Times New Roman" w:hAnsi="Times New Roman"/>
          <w:caps/>
          <w:color w:val="000000"/>
          <w:sz w:val="24"/>
          <w:u w:val="single"/>
        </w:rPr>
        <w:t>TIME; APPLICABLE LAW; CONSTRUCTION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Time is of the essence of this Lease and each and all of its provisions. This Lease shall be construed in accordance with the Laws of the State of California. If more than one person signs this Lease as Tenant, the obligations hereunder imposed shall be joint and several. If any term, covenant or condition of this Lease or the application thereof to any person or circumstance shall, to any extent, be invalid or unenforceable, the remainder of this Lease, or the application of such term, covenant or condition to persons or circumstances other than those as to which it is held invalid or unenforceable, shall not be affected thereby and each item, covenant or condition of this Lease shall be valid and be enforced to the fullest extent permitted by Law. Wherever the term “including” or “includes” is used in this Lease, it shall have the same meaning as if followed by the phrase “but not limited to”. The language in all parts of this Lease shall be construed according to its normal and usual meaning and not strictly for or against either Landlord or Tenant.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25.15 </w:t>
      </w:r>
      <w:r>
        <w:rPr>
          <w:rFonts w:ascii="Times New Roman" w:hAnsi="Times New Roman"/>
          <w:caps/>
          <w:color w:val="000000"/>
          <w:sz w:val="24"/>
          <w:u w:val="single"/>
        </w:rPr>
        <w:t>ABANDONMENT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Tenant permanently vacates or abandons the Premises but is otherwise in compliance with all the terms, covenants and conditions of this Lease, Landlord shall (i) have the right to enter into the Premises in order to show the space to prospective tenants, (ii) have the right to reduce the services provided to Tenant pursuant to the terms of this Lease to such levels as Landlord reasonably determines to be adequate services for an unoccupied premises, and (iii) during the last six (6) months of the Term, have the right to prepare the Premises for occupancy by another tenant upon the end of the Term. Tenant expressly acknowledges that in the absence of written notice pursuant to Section 11.2(b) or pursuant to California Civil Code Section 1951.3 terminating Tenant’s right to possession, none of the foregoing acts of Landlord or any other act of Landlord shall constitute a termination of Tenant’s right to possession or an acceptance of Tenant’s surrender of the Premises, and this Lease shall continue in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25.16 </w:t>
      </w:r>
      <w:r>
        <w:rPr>
          <w:rFonts w:ascii="Times New Roman" w:hAnsi="Times New Roman"/>
          <w:caps/>
          <w:color w:val="000000"/>
          <w:sz w:val="24"/>
          <w:u w:val="single"/>
        </w:rPr>
        <w:t>LANDLORD’S RIGHT TO PERFORM TENANT’S DUTIES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Tenant fails timely to perform any of its duties under this Lease, Landlord shall have the right (but not the obligation), to perform such duty on behalf and at the expense of Tenant without prior notice to Tenant, and all sums expended or expenses incurred by Landlord in performing such duty shall be deemed to be additional Rent under this Lease and shall be due and payable upon demand by Landlord.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25.17 </w:t>
      </w:r>
      <w:r>
        <w:rPr>
          <w:rFonts w:ascii="Times New Roman" w:hAnsi="Times New Roman"/>
          <w:caps/>
          <w:color w:val="000000"/>
          <w:sz w:val="24"/>
          <w:u w:val="single"/>
        </w:rPr>
        <w:t>SECURITY SYSTEM</w:t>
      </w:r>
    </w:p>
    <w:p>
      <w:pPr>
        <w:pStyle w:val="TextBody"/>
        <w:bidi w:val="0"/>
        <w:jc w:val="left"/>
        <w:rPr>
          <w:rFonts w:ascii="Times New Roman" w:hAnsi="Times New Roman"/>
          <w:color w:val="000000"/>
          <w:sz w:val="24"/>
        </w:rPr>
      </w:pPr>
      <w:r>
        <w:rPr>
          <w:rFonts w:ascii="Times New Roman" w:hAnsi="Times New Roman"/>
          <w:color w:val="000000"/>
          <w:sz w:val="24"/>
        </w:rPr>
        <w:t>68</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Landlord, in its sole and absolute discretion, shall install certain card key access and video camera systems respecting certain main entry points of the Building. Subject to the foregoing, Landlord shall not be obligated to provide or maintain any security patrol or security system. Landlord shall not be responsible for the quality of any such patrol or system which may be provided hereunder or for damage or injury to Tenant, its employees, invitees or others due to the failure, action or inaction of such patrol or system.</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25.18 </w:t>
      </w:r>
      <w:r>
        <w:rPr>
          <w:rFonts w:ascii="Times New Roman" w:hAnsi="Times New Roman"/>
          <w:caps/>
          <w:color w:val="000000"/>
          <w:sz w:val="24"/>
          <w:u w:val="single"/>
        </w:rPr>
        <w:t>NO LIGHT, AIR OR VIEW EASEMENTS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diminution or shutting off of light, air or view by any structure which may be erected on lands of or adjacent to the Project shall in no way affect this Lease or impose any liability on Landlord.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25.19 </w:t>
      </w:r>
      <w:r>
        <w:rPr>
          <w:rFonts w:ascii="Times New Roman" w:hAnsi="Times New Roman"/>
          <w:caps/>
          <w:color w:val="000000"/>
          <w:sz w:val="24"/>
          <w:u w:val="single"/>
        </w:rPr>
        <w:t>RECORDATION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this Lease, nor any notice nor memorandum regarding the terms hereof, shall be recorded by Tenant. Any such unauthorized recording shall be a Default for which there shall be no cure or grace period. Tenant agrees to execute and acknowledge, at the request of Landlord, a memorandum of this Lease, in recordable form.</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25.20 </w:t>
      </w:r>
      <w:r>
        <w:rPr>
          <w:rFonts w:ascii="Times New Roman" w:hAnsi="Times New Roman"/>
          <w:caps/>
          <w:color w:val="000000"/>
          <w:sz w:val="24"/>
          <w:u w:val="single"/>
        </w:rPr>
        <w:t>SURVIVAL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waivers of the right of jury trial, the other waivers of claims or rights, the releases and the obligations of Tenant under this Lease to indemnify, protect, defend and hold harmless Landlord and/or Indemnitees, and Landlord’s obligation to indemnify Tenant, shall survive the expiration or termination of this Lease, and so shall all other obligations or agreements which by their terms survive expiration or termination of this 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25.21 </w:t>
      </w:r>
      <w:r>
        <w:rPr>
          <w:rFonts w:ascii="Times New Roman" w:hAnsi="Times New Roman"/>
          <w:caps/>
          <w:color w:val="000000"/>
          <w:sz w:val="24"/>
          <w:u w:val="single"/>
        </w:rPr>
        <w:t>OFAC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Tenant hereby represents, warrants and covenants to Landlord, either that (i) Tenant is regulated by the SEC, FINRA or the Federal Reserve (a “Regulated Entity”) or (ii) neither Tenant nor any person or entity that directly or indirectly (A) controls Tenant or (B) has an ownership interest in Tenant of twenty-five percent (25%) or more, appears on the list of Specially Designated Nationals and Blocked Persons (“OFAC List”) published by the Office of Foreign Assets Control (“OFAC”) of the U.S. Department of the Treasury.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If, in connection with this Lease, there is one or more Guarantors of Tenant’s obligations under this Lease, then Tenant further represents, warrants and covenants either that (i) any such Guarantor is a Regulated Entity or (ii) neither Guarantor nor any person or entity that directly or indirectly (A) controls such Guarantor or (B) has an ownership interest in such Guarantor of twenty-five percent (25%) or more, appears on the OFAC List.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Landlord advises Tenant hereby that the purpose of this Section is to provide to Landlord information and assurances to enable Landlord to comply with the Laws relating to OFAC.</w:t>
      </w:r>
    </w:p>
    <w:p>
      <w:pPr>
        <w:pStyle w:val="TextBody"/>
        <w:bidi w:val="0"/>
        <w:spacing w:before="0" w:after="240"/>
        <w:jc w:val="both"/>
        <w:rPr>
          <w:rFonts w:ascii="Times New Roman" w:hAnsi="Times New Roman"/>
          <w:sz w:val="20"/>
        </w:rPr>
      </w:pPr>
      <w:r>
        <w:rPr>
          <w:rFonts w:ascii="Times New Roman" w:hAnsi="Times New Roman"/>
          <w:color w:val="000000"/>
          <w:sz w:val="24"/>
        </w:rPr>
        <w:t>(d) Tenant acknowledges that the breach of any of the representations, warranties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69</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and/or covenants by Tenant under this Section 25.21 shall be an immediate Default under this 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25.22 </w:t>
      </w:r>
      <w:r>
        <w:rPr>
          <w:rFonts w:ascii="Times New Roman" w:hAnsi="Times New Roman"/>
          <w:color w:val="000000"/>
          <w:sz w:val="24"/>
          <w:u w:val="single"/>
        </w:rPr>
        <w:t>INSPECTION BY A CASP IN ACCORDANCE WITH CIVIL CODE SECTION 1938</w:t>
      </w:r>
      <w:r>
        <w:rPr>
          <w:rFonts w:ascii="Times New Roman" w:hAnsi="Times New Roman"/>
          <w:caps/>
          <w:color w:val="000000"/>
          <w:sz w:val="24"/>
          <w:u w:val="single"/>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Landlord discloses that to Landlord’s knowledge, neither the Building nor the Premises have undergone inspection by a Certified Access Specialist. Furthermore, pursuant to Section 1938 of the California Civil Code, Landlord notifies Tenant of the following: “A Certified Access Specialist (CASp) can inspect the subject premises and determine whether the subject premises comply with all of the applicable construction-related accessibility standards under state law. Although California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any such CASp inspection, the payment of the costs and fees for the CASp inspection and the cost of making any repairs necessary to correct violations of construction-related accessibility standards within the Premises.” Tenant agrees that (a) Tenant may, at its option and at its sole cost, cause a CASp to inspect the Premises and determine whether the Premises complies with all of the applicable construction-related accessibility standards under California law, (b) the parties shall mutually coordinate and reasonably approve of the timing of any such CASp inspection so that Landlord may, at its option, have a representative present during such inspection, and (c) Tenant shall be solely responsible for the cost of any repairs necessary to correct violations of construction-related accessibility standards within the Premises and Building identified by any such CASp inspection, any and all such alterations and repairs within the Premises to be performed by Tenant shall be subject to Landlord’s consent and in accordance with this Lease. Landlord and Tenant hereby agree that if Tenant elects to perform a CASp inspection of the Premises, Tenant will provide written notice to Landlord, and Landlord may elect, in Landlord’s sole discretion, to retain a CASp to perform the inspection. If Landlord does not so elect, the time and manner of the CASp inspection is subject to the prior written approval of Landlord. In either event, the payment of the fee for the CASp inspection shall be borne by Tenant.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25.23 </w:t>
      </w:r>
      <w:r>
        <w:rPr>
          <w:rFonts w:ascii="Times New Roman" w:hAnsi="Times New Roman"/>
          <w:caps/>
          <w:color w:val="000000"/>
          <w:sz w:val="24"/>
          <w:u w:val="single"/>
        </w:rPr>
        <w:t>COUNTERPARTS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Lease may be executed in any number of counterparts, each of which shall be deemed an original, but all of which, together, shall constitute one and the same instrument. Telecopied signatures or signatures transmitted by electronic mail in so-called “pdf” format or via DocuSign or similar electronic means, may be used in place of original signatures on this Lease. Landlord and Tenant intend to be bound by the signatures on the telecopied or e-mailed document, are aware that the other party will rely on the telecopied or e-mailed signatures, and hereby waive any defenses to the enforcement of the terms of this Lease based on such telecopied or e-mailed signatures. Promptly following request by either party, the other party shall provide the requesting party with original signatures on this 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25.24 </w:t>
      </w:r>
      <w:r>
        <w:rPr>
          <w:rFonts w:ascii="Times New Roman" w:hAnsi="Times New Roman"/>
          <w:caps/>
          <w:color w:val="000000"/>
          <w:sz w:val="24"/>
          <w:u w:val="single"/>
        </w:rPr>
        <w:t>EXHIBITS AND RIDERS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exhibits, riders and/or addenda referred to in this Lease as an exhibit, rider, or addenda hereto, or attached hereto, are hereby incorporated into and made a part of this Lease.</w:t>
      </w:r>
    </w:p>
    <w:p>
      <w:pPr>
        <w:pStyle w:val="TextBody"/>
        <w:bidi w:val="0"/>
        <w:jc w:val="left"/>
        <w:rPr>
          <w:rFonts w:ascii="Times New Roman" w:hAnsi="Times New Roman"/>
          <w:color w:val="000000"/>
          <w:sz w:val="24"/>
        </w:rPr>
      </w:pPr>
      <w:r>
        <w:rPr>
          <w:rFonts w:ascii="Times New Roman" w:hAnsi="Times New Roman"/>
          <w:color w:val="000000"/>
          <w:sz w:val="24"/>
        </w:rPr>
        <w:t>70</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sz w:val="20"/>
        </w:rPr>
      </w:pPr>
      <w:r>
        <w:rPr>
          <w:rFonts w:ascii="Times New Roman" w:hAnsi="Times New Roman"/>
          <w:caps/>
          <w:color w:val="000000"/>
          <w:sz w:val="24"/>
        </w:rPr>
        <w:t>Article 26</w:t>
      </w:r>
      <w:r>
        <w:rPr>
          <w:rFonts w:ascii="Times New Roman" w:hAnsi="Times New Roman"/>
          <w:color w:val="000000"/>
          <w:sz w:val="24"/>
          <w:u w:val="single"/>
        </w:rPr>
        <w:br/>
        <w:t>FURNITURE, FIXTURES AND EQUIPMENT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During the Term, at no charge to Tenant, Tenant shall be permitted to use the existing office and laboratory furniture, fixtures and equipment located in the Premises as of the Commencement Date and described in more particular detail in </w:t>
      </w:r>
      <w:r>
        <w:rPr>
          <w:rFonts w:ascii="Times New Roman" w:hAnsi="Times New Roman"/>
          <w:color w:val="000000"/>
          <w:sz w:val="24"/>
          <w:u w:val="single"/>
        </w:rPr>
        <w:t>Exhibit E</w:t>
      </w:r>
      <w:r>
        <w:rPr>
          <w:rFonts w:ascii="Times New Roman" w:hAnsi="Times New Roman"/>
          <w:color w:val="000000"/>
          <w:sz w:val="20"/>
        </w:rPr>
        <w:t xml:space="preserve"> </w:t>
      </w:r>
      <w:r>
        <w:rPr>
          <w:rFonts w:ascii="Times New Roman" w:hAnsi="Times New Roman"/>
          <w:color w:val="000000"/>
          <w:sz w:val="24"/>
        </w:rPr>
        <w:t>attached hereto (the “FF&amp;E”). Tenant shall accept the FF&amp;E in its current “AS-IS” condition and “WITH ALL FAULTS”. Landlord specifically disclaims all express or implied warranties regarding the existence or condition of, such FF&amp;E, including without limitation the implied warranties of merchantability and suitability for a particular purpose. For purposes of documenting the current condition of the FF&amp;E, Tenant and Landlord shall, prior to the Commencement Date, conduct a joint walk-through of the Premises in order to inventory items of damage or disrepair in the FF&amp;E. Tenant shall use the FF&amp;E only for the purposes for which such FF&amp;E is intended and shall be responsible for the proper maintenance, care and repair of the FF&amp;E, at Tenant’s sole cost and expense. Upon the expiration or earlier termination of the Lease, title to the FF&amp;E shall pass to Tenant (without any warranty or representation whatsoever), and Tenant shall remove the FF&amp;E from the Premises in accordance with Section 12.1 of this Lease.</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[Signatures on Following Page]</w:t>
      </w:r>
    </w:p>
    <w:p>
      <w:pPr>
        <w:pStyle w:val="TextBody"/>
        <w:bidi w:val="0"/>
        <w:jc w:val="left"/>
        <w:rPr>
          <w:rFonts w:ascii="Times New Roman" w:hAnsi="Times New Roman"/>
          <w:color w:val="000000"/>
          <w:sz w:val="24"/>
        </w:rPr>
      </w:pPr>
      <w:r>
        <w:rPr>
          <w:rFonts w:ascii="Times New Roman" w:hAnsi="Times New Roman"/>
          <w:color w:val="000000"/>
          <w:sz w:val="24"/>
        </w:rPr>
        <w:t>71</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this Lease has been executed as of the date set forth in Section 1.1 hereof.</w:t>
      </w:r>
    </w:p>
    <w:tbl>
      <w:tblPr>
        <w:tblW w:w="10205" w:type="dxa"/>
        <w:jc w:val="left"/>
        <w:tblInd w:w="0" w:type="dxa"/>
        <w:tblLayout w:type="fixed"/>
        <w:tblCellMar>
          <w:top w:w="28" w:type="dxa"/>
          <w:left w:w="28" w:type="dxa"/>
          <w:bottom w:w="28" w:type="dxa"/>
          <w:right w:w="28" w:type="dxa"/>
        </w:tblCellMar>
      </w:tblPr>
      <w:tblGrid>
        <w:gridCol w:w="458"/>
        <w:gridCol w:w="443"/>
        <w:gridCol w:w="4469"/>
        <w:gridCol w:w="4835"/>
      </w:tblGrid>
      <w:tr>
        <w:trPr/>
        <w:tc>
          <w:tcPr>
            <w:tcW w:w="45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69" w:type="dxa"/>
            <w:tcBorders/>
            <w:vAlign w:val="center"/>
          </w:tcPr>
          <w:p>
            <w:pPr>
              <w:pStyle w:val="TableContents"/>
              <w:bidi w:val="0"/>
              <w:spacing w:before="0" w:after="283"/>
              <w:jc w:val="left"/>
              <w:rPr>
                <w:sz w:val="4"/>
                <w:szCs w:val="4"/>
              </w:rPr>
            </w:pPr>
            <w:r>
              <w:rPr>
                <w:sz w:val="4"/>
                <w:szCs w:val="4"/>
              </w:rPr>
            </w:r>
          </w:p>
        </w:tc>
        <w:tc>
          <w:tcPr>
            <w:tcW w:w="4835"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LANDLORD:</w:t>
            </w:r>
          </w:p>
        </w:tc>
        <w:tc>
          <w:tcPr>
            <w:tcW w:w="48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TENANT:</w:t>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483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370"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EMERY STATION WEST, LLC,</w:t>
            </w:r>
          </w:p>
          <w:p>
            <w:pPr>
              <w:pStyle w:val="TableContents"/>
              <w:bidi w:val="0"/>
              <w:jc w:val="left"/>
              <w:rPr>
                <w:rFonts w:ascii="Times New Roman" w:hAnsi="Times New Roman"/>
                <w:color w:val="000000"/>
                <w:sz w:val="24"/>
              </w:rPr>
            </w:pPr>
            <w:r>
              <w:rPr>
                <w:rFonts w:ascii="Times New Roman" w:hAnsi="Times New Roman"/>
                <w:color w:val="000000"/>
                <w:sz w:val="24"/>
              </w:rPr>
              <w:t>a California limited liability company</w:t>
            </w:r>
          </w:p>
          <w:p>
            <w:pPr>
              <w:pStyle w:val="TableContents"/>
              <w:bidi w:val="0"/>
              <w:spacing w:before="0" w:after="283"/>
              <w:jc w:val="left"/>
              <w:rPr/>
            </w:pPr>
            <w:r>
              <w:rPr/>
              <w:t> </w:t>
            </w:r>
          </w:p>
        </w:tc>
        <w:tc>
          <w:tcPr>
            <w:tcW w:w="4835" w:type="dxa"/>
            <w:vMerge w:val="restart"/>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CYTOMX THERAPEUTICS, INC.,</w:t>
            </w:r>
          </w:p>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a Delaware corporation</w:t>
            </w:r>
          </w:p>
          <w:p>
            <w:pPr>
              <w:pStyle w:val="TableContents"/>
              <w:bidi w:val="0"/>
              <w:spacing w:before="0" w:after="120"/>
              <w:jc w:val="both"/>
              <w:rPr/>
            </w:pPr>
            <w:r>
              <w:rPr/>
              <w:t> </w:t>
            </w:r>
          </w:p>
          <w:p>
            <w:pPr>
              <w:pStyle w:val="TableContents"/>
              <w:bidi w:val="0"/>
              <w:spacing w:before="0" w:after="120"/>
              <w:jc w:val="both"/>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/s/Chris Ogden</w:t>
            </w:r>
          </w:p>
          <w:p>
            <w:pPr>
              <w:pStyle w:val="TableContents"/>
              <w:bidi w:val="0"/>
              <w:spacing w:before="0" w:after="120"/>
              <w:jc w:val="both"/>
              <w:rPr>
                <w:rFonts w:ascii="Times New Roman" w:hAnsi="Times New Roman"/>
                <w:sz w:val="24"/>
              </w:rPr>
            </w:pPr>
            <w:r>
              <w:rPr>
                <w:rFonts w:ascii="Times New Roman" w:hAnsi="Times New Roman"/>
                <w:color w:val="000000"/>
                <w:sz w:val="24"/>
              </w:rPr>
              <w:t xml:space="preserve">Name: </w:t>
            </w:r>
            <w:r>
              <w:rPr>
                <w:rFonts w:ascii="Times New Roman" w:hAnsi="Times New Roman"/>
                <w:color w:val="000000"/>
                <w:sz w:val="24"/>
                <w:u w:val="single"/>
              </w:rPr>
              <w:t>Chris Ogden</w:t>
            </w:r>
          </w:p>
          <w:p>
            <w:pPr>
              <w:pStyle w:val="TableContents"/>
              <w:bidi w:val="0"/>
              <w:spacing w:before="0" w:after="120"/>
              <w:jc w:val="both"/>
              <w:rPr>
                <w:rFonts w:ascii="Times New Roman" w:hAnsi="Times New Roman"/>
                <w:sz w:val="24"/>
              </w:rPr>
            </w:pPr>
            <w:r>
              <w:rPr>
                <w:rFonts w:ascii="Times New Roman" w:hAnsi="Times New Roman"/>
                <w:color w:val="000000"/>
                <w:sz w:val="24"/>
              </w:rPr>
              <w:t xml:space="preserve">Its: </w:t>
            </w:r>
            <w:r>
              <w:rPr>
                <w:rFonts w:ascii="Times New Roman" w:hAnsi="Times New Roman"/>
                <w:color w:val="000000"/>
                <w:sz w:val="24"/>
                <w:u w:val="single"/>
              </w:rPr>
              <w:t>Senior Vice President and Chief Financial Officer</w:t>
            </w:r>
          </w:p>
        </w:tc>
      </w:tr>
      <w:tr>
        <w:trPr/>
        <w:tc>
          <w:tcPr>
            <w:tcW w:w="45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4912"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ES West Associates, LLC,</w:t>
              <w:br/>
              <w:t>a California limited liability company,</w:t>
              <w:br/>
              <w:t>its Managing Member</w:t>
            </w:r>
          </w:p>
          <w:p>
            <w:pPr>
              <w:pStyle w:val="TableContents"/>
              <w:bidi w:val="0"/>
              <w:spacing w:before="0" w:after="283"/>
              <w:jc w:val="left"/>
              <w:rPr/>
            </w:pPr>
            <w:r>
              <w:rPr/>
              <w:t> </w:t>
            </w:r>
          </w:p>
        </w:tc>
        <w:tc>
          <w:tcPr>
            <w:tcW w:w="4835" w:type="dxa"/>
            <w:vMerge w:val="continue"/>
            <w:tcBorders/>
            <w:tcMar>
              <w:top w:w="0" w:type="dxa"/>
              <w:left w:w="0" w:type="dxa"/>
              <w:bottom w:w="0" w:type="dxa"/>
              <w:right w:w="0" w:type="dxa"/>
            </w:tcMar>
            <w:vAlign w:val="center"/>
          </w:tcPr>
          <w:p>
            <w:pPr>
              <w:pStyle w:val="Normal"/>
              <w:bidi w:val="0"/>
              <w:jc w:val="left"/>
              <w:rPr/>
            </w:pPr>
            <w:r>
              <w:rPr/>
            </w:r>
          </w:p>
        </w:tc>
      </w:tr>
      <w:tr>
        <w:trPr/>
        <w:tc>
          <w:tcPr>
            <w:tcW w:w="458"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44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Wareham-NZL, LLC</w:t>
              <w:br/>
              <w:t>a California limited liability company, its Manager</w:t>
            </w:r>
          </w:p>
        </w:tc>
        <w:tc>
          <w:tcPr>
            <w:tcW w:w="4835" w:type="dxa"/>
            <w:vMerge w:val="restart"/>
            <w:tcBorders>
              <w:bottom w:val="single" w:sz="4" w:space="0" w:color="000000"/>
            </w:tcBorders>
            <w:tcMar>
              <w:top w:w="0" w:type="dxa"/>
              <w:left w:w="0" w:type="dxa"/>
              <w:right w:w="0" w:type="dxa"/>
            </w:tcMar>
            <w:vAlign w:val="center"/>
          </w:tcPr>
          <w:p>
            <w:pPr>
              <w:pStyle w:val="TableContents"/>
              <w:bidi w:val="0"/>
              <w:spacing w:before="0" w:after="120"/>
              <w:jc w:val="both"/>
              <w:rPr/>
            </w:pPr>
            <w:r>
              <w:rPr/>
              <w:t> </w:t>
            </w:r>
          </w:p>
          <w:p>
            <w:pPr>
              <w:pStyle w:val="TableContents"/>
              <w:bidi w:val="0"/>
              <w:spacing w:before="0" w:after="120"/>
              <w:jc w:val="both"/>
              <w:rPr/>
            </w:pPr>
            <w:r>
              <w:rPr/>
              <w:t> </w:t>
            </w:r>
          </w:p>
        </w:tc>
      </w:tr>
      <w:tr>
        <w:trPr/>
        <w:tc>
          <w:tcPr>
            <w:tcW w:w="458" w:type="dxa"/>
            <w:vMerge w:val="continue"/>
            <w:tcBorders/>
            <w:tcMar>
              <w:top w:w="0" w:type="dxa"/>
              <w:left w:w="0" w:type="dxa"/>
              <w:bottom w:w="0" w:type="dxa"/>
              <w:right w:w="0" w:type="dxa"/>
            </w:tcMar>
            <w:vAlign w:val="center"/>
          </w:tcPr>
          <w:p>
            <w:pPr>
              <w:pStyle w:val="Normal"/>
              <w:bidi w:val="0"/>
              <w:jc w:val="left"/>
              <w:rPr/>
            </w:pPr>
            <w:r>
              <w:rPr/>
            </w:r>
          </w:p>
        </w:tc>
        <w:tc>
          <w:tcPr>
            <w:tcW w:w="4912" w:type="dxa"/>
            <w:gridSpan w:val="2"/>
            <w:tcBorders/>
            <w:tcMar>
              <w:top w:w="0" w:type="dxa"/>
              <w:left w:w="0" w:type="dxa"/>
              <w:bottom w:w="0" w:type="dxa"/>
              <w:right w:w="0" w:type="dxa"/>
            </w:tcMar>
            <w:vAlign w:val="center"/>
          </w:tcPr>
          <w:p>
            <w:pPr>
              <w:pStyle w:val="TableContents"/>
              <w:bidi w:val="0"/>
              <w:spacing w:before="0" w:after="120"/>
              <w:jc w:val="left"/>
              <w:rPr/>
            </w:pPr>
            <w:r>
              <w:rPr/>
              <w:t> </w:t>
            </w:r>
          </w:p>
          <w:p>
            <w:pPr>
              <w:pStyle w:val="TableContents"/>
              <w:bidi w:val="0"/>
              <w:spacing w:before="0" w:after="120"/>
              <w:jc w:val="left"/>
              <w:rPr/>
            </w:pPr>
            <w:r>
              <w:rPr/>
              <w:t> </w:t>
            </w:r>
          </w:p>
          <w:p>
            <w:pPr>
              <w:pStyle w:val="TableContents"/>
              <w:bidi w:val="0"/>
              <w:spacing w:before="0" w:after="120"/>
              <w:jc w:val="left"/>
              <w:rPr/>
            </w:pPr>
            <w:r>
              <w:rPr>
                <w:color w:val="000000"/>
              </w:rPr>
              <w:t> </w:t>
            </w:r>
            <w:r>
              <w:rPr>
                <w:rFonts w:ascii="Times New Roman" w:hAnsi="Times New Roman"/>
                <w:color w:val="000000"/>
                <w:sz w:val="24"/>
              </w:rPr>
              <w:t xml:space="preserve">By: </w:t>
            </w:r>
            <w:r>
              <w:rPr>
                <w:rFonts w:ascii="Times New Roman" w:hAnsi="Times New Roman"/>
                <w:color w:val="000000"/>
                <w:sz w:val="24"/>
                <w:u w:val="single"/>
              </w:rPr>
              <w:t xml:space="preserve">/s/Richard K. Robbins </w:t>
              <w:br/>
            </w:r>
            <w:r>
              <w:rPr>
                <w:rFonts w:ascii="Times New Roman" w:hAnsi="Times New Roman"/>
                <w:color w:val="000000"/>
                <w:sz w:val="24"/>
              </w:rPr>
              <w:t>  Richard K. Robbins</w:t>
              <w:br/>
              <w:t>  Manager</w:t>
            </w:r>
          </w:p>
        </w:tc>
        <w:tc>
          <w:tcPr>
            <w:tcW w:w="4835" w:type="dxa"/>
            <w:vMerge w:val="continue"/>
            <w:tcBorders>
              <w:bottom w:val="single" w:sz="4" w:space="0" w:color="000000"/>
            </w:tcBorders>
            <w:tcMar>
              <w:top w:w="0" w:type="dxa"/>
              <w:left w:w="0" w:type="dxa"/>
              <w:right w:w="0" w:type="dxa"/>
            </w:tcMar>
            <w:vAlign w:val="center"/>
          </w:tcPr>
          <w:p>
            <w:pPr>
              <w:pStyle w:val="Normal"/>
              <w:bidi w:val="0"/>
              <w:jc w:val="left"/>
              <w:rPr/>
            </w:pPr>
            <w:r>
              <w:rPr/>
            </w:r>
          </w:p>
        </w:tc>
      </w:tr>
    </w:tbl>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72</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EXHIBIT A</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OUTLINE OF PREMISES</w:t>
      </w:r>
    </w:p>
    <w:p>
      <w:pPr>
        <w:pStyle w:val="TextBody"/>
        <w:bidi w:val="0"/>
        <w:jc w:val="center"/>
        <w:rPr/>
      </w:pPr>
      <w:r>
        <w:rPr/>
        <w:drawing>
          <wp:inline distT="0" distB="0" distL="0" distR="0">
            <wp:extent cx="5648325" cy="7315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5648325" cy="7315200"/>
                    </a:xfrm>
                    <a:prstGeom prst="rect">
                      <a:avLst/>
                    </a:prstGeom>
                  </pic:spPr>
                </pic:pic>
              </a:graphicData>
            </a:graphic>
          </wp:inline>
        </w:drawing>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A</w:t>
        <w:noBreakHyphen/>
        <w:t>1</w:t>
      </w:r>
    </w:p>
    <w:p>
      <w:pPr>
        <w:pStyle w:val="TextBody"/>
        <w:bidi w:val="0"/>
        <w:jc w:val="left"/>
        <w:rPr>
          <w:rFonts w:ascii="Times New Roman" w:hAnsi="Times New Roman"/>
          <w:sz w:val="20"/>
        </w:rPr>
      </w:pPr>
      <w:r>
        <w:rPr>
          <w:rFonts w:ascii="Times New Roman" w:hAnsi="Times New Roman"/>
          <w:smallCaps/>
          <w:color w:val="000000"/>
          <w:sz w:val="24"/>
        </w:rPr>
        <w:t xml:space="preserve">DOCPROPERTY iManageFooter \* MERGEFORMAT </w:t>
      </w:r>
      <w:r>
        <w:rPr>
          <w:rFonts w:ascii="Times New Roman" w:hAnsi="Times New Roman"/>
          <w:smallCaps/>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EXHIBIT B</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[INTENTIONALLY OMITTED]</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B-1</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EXHIBIT C-1</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LABORATORY RULES AND 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Any laboratory equipment (glass and cage washers, sterilizers, centrifuges, etc.) being used during Standard Operating Hours must be properly insulated for noise to prevent interruption of other tenants’ business. Landlord reserves the right to request all equipment be insulated prior to occupancy. Should other tenants complain of noise, the laboratory tenant will be responsible for abating any noise issues, at the laboratory tenant’s sole cost.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Any damages to property due to leaks from laboratory equipment will be the sole responsibility of the laboratory tenant. Should damage occur in other tenant spaces, any and all damages and clean-up will be the responsibility of the laboratory tenant.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Animal activities are a recognized and necessary process in the biotech industry. Such activities may only be conducted by laboratory tenants pursuant to all the requirements of their respective lease (including any “Use” clause) and require specific, written approval by Landlord in advance. Any animal activities shall be conducted pursuant to all regulations, standards and best industry practices relating to them.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The Project is a mixed-use facility, and laboratory tenants share space with office tenants. To reduce the potential interaction with office tenants and their employees and visitors with any biotech animal operations, any animal testing performed, any deliveries of animals and any equipment, foods, cleaners, etc. associated with animal activities, must be coordinated through the loading dock after hours and with the cooperation of the building management and security personnel. The laboratory tenant should make every effort to handle any deliveries relating to animal activities outside of Standard Operating Hours. The freight elevator must be used at all times, and delivery trucks should not be visible to the other tenants in the campus area. No cartons, containers or cardboard boxes bearing the nature of contents may be stored or left in common area spaces, including any garage/freight areas. Feed bags, animal carriers, and any and all other related containers must be disposed of properly and with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All exterior signage relating to laboratory operations (i.e., visible to common areas, including corridors) must be kept to the minimum required by Laws. All signs must have Landlord’s approval prior to installation.</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C</w:t>
        <w:noBreakHyphen/>
        <w:t>1</w:t>
        <w:noBreakHyphen/>
        <w:t>1</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EXHIBIT C-2</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RULES AND 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No sidewalks, entrance, passages, courts, elevators, vestibules, stairways, corridors or halls shall be obstructed or encumbered by Tenant or used for any purpose other than ingress and egress to and from the Premises and if the Premises are situated on the ground floor of the Project, Tenant shall further, at Tenant’s own expense, keep the sidewalks and curb directly in front of the Premises clean and free from rubbish.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No awning or other projection shall be attached to the outside walls or windows of the Project without the prior written consent of Landlord. No curtains, blinds, shades, drapes or screens shall be attached to or hung in, or used in connection with any window or door of the Premises, without the prior written consent of Landlord. Such awnings, projections, curtains, blinds, shades, drapes, screens and other fixtures must be of a quality, type, design, color, material and general appearance approved by Landlord, and shall be attached in the manner approved by Landlord. All lighting fixtures hung in offices or spaces along the perimeter of the Premises must be of a quality, type, design, bulb color, size and general appearance approved by 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No sign, advertisement, notice, lettering, decoration or other thing shall be exhibited, inscribed, painted or affixed by Tenant on any part of the outside or inside of the Premises or of the Project, without the prior written consent of Landlord. In the event of the violation of the foregoing by Tenant, Landlord may remove same without any liability, and may charge the expense incurred by such removal to Tenant.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The sashes, sash doors, skylights, windows and doors that reflect or admit light or air into the halls, passageways or other public places in the Project shall not be covered or obstructed by Tenant, nor shall any bottles, parcels or other articles be placed on the window sills or in the public portions of the Project.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No showcases or other articles shall be put in front of or affixed to any part of the exterior of the Project, nor placed in public portions thereof without the prior written consent of 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 The water and wash closets and other plumbing fixtures shall not be used for any purposes other than those for which they were constructed, and no sweepings, rubbish, rags or other substances shall be thrown therein. All damages resulting from any misuse of the fixtures shall be borne by Tenant to the extent that Tenant or Tenant Parties shall have caused the same.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 Tenant shall not mark, paint, drill into or in any way deface any part of the Premises or the Project, except with the prior written consent of Landlord, such consent not to be unreasonably withheld, conditioned, or delayed. No boring, cutting or stringing of wires shall be permitted, except with the prior written consent of Landlord, and as Landlord may direct.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 No animal or bird of any kind shall be brought into or kept in or about the Premises or the Project, except dogs that qualify as “service animals” under the ADA.</w:t>
      </w:r>
    </w:p>
    <w:p>
      <w:pPr>
        <w:pStyle w:val="TextBody"/>
        <w:bidi w:val="0"/>
        <w:jc w:val="left"/>
        <w:rPr>
          <w:rFonts w:ascii="Times New Roman" w:hAnsi="Times New Roman"/>
          <w:color w:val="000000"/>
          <w:sz w:val="24"/>
        </w:rPr>
      </w:pPr>
      <w:r>
        <w:rPr>
          <w:rFonts w:ascii="Times New Roman" w:hAnsi="Times New Roman"/>
          <w:color w:val="000000"/>
          <w:sz w:val="24"/>
        </w:rPr>
        <w:t>C-2-1</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 Tenant shall cooperate with Landlord’s efforts to implement the Project’s Sustainability Practices and the applicable Green Building Standards, including, but not limited to, complying with Landlord’s then-current energy saving efforts and participating in any recycling programs and occupant satisfaction and transportation surveys.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 Prior to leaving the Premises for the day, Tenant shall draw or lower window coverings and extinguish all lights.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 Tenant shall regularly conduct cleaning and janitorial activities, especially in bathrooms, kitchens and janitorial spaces, to remove mildew and prevent moist conditions and shall comply with the Project’s Sustainability Practices and Tenant is strongly encouraged to comply with the applicable Green Building Standards.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 Tenant shall not make, or permit to be made, any unseemly or disturbing noises or disturb or interfere with occupants of the Project, or neighboring buildings or premises, or those having business with them. Tenant shall not throw anything out of the doors, windows or skylights or down the passageways.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 Neither Tenant nor any Tenant Parties shall at any time bring or keep upon the Premises any flammable, combustible or explosive fluid, chemical or substance.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 No additional locks, bolts or mail slots of any kind shall be placed upon any of the doors or windows by Tenant, nor shall any change be made in existing locks or the mechanism thereof. Tenant must, upon the termination of the tenancy, restore to Landlord all keys of stores, offices and toilet rooms, either furnished to, or otherwise procured by Tenant, and in the event of the loss of any keys so furnished, Tenant shall pay to Landlord the cost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 All removals, or the carrying in or out of any safes, freight, furniture, construction material, bulky matter or heavy equipment of any description must take place during the hours which Landlord or its agent may determine from time to time. The moving of safes, freight, furniture, fixtures, bulky matter or heavy equipment of any kind must be made upon previous notice to the Building Manager and in a manner and at times prescribed by the Building Manager, and the persons employed by Tenant for such work are subject to Landlord’s prior approval. Landlord reserves the right to inspect all safes, freight or other bulky articles to be brought into the Project and to exclude from the Project all safes, freight or other bulky articles which exceed the load bearing capacity of the floors of the Building or which violate any of these Rules and Regulations or the Lease of which these Rules and Regulations are a part.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 Tenant shall not purchase janitorial or maintenance or other like service from any company or persons not approved by Landlord. Landlord shall approve a sufficient number of sources of such services to provide Tenant with a reasonable selection, but only in such instances and to such extent as Landlord in its judgment shall consider consistent with security and proper operation of the Project.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 Landlord shall have the right to prohibit any advertising or business conducted by Tenant referring to the Project which, in Landlord’s opinion, tends to impair the reputation of the Project or its desirability as a first class building for offices and/or commercial services and upon notice from Landlord, Tenant shall refrain from or discontinue such advertising.</w:t>
      </w:r>
    </w:p>
    <w:p>
      <w:pPr>
        <w:pStyle w:val="TextBody"/>
        <w:bidi w:val="0"/>
        <w:jc w:val="left"/>
        <w:rPr>
          <w:rFonts w:ascii="Times New Roman" w:hAnsi="Times New Roman"/>
          <w:color w:val="000000"/>
          <w:sz w:val="24"/>
        </w:rPr>
      </w:pPr>
      <w:r>
        <w:rPr>
          <w:rFonts w:ascii="Times New Roman" w:hAnsi="Times New Roman"/>
          <w:color w:val="000000"/>
          <w:sz w:val="24"/>
        </w:rPr>
        <w:t>C-2-2</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 Landlord reserves the right to exclude from the Project between the hours of 6:00 p.m. and 8:00 a.m. Monday through Friday, after 1:00 p.m. on Saturdays and at all hours Sundays and legal holidays, all persons who do not present a pass to the Project issued by Landlord. Landlord may furnish passes to Tenant so that Tenant may validate and issue same. Tenant shall safeguard said passes and shall be responsible for all acts of persons in or about the Project who possess a pass issued to Tenant.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 Tenant’s vendors and contractors shall, while in the Premises or elsewhere in the Project, be subject to and under the control and direction of the Building Manager (but not as agent or servant of said Building Manager or of Landlord) and, prior to commencing any work, shall be required to maintain and provide copies of such insurance coverage as reasonably approved by Landlord with liability policies naming Landlord and the Indemnitees as additional insureds.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 If the Premises is or becomes infested with vermin as a result of the use or any misuse or neglect of the Premises by Tenant or Tenant Parties, Tenant shall forthwith at Tenant’s expense cause the same to be exterminated from time to time to the satisfaction of Landlord and shall employ such licensed exterminators as shall be approved in writing in advance by 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 The requirements of Tenant will be attended to only upon application at the office of the Project. Project personnel shall not perform any work or do anything outside of their regular duties unless under special instructions from the office of 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 Canvassing, soliciting and peddling in the Project are prohibited and Tenant shall cooperate to prevent the same.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 No water cooler, air conditioning unit or system or other apparatus shall be installed or used by Tenant without the written consent of 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 There shall not be used in any premises, or in the public halls, plaza areas, lobbies, or elsewhere in the Project, either by Tenant, Tenant’s contractors or others, in the delivery or receipt of merchandise, any hand trucks or dollies, except those equipped with rubber tires and sideguards.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25. Neither Tenant nor Tenant Parties shall not park any vehicles in any driveways, service entrances, or areas posted “No Parking” and shall comply with any other parking restrictions imposed by Landlord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26. Tenant shall install and maintain, at Tenant’s sole cost and expense, an adequate visibly marked (at all times properly operational) fire extinguisher next to any duplicating or photocopying machine or similar heat producing equipment, which may or may not contain combustible material, in the Premises.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27. Tenant shall not use the name of the Project for any purpose other than as the address of the business to be conducted by Tenant in the Premises, nor shall Tenant use any picture of the Project in its advertising, stationery or in any other manner without the prior written permission of Landlord. Landlord expressly reserves the right at any time to change said name without in any manner being liable to Tenant therefor.</w:t>
      </w:r>
    </w:p>
    <w:p>
      <w:pPr>
        <w:pStyle w:val="TextBody"/>
        <w:bidi w:val="0"/>
        <w:jc w:val="left"/>
        <w:rPr>
          <w:rFonts w:ascii="Times New Roman" w:hAnsi="Times New Roman"/>
          <w:color w:val="000000"/>
          <w:sz w:val="24"/>
        </w:rPr>
      </w:pPr>
      <w:r>
        <w:rPr>
          <w:rFonts w:ascii="Times New Roman" w:hAnsi="Times New Roman"/>
          <w:color w:val="000000"/>
          <w:sz w:val="24"/>
        </w:rPr>
        <w:t>C-2-3</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28. Tenant shall not prepare any food nor do any cooking, operate or conduct any restaurant, luncheonette or cafeteria for the sale or service of food or beverages to its employees or to others, except that food and beverage preparation by Tenant’s employees using microwave ovens or coffee makers shall be permitted provided no odors of cooking or other processes emanate from the Premises. Tenant shall not install or permit the installation or use of any vending machine or permit the delivery of any food or beverage to the Premises except by such persons and in such manner as are approved in advance in writing by 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29. The Premises shall not be used as an employment agency, a public stenographer or typist, a labor union office, a physician’s or dentist’s office, a dance or music studio, a school, a beauty salon, or barber shop, the business of photographic reproductions or offset printing, a restaurant or bar, an establishment for the sale of confectionery, soda, beverages, sandwiches, ice cream or baked goods, an establishment for preparing, dispensing or consumption of food or beverages of any kind in any manner whatsoever, or news or cigar stand, or a radio, television or recording studio, theatre or exhibition hall, or manufacturing, or the storage or sale of merchandise, goods, services or property of any kind at wholesale, retail or auction, or for lodging, sleeping or for any immoral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30. Business machines and mechanical equipment shall be placed and maintained by Tenant at Tenant’s expense in settings sufficient in Landlord’s judgment to absorb and prevent vibration, noise and annoyance. Tenant shall not install any machine or equipment which causes noise, heat, cold or vibration to be transmitted to the structure of the building in which the Premises are located without Landlord’s prior written consent, which consent may be conditioned on such terms as Landlord may require. Tenant shall not place a load upon any floor of the Premises exceeding the floor load per square foot that such floor was designed to carry and which is allowed by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 Tenant shall not bring any Hazardous Materials onto the Premises except for those that are in general commercial use and are incidental to Tenant’s business office operations and only in quantities suitable for immediate 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 Tenant shall not store any vehicle within the parking area. Tenant’s parking rights are limited to the use of parking spaces for short-term parking, of up to twenty-four (24) hours, of vehicles utilized in the normal and regular daily travel to and from the Project. Tenants who wish to park a vehicle for longer than a 24-hour period shall notify the Building Manager for the Project and consent to such long-term parking may be granted for periods up to two (2) weeks. Any motor vehicles parked without the prior written consent of the Building Manager for the Project for longer than a 24-hour period shall be deemed stored in violation of this rule and regulation and shall be towed away and stored at the owner’s expense or disposed of as provided by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 Smoking is prohibited in the Premises, the Building and all enclosed Common Areas of the Project, including all lobbies, all hallways, all elevators and all lavatories. “Smoking”, as used herein, shall be deemed to include the use of e-cigarettes, smokeless cigarettes and other similar products. All rules and regulations set forth in this Exhibit C applicable to smoking also apply to the use of e-cigarettes, smokeless cigarettes and other similar products.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34. Tenant shall not store any items within 18 inches of a sprinkler head.</w:t>
      </w:r>
    </w:p>
    <w:p>
      <w:pPr>
        <w:pStyle w:val="TextBody"/>
        <w:bidi w:val="0"/>
        <w:jc w:val="left"/>
        <w:rPr>
          <w:rFonts w:ascii="Times New Roman" w:hAnsi="Times New Roman"/>
          <w:color w:val="000000"/>
          <w:sz w:val="24"/>
        </w:rPr>
      </w:pPr>
      <w:r>
        <w:rPr>
          <w:rFonts w:ascii="Times New Roman" w:hAnsi="Times New Roman"/>
          <w:color w:val="000000"/>
          <w:sz w:val="24"/>
        </w:rPr>
        <w:t>C-2-4</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35. Building ladders including fixed ladders and step ladders are not to be used by Tenant or Tenant Parties.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36. Electrical power strips and portable “space heaters” are not permitted.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37. Tenants are not permitted to open an electrical panel. Tenants are required to contact Landlord to reset a circuit breaker.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38. Tenant shall reimburse Landlord for the cost (plus an administrative charge at Landlord’s then prevailing rate) of Landlord providing any special services or work requested by Tenant to the extent such services or work are not specifically set forth as a Landlord obligation in the Lease.</w:t>
      </w:r>
    </w:p>
    <w:p>
      <w:pPr>
        <w:pStyle w:val="TextBody"/>
        <w:bidi w:val="0"/>
        <w:jc w:val="left"/>
        <w:rPr>
          <w:rFonts w:ascii="Times New Roman" w:hAnsi="Times New Roman"/>
          <w:color w:val="000000"/>
          <w:sz w:val="24"/>
        </w:rPr>
      </w:pPr>
      <w:r>
        <w:rPr>
          <w:rFonts w:ascii="Times New Roman" w:hAnsi="Times New Roman"/>
          <w:color w:val="000000"/>
          <w:sz w:val="24"/>
        </w:rPr>
        <w:t>C-2-5</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EXHIBIT D</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SNDA</w:t>
      </w:r>
    </w:p>
    <w:p>
      <w:pPr>
        <w:pStyle w:val="TextBody"/>
        <w:bidi w:val="0"/>
        <w:jc w:val="both"/>
        <w:rPr>
          <w:rFonts w:ascii="Times New Roman" w:hAnsi="Times New Roman"/>
          <w:sz w:val="20"/>
        </w:rPr>
      </w:pPr>
      <w:r>
        <w:rPr>
          <w:rFonts w:ascii="Times New Roman" w:hAnsi="Times New Roman"/>
          <w:b/>
          <w:i/>
          <w:color w:val="000000"/>
          <w:sz w:val="24"/>
        </w:rPr>
        <w:t xml:space="preserve">After recordation this instrument </w:t>
      </w:r>
      <w:r>
        <w:rPr>
          <w:rFonts w:ascii="Times New Roman" w:hAnsi="Times New Roman"/>
          <w:color w:val="000000"/>
          <w:sz w:val="24"/>
        </w:rPr>
        <w:t>|</w:t>
      </w:r>
    </w:p>
    <w:p>
      <w:pPr>
        <w:pStyle w:val="TextBody"/>
        <w:bidi w:val="0"/>
        <w:jc w:val="both"/>
        <w:rPr>
          <w:rFonts w:ascii="Times New Roman" w:hAnsi="Times New Roman"/>
          <w:sz w:val="20"/>
        </w:rPr>
      </w:pPr>
      <w:r>
        <w:rPr>
          <w:rFonts w:ascii="Times New Roman" w:hAnsi="Times New Roman"/>
          <w:b/>
          <w:i/>
          <w:color w:val="000000"/>
          <w:sz w:val="24"/>
        </w:rPr>
        <w:t xml:space="preserve">should be returned to: </w:t>
      </w: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Thrivent Financial for Lutherans |</w:t>
      </w:r>
    </w:p>
    <w:p>
      <w:pPr>
        <w:pStyle w:val="TextBody"/>
        <w:bidi w:val="0"/>
        <w:jc w:val="both"/>
        <w:rPr>
          <w:rFonts w:ascii="Times New Roman" w:hAnsi="Times New Roman"/>
          <w:color w:val="000000"/>
          <w:sz w:val="24"/>
        </w:rPr>
      </w:pPr>
      <w:r>
        <w:rPr>
          <w:rFonts w:ascii="Times New Roman" w:hAnsi="Times New Roman"/>
          <w:color w:val="000000"/>
          <w:sz w:val="24"/>
        </w:rPr>
        <w:t>Attn: Loan Administration, Mortgages and Real |</w:t>
      </w:r>
    </w:p>
    <w:p>
      <w:pPr>
        <w:pStyle w:val="TextBody"/>
        <w:bidi w:val="0"/>
        <w:jc w:val="both"/>
        <w:rPr>
          <w:rFonts w:ascii="Times New Roman" w:hAnsi="Times New Roman"/>
          <w:color w:val="000000"/>
          <w:sz w:val="24"/>
        </w:rPr>
      </w:pPr>
      <w:r>
        <w:rPr>
          <w:rFonts w:ascii="Times New Roman" w:hAnsi="Times New Roman"/>
          <w:color w:val="000000"/>
          <w:sz w:val="24"/>
        </w:rPr>
        <w:t>Estate Investments |</w:t>
      </w:r>
    </w:p>
    <w:p>
      <w:pPr>
        <w:pStyle w:val="TextBody"/>
        <w:bidi w:val="0"/>
        <w:jc w:val="both"/>
        <w:rPr>
          <w:rFonts w:ascii="Times New Roman" w:hAnsi="Times New Roman"/>
          <w:color w:val="000000"/>
          <w:sz w:val="24"/>
        </w:rPr>
      </w:pPr>
      <w:r>
        <w:rPr>
          <w:rFonts w:ascii="Times New Roman" w:hAnsi="Times New Roman"/>
          <w:color w:val="000000"/>
          <w:sz w:val="24"/>
        </w:rPr>
        <w:t>901 Marquette Avenue, Suite 2500 |</w:t>
      </w:r>
    </w:p>
    <w:p>
      <w:pPr>
        <w:pStyle w:val="TextBody"/>
        <w:bidi w:val="0"/>
        <w:jc w:val="both"/>
        <w:rPr>
          <w:rFonts w:ascii="Times New Roman" w:hAnsi="Times New Roman"/>
          <w:color w:val="000000"/>
          <w:sz w:val="24"/>
        </w:rPr>
      </w:pPr>
      <w:r>
        <w:rPr>
          <w:rFonts w:ascii="Times New Roman" w:hAnsi="Times New Roman"/>
          <w:color w:val="000000"/>
          <w:sz w:val="24"/>
        </w:rPr>
        <w:t>Minneapolis, Minnesota 55402 |</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sz w:val="20"/>
        </w:rPr>
      </w:pPr>
      <w:r>
        <w:rPr>
          <w:rFonts w:ascii="Times New Roman" w:hAnsi="Times New Roman"/>
          <w:i/>
          <w:color w:val="000000"/>
          <w:sz w:val="24"/>
        </w:rPr>
        <w:t>This instrument was drafted by:</w:t>
      </w:r>
      <w:r>
        <w:rPr>
          <w:rFonts w:ascii="Times New Roman" w:hAnsi="Times New Roman"/>
          <w:color w:val="000000"/>
          <w:sz w:val="20"/>
        </w:rPr>
        <w:t xml:space="preserve"> </w:t>
      </w: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 |</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pBdr>
          <w:bottom w:val="single" w:sz="18" w:space="1" w:color="000000"/>
        </w:pBdr>
        <w:bidi w:val="0"/>
        <w:jc w:val="both"/>
        <w:rPr>
          <w:rFonts w:ascii="Times New Roman" w:hAnsi="Times New Roman"/>
          <w:color w:val="000000"/>
          <w:sz w:val="24"/>
        </w:rPr>
      </w:pPr>
      <w:r>
        <w:rPr>
          <w:rFonts w:ascii="Times New Roman" w:hAnsi="Times New Roman"/>
          <w:color w:val="000000"/>
          <w:sz w:val="24"/>
        </w:rPr>
        <w:t>Loan No. |</w:t>
      </w:r>
    </w:p>
    <w:p>
      <w:pPr>
        <w:pStyle w:val="TextBody"/>
        <w:bidi w:val="0"/>
        <w:spacing w:before="0" w:after="120"/>
        <w:jc w:val="both"/>
        <w:rPr>
          <w:rFonts w:ascii="Times New Roman" w:hAnsi="Times New Roman"/>
          <w:b/>
          <w:i/>
          <w:color w:val="000000"/>
          <w:sz w:val="24"/>
        </w:rPr>
      </w:pPr>
      <w:r>
        <w:rPr>
          <w:rFonts w:ascii="Times New Roman" w:hAnsi="Times New Roman"/>
          <w:b/>
          <w:i/>
          <w:color w:val="000000"/>
          <w:sz w:val="24"/>
        </w:rPr>
        <w:t>[Above space reserved for recording information.]</w:t>
      </w:r>
    </w:p>
    <w:p>
      <w:pPr>
        <w:pStyle w:val="TextBody"/>
        <w:bidi w:val="0"/>
        <w:spacing w:before="0" w:after="120"/>
        <w:jc w:val="both"/>
        <w:rPr/>
      </w:pPr>
      <w:r>
        <w:rPr/>
        <w:t> </w:t>
      </w:r>
    </w:p>
    <w:p>
      <w:pPr>
        <w:pStyle w:val="TextBody"/>
        <w:bidi w:val="0"/>
        <w:spacing w:before="0" w:after="120"/>
        <w:jc w:val="both"/>
        <w:rPr>
          <w:rFonts w:ascii="Times New Roman" w:hAnsi="Times New Roman"/>
          <w:sz w:val="20"/>
        </w:rPr>
      </w:pPr>
      <w:r>
        <w:rPr>
          <w:rFonts w:ascii="Times New Roman" w:hAnsi="Times New Roman"/>
          <w:b/>
          <w:i/>
          <w:color w:val="000000"/>
          <w:sz w:val="24"/>
        </w:rPr>
        <w:t>Tax Parcel No.:</w:t>
      </w:r>
      <w:r>
        <w:rPr>
          <w:rFonts w:ascii="Times New Roman" w:hAnsi="Times New Roman"/>
          <w:color w:val="000000"/>
          <w:sz w:val="24"/>
        </w:rPr>
        <w:t>___________________________</w:t>
      </w:r>
    </w:p>
    <w:p>
      <w:pPr>
        <w:pStyle w:val="TextBody"/>
        <w:bidi w:val="0"/>
        <w:spacing w:before="0" w:after="120"/>
        <w:jc w:val="both"/>
        <w:rPr/>
      </w:pPr>
      <w:r>
        <w:rPr/>
        <w:t>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SUBORDINATION, NONDISTURBANCE AND ATTORNMENT AGREEMENT</w:t>
      </w:r>
    </w:p>
    <w:p>
      <w:pPr>
        <w:pStyle w:val="TextBody"/>
        <w:bidi w:val="0"/>
        <w:spacing w:before="0" w:after="12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24"/>
        </w:rPr>
        <w:t>THIS SUBORDINATION, NONDISTURBANCE AND ATTORNMENT AGREEMENT (“Agreement”) is made and entered into as of the ______ day of ___________, 20____, by and among __________________, a ________________ (“</w:t>
      </w:r>
      <w:r>
        <w:rPr>
          <w:rFonts w:ascii="Times New Roman" w:hAnsi="Times New Roman"/>
          <w:b/>
          <w:color w:val="000000"/>
          <w:sz w:val="24"/>
          <w:u w:val="single"/>
        </w:rPr>
        <w:t>Tenant</w:t>
      </w:r>
      <w:r>
        <w:rPr>
          <w:rFonts w:ascii="Times New Roman" w:hAnsi="Times New Roman"/>
          <w:color w:val="000000"/>
          <w:sz w:val="20"/>
        </w:rPr>
        <w:t>”</w:t>
      </w:r>
      <w:r>
        <w:rPr>
          <w:rFonts w:ascii="Times New Roman" w:hAnsi="Times New Roman"/>
          <w:color w:val="000000"/>
          <w:sz w:val="24"/>
        </w:rPr>
        <w:t>), ______________________, a __________________ (“</w:t>
      </w:r>
      <w:r>
        <w:rPr>
          <w:rFonts w:ascii="Times New Roman" w:hAnsi="Times New Roman"/>
          <w:b/>
          <w:color w:val="000000"/>
          <w:sz w:val="24"/>
          <w:u w:val="single"/>
        </w:rPr>
        <w:t>Borrower</w:t>
      </w:r>
      <w:r>
        <w:rPr>
          <w:rFonts w:ascii="Times New Roman" w:hAnsi="Times New Roman"/>
          <w:color w:val="000000"/>
          <w:sz w:val="20"/>
        </w:rPr>
        <w:t>”</w:t>
      </w:r>
      <w:r>
        <w:rPr>
          <w:rFonts w:ascii="Times New Roman" w:hAnsi="Times New Roman"/>
          <w:color w:val="000000"/>
          <w:sz w:val="24"/>
        </w:rPr>
        <w:t>), and THRIVENT FINANCIAL FOR LUTHERANS, a Wisconsin corporation (“</w:t>
      </w:r>
      <w:r>
        <w:rPr>
          <w:rFonts w:ascii="Times New Roman" w:hAnsi="Times New Roman"/>
          <w:b/>
          <w:color w:val="000000"/>
          <w:sz w:val="24"/>
          <w:u w:val="single"/>
        </w:rPr>
        <w:t>Lender</w:t>
      </w:r>
      <w:r>
        <w:rPr>
          <w:rFonts w:ascii="Times New Roman" w:hAnsi="Times New Roman"/>
          <w:color w:val="000000"/>
          <w:sz w:val="20"/>
        </w:rPr>
        <w:t>”</w:t>
      </w:r>
      <w:r>
        <w:rPr>
          <w:rFonts w:ascii="Times New Roman" w:hAnsi="Times New Roman"/>
          <w:color w:val="000000"/>
          <w:sz w:val="24"/>
        </w:rPr>
        <w:t>).</w:t>
      </w:r>
    </w:p>
    <w:p>
      <w:pPr>
        <w:pStyle w:val="TextBody"/>
        <w:bidi w:val="0"/>
        <w:spacing w:before="0" w:after="120"/>
        <w:jc w:val="both"/>
        <w:rPr/>
      </w:pPr>
      <w:r>
        <w:rPr/>
        <w:t>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RECITALS</w:t>
      </w:r>
    </w:p>
    <w:p>
      <w:pPr>
        <w:pStyle w:val="TextBody"/>
        <w:bidi w:val="0"/>
        <w:spacing w:before="0" w:after="240"/>
        <w:jc w:val="both"/>
        <w:rPr>
          <w:rFonts w:ascii="Times New Roman" w:hAnsi="Times New Roman"/>
          <w:sz w:val="20"/>
        </w:rPr>
      </w:pPr>
      <w:r>
        <w:rPr>
          <w:rFonts w:ascii="Times New Roman" w:hAnsi="Times New Roman"/>
          <w:color w:val="000000"/>
          <w:sz w:val="24"/>
        </w:rPr>
        <w:t>A. Tenant is the lessee and Borrower is the lessor under that certain Lease Agreement [to be] dated ________________, ________, as amended by ________________________ (collectively, the “</w:t>
      </w:r>
      <w:r>
        <w:rPr>
          <w:rFonts w:ascii="Times New Roman" w:hAnsi="Times New Roman"/>
          <w:b/>
          <w:color w:val="000000"/>
          <w:sz w:val="24"/>
          <w:u w:val="single"/>
        </w:rPr>
        <w:t>Lease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B. [Borrower has requested that Lender make][Lender has made] a loan to Borrower secured by a Mortgage or Deed of Trust from Borrower to Lender (“</w:t>
      </w:r>
      <w:r>
        <w:rPr>
          <w:rFonts w:ascii="Times New Roman" w:hAnsi="Times New Roman"/>
          <w:b/>
          <w:color w:val="000000"/>
          <w:sz w:val="24"/>
          <w:u w:val="single"/>
        </w:rPr>
        <w:t>Security Instrument”</w:t>
      </w:r>
      <w:r>
        <w:rPr>
          <w:rFonts w:ascii="Times New Roman" w:hAnsi="Times New Roman"/>
          <w:color w:val="000000"/>
          <w:sz w:val="24"/>
        </w:rPr>
        <w:t>), and an Assignment of Rents and Leases from Borrower to Lender (“</w:t>
      </w:r>
      <w:r>
        <w:rPr>
          <w:rFonts w:ascii="Times New Roman" w:hAnsi="Times New Roman"/>
          <w:b/>
          <w:color w:val="000000"/>
          <w:sz w:val="24"/>
          <w:u w:val="single"/>
        </w:rPr>
        <w:t>Assignment</w:t>
      </w:r>
      <w:r>
        <w:rPr>
          <w:rFonts w:ascii="Times New Roman" w:hAnsi="Times New Roman"/>
          <w:color w:val="000000"/>
          <w:sz w:val="20"/>
        </w:rPr>
        <w:t>”</w:t>
      </w:r>
      <w:r>
        <w:rPr>
          <w:rFonts w:ascii="Times New Roman" w:hAnsi="Times New Roman"/>
          <w:color w:val="000000"/>
          <w:sz w:val="24"/>
        </w:rPr>
        <w:t>), covering the property wherein the premises (“</w:t>
      </w:r>
      <w:r>
        <w:rPr>
          <w:rFonts w:ascii="Times New Roman" w:hAnsi="Times New Roman"/>
          <w:b/>
          <w:color w:val="000000"/>
          <w:sz w:val="24"/>
          <w:u w:val="single"/>
        </w:rPr>
        <w:t>Premises</w:t>
      </w:r>
      <w:r>
        <w:rPr>
          <w:rFonts w:ascii="Times New Roman" w:hAnsi="Times New Roman"/>
          <w:color w:val="000000"/>
          <w:sz w:val="20"/>
        </w:rPr>
        <w:t>”</w:t>
      </w:r>
      <w:r>
        <w:rPr>
          <w:rFonts w:ascii="Times New Roman" w:hAnsi="Times New Roman"/>
          <w:color w:val="000000"/>
          <w:sz w:val="24"/>
        </w:rPr>
        <w:t>) covered by the Lease are located, which property is described more fully in Exhibit A attached hereto (“</w:t>
      </w:r>
      <w:r>
        <w:rPr>
          <w:rFonts w:ascii="Times New Roman" w:hAnsi="Times New Roman"/>
          <w:b/>
          <w:color w:val="000000"/>
          <w:sz w:val="24"/>
          <w:u w:val="single"/>
        </w:rPr>
        <w:t>Property</w:t>
      </w:r>
      <w:r>
        <w:rPr>
          <w:rFonts w:ascii="Times New Roman" w:hAnsi="Times New Roman"/>
          <w:color w:val="000000"/>
          <w:sz w:val="20"/>
        </w:rPr>
        <w:t>”</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D-1</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 [Lender is willing to make the requested loan, provided that, as one of the conditions precedent thereto, Borrower and Tenant execute this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NOW, THEREFORE, in consideration of the mutual covenants and agreements contained herein, and other good and valuable consideration, the receipt and sufficiency of which are hereby acknowledged, Tenant, Borrower, and Lender hereby agree and covenant as follows: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b/>
          <w:color w:val="000000"/>
          <w:sz w:val="24"/>
          <w:u w:val="single"/>
        </w:rPr>
        <w:t>Assignment</w:t>
      </w:r>
      <w:r>
        <w:rPr>
          <w:rFonts w:ascii="Times New Roman" w:hAnsi="Times New Roman"/>
          <w:color w:val="000000"/>
          <w:sz w:val="24"/>
        </w:rPr>
        <w:t>. Borrower shall absolutely grant, transfer, and assign to Lender the Lease and all rents and other sums payable under the Lease; provided, however, that until written demand is made by Lender to Tenant, all rents and other sums payable under the Lease shall be paid to Borrower, but only as they accrue. Borrower covenants and agrees that upon Tenant's receipt of written notice from Lender to pay the rent to Lender and its successors and assigns, Tenant shall pay the rent and all other sums due under the Lease as such rent and other sums become due to the Lender and shall have no liability to Borrower for such rent and other sums due under the Lease which are paid to Lender and its successors and assigns. Tenant hereby recognizes the Assignment made by Borrower to Lender and agrees to pay, upon receipt of written demand from Lender, all rents and other sums as directed by Lender, beginning not later than 15 days following notice from Lender. Borrower hereby acknowledges and agrees that all payments made by Tenant in accordance herewith shall constitute payments under the terms of the Lease. Borrower hereby waives all claims against Tenant for following any payment instructions given pursuant to this Agreement. Without limiting the foregoing, Tenant shall not be required to make any inquiry or conduct any investigation into the validity or appropriateness of Lender's written demand for payment of rent pursuant 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b/>
          <w:color w:val="000000"/>
          <w:sz w:val="24"/>
          <w:u w:val="single"/>
        </w:rPr>
        <w:t>Subordination</w:t>
      </w:r>
      <w:r>
        <w:rPr>
          <w:rFonts w:ascii="Times New Roman" w:hAnsi="Times New Roman"/>
          <w:color w:val="000000"/>
          <w:sz w:val="24"/>
        </w:rPr>
        <w:t>. Borrower, Tenant and Lender hereby agree that the Lease and all of its terms and provisions (including, without limitation, any option or options to purchase or rights of first refusal or offer affecting the Property, or any portion thereof, contained therein) is and shall at all times be subject and subordinate in all respects to the Security Instrument and to all supplements, amendments and modifications thereto, and to all extensions, substitutions, rearrangements and/or replacements thereof. Additionally, such option or options to purchase or rights of first refusal or offer affecting the Property, or any portion thereof, shall not apply to the sale of any portion of the Property by Purchaser (as such term is defined below). Notwithstanding the foregoing, as between Borrower and Tenant, nothing contained in this Agreement shall be deemed to: (a) excuse or reduce any obligation owed by Borrower to Tenant under the Lease; or (b) waive, in whole or part, any of Tenant's rights or remedies against Borrower under the 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b/>
          <w:color w:val="000000"/>
          <w:sz w:val="24"/>
          <w:u w:val="single"/>
        </w:rPr>
        <w:t>Nondisturbance and Attornment</w:t>
      </w:r>
      <w:r>
        <w:rPr>
          <w:rFonts w:ascii="Times New Roman" w:hAnsi="Times New Roman"/>
          <w:color w:val="000000"/>
          <w:sz w:val="24"/>
        </w:rPr>
        <w:t>. Provided that (a) Tenant is not in default beyond applicable cure period(s) under any of the terms, covenants or conditions contained in the Lease or this Agreement, and (b) the lease has not been terminated, rejected, or deemed rejected in a Landlord bankruptcy action, Lender agrees that in the event of foreclosure of the Security Instrument, trustee's sale, deed in lieu of foreclosure, or other enforcement of the terms and conditions of the Security Instrument, or the exercise by Lender of its rights under the Assignment, or in the event Lender comes into possession or acquires title to the Property as a result of foreclosure or the threat thereof, or as a result of other means, such action shall not result in either a termination of the Lease, or a diminution or impairment of any of the rights granted to Tenant in the Lease, except as hereinafter provided.</w:t>
      </w:r>
    </w:p>
    <w:p>
      <w:pPr>
        <w:pStyle w:val="TextBody"/>
        <w:bidi w:val="0"/>
        <w:jc w:val="left"/>
        <w:rPr>
          <w:rFonts w:ascii="Times New Roman" w:hAnsi="Times New Roman"/>
          <w:color w:val="000000"/>
          <w:sz w:val="24"/>
        </w:rPr>
      </w:pPr>
      <w:r>
        <w:rPr>
          <w:rFonts w:ascii="Times New Roman" w:hAnsi="Times New Roman"/>
          <w:color w:val="000000"/>
          <w:sz w:val="24"/>
        </w:rPr>
        <w:t>D-2</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24"/>
        </w:rPr>
        <w:t>If the interest of Borrower in the Property shall be transferred to Lender or any transferee of Lender by reason of foreclosure, trustee's sale, deed in lieu of foreclosure or other proceeding for the enforcement of the Security Instrument or rights of Lender under the Assignment (such transferee, its successors and assigns, including, but not limited to, Lender, shall hereinafter be referred to as “</w:t>
      </w:r>
      <w:r>
        <w:rPr>
          <w:rFonts w:ascii="Times New Roman" w:hAnsi="Times New Roman"/>
          <w:b/>
          <w:color w:val="000000"/>
          <w:sz w:val="24"/>
          <w:u w:val="single"/>
        </w:rPr>
        <w:t>Purchaser</w:t>
      </w:r>
      <w:r>
        <w:rPr>
          <w:rFonts w:ascii="Times New Roman" w:hAnsi="Times New Roman"/>
          <w:color w:val="000000"/>
          <w:sz w:val="20"/>
        </w:rPr>
        <w:t>”</w:t>
      </w:r>
      <w:r>
        <w:rPr>
          <w:rFonts w:ascii="Times New Roman" w:hAnsi="Times New Roman"/>
          <w:color w:val="000000"/>
          <w:sz w:val="24"/>
        </w:rPr>
        <w:t>), and Tenant is not in default beyond applicable cure period(s) of its obligations under the Lease, Purchaser shall not name or join Tenant in any foreclosure, trustee's sale or other proceeding to enforce the Security Instrument or Assignment, unless required by applicable law to do so, and Purchaser shall be bound to Tenant, except as provided in Section 4 below, and Tenant shall be bound to Purchaser, under all of the terms, covenants and conditions of the Lease for the balance of the term thereof, and any extensions thereof with the same force and effect as if Purchaser were the original landlord under the Lease. Tenant does hereby attorn to Purchaser, including Lender if Lender is such Purchaser, as the landlord under the Lease, said attornment to be effective and self-operative without the execution of any further instruments upon Purchaser's succeeding to the interest of the Borrower under the 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b/>
          <w:color w:val="000000"/>
          <w:sz w:val="24"/>
          <w:u w:val="single"/>
        </w:rPr>
        <w:t>Limitation on Purchaser Obligations</w:t>
      </w:r>
      <w:r>
        <w:rPr>
          <w:rFonts w:ascii="Times New Roman" w:hAnsi="Times New Roman"/>
          <w:color w:val="000000"/>
          <w:sz w:val="24"/>
        </w:rPr>
        <w:t>. Notwithstanding anything to the contrary contained in Section 3 hereof, Purchaser shall not be:</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4.1 liable for any damage for a breach of any representation or warranty contained in the Lease by Borrower or any prior lessor under the Lease;</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4.2 subject to any offsets or defenses that Tenant may have against a prior lessor under the lease (including, without limitation, Borrower); except as provided for in [LEASE SECTIONS] and Section 6 hereof, provided, however, prior to exercising any right thereunder, Tenant must have provided written notice to Lender of the default which gave rise to such offset or defense and permitted Lender the opportunity to cure such default in accordance with Section 6 hereof;</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4.3 liable for the return of any security deposit under the Lease unless such security deposit has actually been deposited with Purchaser;</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4.4 bound by any rent or additional rent that Tenant might have paid in advance to any prior lessor under the Lease (including, without limitation, Borrower), for any period beyond the month in which Purchaser succeeds to the interest of Borrower under the Lease, except for any prepayments of additional rent for operating expenses and real estate taxes made in accordance with the terms of the Lease. Purchaser shall have no obligation to credit or refund Tenant any prepayment of rent or other charges made pursuant to the express terms of the Lease, unless such prepayment is received by Purchaser;</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4.5 bound by any amendment, modification, cancellation, or surrender of the Lease, on the part of Borrower or any prior lessor made or given without Lender's written consent, which consent shall not be unreasonably, withheld, conditioned, or delayed. Notwithstanding the foregoing, Tenant may unilaterally effect amendments, modifications, cancellations, surrenders, or terminations pursuant to a specific provision in the Lease, and to the extent Borrower is permitted to do so under the Security Instrument, Borrower and Tenant may enter into lease amendments and/or modifications without Lender's prior consent and Purchaser shall be bound to such amendment to the same extent Borrower would be bound by it;</w:t>
      </w:r>
    </w:p>
    <w:p>
      <w:pPr>
        <w:pStyle w:val="TextBody"/>
        <w:bidi w:val="0"/>
        <w:jc w:val="left"/>
        <w:rPr>
          <w:rFonts w:ascii="Times New Roman" w:hAnsi="Times New Roman"/>
          <w:color w:val="000000"/>
          <w:sz w:val="24"/>
        </w:rPr>
      </w:pPr>
      <w:r>
        <w:rPr>
          <w:rFonts w:ascii="Times New Roman" w:hAnsi="Times New Roman"/>
          <w:color w:val="000000"/>
          <w:sz w:val="24"/>
        </w:rPr>
        <w:t>D-3</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4.6 bound by any covenant made by any prior lessor under the Lease (including, without limitation, Borrower) to complete any construction on the Property covered by the lease or to pay any sums to Tenant in connection therewith, unless Purchaser shall have expressly consented thereto in writing; or</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4.7 liable for any breach or default under the Lease of Borrower or any former landlord, including any claim for damages of any kind whatsoever, except that the foregoing shall not limit either (a) Tenant’s right to exercise against Purchaser any claim otherwise available to Tenant because of events occurring after Purchaser obtains title to the Premises, or (b) Purchaser’s obligation to correct any conditions that existed as of the date Purchaser obtains title to the Premises and violate Purchaser’s obligations as landlord under the Lease.</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Without limiting the foregoing, Tenant reserves all of its rights and remedies under the Lease with respect to a default by Borrower against Borrower personally, whether occurring or accruing prior to or after the date Purchaser takes title to or control of the Property.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b/>
          <w:color w:val="000000"/>
          <w:sz w:val="24"/>
          <w:u w:val="single"/>
        </w:rPr>
        <w:t>Further Actions</w:t>
      </w:r>
      <w:r>
        <w:rPr>
          <w:rFonts w:ascii="Times New Roman" w:hAnsi="Times New Roman"/>
          <w:color w:val="000000"/>
          <w:sz w:val="24"/>
        </w:rPr>
        <w:t>. Tenant covenants and agrees from time to time to do all acts and execute such instruments as it shall be requested by Lender to do or execute for the purposes of carrying out and effectuating this Agreement and the intent hereof, and evidencing this Agreement, whether by filing with any public office, or agency or otherwise.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b/>
          <w:color w:val="000000"/>
          <w:sz w:val="24"/>
          <w:u w:val="single"/>
        </w:rPr>
        <w:t>Covenant of Tenant</w:t>
      </w:r>
      <w:r>
        <w:rPr>
          <w:rFonts w:ascii="Times New Roman" w:hAnsi="Times New Roman"/>
          <w:color w:val="000000"/>
          <w:sz w:val="24"/>
        </w:rPr>
        <w:t>. Tenant agrees that during the term of the Lease Tenant will not terminate the Lease because of a default thereunder by Borrower unless Tenant shall have first given Lender written notice thereof. Thereafter, Tenant shall take no action to terminate the Lease, nor exercise any other right or remedy if within 30 days following the later of (A) the expiration of Borrower’s cure period or (B) Lender’s receipt of written notice, (i) Lender cures the default or event, if the same can be cured by the payment of money; or (ii) Lender diligently starts either: (x) to cure the default or event if the same cannot, with diligence, be cured within 30 days, and thereafter diligently pursues the cure; or (y) an action to obtain possession of the Premises (including possession by receiver) if such default or event cannot be cured by Lender without Lender having obtained possession. and upon possession, proceeds to diligently prosecute such cure to its completion. In no event will Lender have more than 180 days to cure.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 </w:t>
      </w:r>
      <w:r>
        <w:rPr>
          <w:rFonts w:ascii="Times New Roman" w:hAnsi="Times New Roman"/>
          <w:b/>
          <w:color w:val="000000"/>
          <w:sz w:val="24"/>
          <w:u w:val="single"/>
        </w:rPr>
        <w:t>Merger</w:t>
      </w:r>
      <w:r>
        <w:rPr>
          <w:rFonts w:ascii="Times New Roman" w:hAnsi="Times New Roman"/>
          <w:color w:val="000000"/>
          <w:sz w:val="24"/>
        </w:rPr>
        <w:t>. Borrower, Tenant and Lender agree that unless Lender shall otherwise consent in writing, the fee title to the Property and the leasehold estate created by the Lease shall not merge but shall remain separate and distinct, notwithstanding the union of said estates either in Borrower or Tenant or any third-party by purchase, assignment or otherwise.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b/>
          <w:color w:val="000000"/>
          <w:sz w:val="24"/>
          <w:u w:val="single"/>
        </w:rPr>
        <w:t>Limitation on Liability</w:t>
      </w:r>
      <w:r>
        <w:rPr>
          <w:rFonts w:ascii="Times New Roman" w:hAnsi="Times New Roman"/>
          <w:color w:val="000000"/>
          <w:sz w:val="24"/>
        </w:rPr>
        <w:t>. Notwithstanding anything to the contrary contained herein or in the Lease, in the event that Lender shall acquire title to the Property, Lender shall have no obligation, nor incur any liability, beyond the then interest, if any, of Lender in the Property, and the proceeds therefrom, and Tenant shall look exclusively to such interest of Lender, if any, in the Property, and the proceeds therefrom, for the payment and discharge of any obligations imposed upon Lender hereunder or under the Lease, and Lender is hereby released and relieved of any other liability hereunder and under the Lease. By executing this Agreement, Borrower specifically acknowledges and agrees that nothing contained in this paragraph shall impair, limit, offset, lessen, abrogate or otherwise modify the obligations of Borrower to Tenant under the Lease.</w:t>
      </w:r>
    </w:p>
    <w:p>
      <w:pPr>
        <w:pStyle w:val="TextBody"/>
        <w:bidi w:val="0"/>
        <w:jc w:val="left"/>
        <w:rPr>
          <w:rFonts w:ascii="Times New Roman" w:hAnsi="Times New Roman"/>
          <w:color w:val="000000"/>
          <w:sz w:val="24"/>
        </w:rPr>
      </w:pPr>
      <w:r>
        <w:rPr>
          <w:rFonts w:ascii="Times New Roman" w:hAnsi="Times New Roman"/>
          <w:color w:val="000000"/>
          <w:sz w:val="24"/>
        </w:rPr>
        <w:t>D-4</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 </w:t>
      </w:r>
      <w:r>
        <w:rPr>
          <w:rFonts w:ascii="Times New Roman" w:hAnsi="Times New Roman"/>
          <w:b/>
          <w:color w:val="000000"/>
          <w:sz w:val="24"/>
          <w:u w:val="single"/>
        </w:rPr>
        <w:t>Modification of Agreement</w:t>
      </w:r>
      <w:r>
        <w:rPr>
          <w:rFonts w:ascii="Times New Roman" w:hAnsi="Times New Roman"/>
          <w:color w:val="000000"/>
          <w:sz w:val="24"/>
        </w:rPr>
        <w:t>. This Agreement may not be modified orally or in any other manner except by an agreement in writing signed by the parties hereto or their respective successors in interest.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 </w:t>
      </w:r>
      <w:r>
        <w:rPr>
          <w:rFonts w:ascii="Times New Roman" w:hAnsi="Times New Roman"/>
          <w:b/>
          <w:color w:val="000000"/>
          <w:sz w:val="24"/>
          <w:u w:val="single"/>
        </w:rPr>
        <w:t>Successors and Assigns</w:t>
      </w:r>
      <w:r>
        <w:rPr>
          <w:rFonts w:ascii="Times New Roman" w:hAnsi="Times New Roman"/>
          <w:color w:val="000000"/>
          <w:sz w:val="24"/>
        </w:rPr>
        <w:t>. This Agreement shall inure to the benefit of and be binding upon the parties hereto and their respective heirs, successors and assigns.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 </w:t>
      </w:r>
      <w:r>
        <w:rPr>
          <w:rFonts w:ascii="Times New Roman" w:hAnsi="Times New Roman"/>
          <w:b/>
          <w:color w:val="000000"/>
          <w:sz w:val="24"/>
          <w:u w:val="single"/>
        </w:rPr>
        <w:t>Governing Law</w:t>
      </w:r>
      <w:r>
        <w:rPr>
          <w:rFonts w:ascii="Times New Roman" w:hAnsi="Times New Roman"/>
          <w:color w:val="000000"/>
          <w:sz w:val="24"/>
        </w:rPr>
        <w:t>. This Agreement shall be governed by and construed under the laws of the State in which the Property is located.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 </w:t>
      </w:r>
      <w:r>
        <w:rPr>
          <w:rFonts w:ascii="Times New Roman" w:hAnsi="Times New Roman"/>
          <w:b/>
          <w:color w:val="000000"/>
          <w:sz w:val="24"/>
          <w:u w:val="single"/>
        </w:rPr>
        <w:t>Integration</w:t>
      </w:r>
      <w:r>
        <w:rPr>
          <w:rFonts w:ascii="Times New Roman" w:hAnsi="Times New Roman"/>
          <w:color w:val="000000"/>
          <w:sz w:val="24"/>
        </w:rPr>
        <w:t>. This Agreement shall be the whole and only agreement with regard to the subjection and subordination of the Lease and the leasehold estate created thereby, together with all rights and privileges of Tenant thereunder, to the lien or charge of the Security Instrument and shall supersede and cancel, but only insofar as would affect the priority between the Lease and the Security Instrument any prior agreements as to such subjection or subordination, including, but not limited to, those provisions contained in the Lease that provide for the subjection or subordination of the Lease and the leasehold estate created thereby to a deed or deeds of trust or to a mortgage or mortgages.</w:t>
      </w:r>
    </w:p>
    <w:p>
      <w:pPr>
        <w:pStyle w:val="TextBody"/>
        <w:bidi w:val="0"/>
        <w:jc w:val="both"/>
        <w:rPr>
          <w:rFonts w:ascii="Times New Roman" w:hAnsi="Times New Roman"/>
          <w:sz w:val="20"/>
        </w:rPr>
      </w:pPr>
      <w:r>
        <w:rPr>
          <w:rFonts w:ascii="Times New Roman" w:hAnsi="Times New Roman"/>
          <w:color w:val="000000"/>
          <w:sz w:val="24"/>
        </w:rPr>
        <w:t xml:space="preserve">13. </w:t>
      </w:r>
      <w:r>
        <w:rPr>
          <w:rFonts w:ascii="Times New Roman" w:hAnsi="Times New Roman"/>
          <w:b/>
          <w:color w:val="000000"/>
          <w:sz w:val="24"/>
          <w:u w:val="single"/>
        </w:rPr>
        <w:t>Notices</w:t>
      </w:r>
      <w:r>
        <w:rPr>
          <w:rFonts w:ascii="Times New Roman" w:hAnsi="Times New Roman"/>
          <w:color w:val="000000"/>
          <w:sz w:val="24"/>
        </w:rPr>
        <w:t>. Wherever in this instrument it shall be required or permitted that notice be given by any party to the other, such notice shall be in writing. Any notice shall be deemed to have been given: (i) if mailed, no later than five (5) business days after the date the same is deposited as certified or registered mail in the United States mail, postage prepaid; or (ii) if sent by overnight courier, one (1) business day after the same is deposited, delivery charges prepaid and specifying overnight delivery, with a reputable, nationally recognized courier service which guarantees overnight delivery. Notices shall be addressed to Lender at:</w:t>
      </w:r>
      <w:r>
        <w:rPr>
          <w:rFonts w:ascii="Times New Roman" w:hAnsi="Times New Roman"/>
          <w:color w:val="000000"/>
          <w:sz w:val="20"/>
        </w:rPr>
        <w:t xml:space="preserve"> </w:t>
      </w:r>
    </w:p>
    <w:p>
      <w:pPr>
        <w:pStyle w:val="TextBody"/>
        <w:bidi w:val="0"/>
        <w:spacing w:before="0" w:after="12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Thrivent Financial for Lutherans</w:t>
      </w:r>
    </w:p>
    <w:p>
      <w:pPr>
        <w:pStyle w:val="TextBody"/>
        <w:bidi w:val="0"/>
        <w:jc w:val="both"/>
        <w:rPr>
          <w:rFonts w:ascii="Times New Roman" w:hAnsi="Times New Roman"/>
          <w:color w:val="000000"/>
          <w:sz w:val="24"/>
        </w:rPr>
      </w:pPr>
      <w:r>
        <w:rPr>
          <w:rFonts w:ascii="Times New Roman" w:hAnsi="Times New Roman"/>
          <w:color w:val="000000"/>
          <w:sz w:val="24"/>
        </w:rPr>
        <w:t>Attn: Loan Administration, Mortgage and Real Estate Investments</w:t>
      </w:r>
    </w:p>
    <w:p>
      <w:pPr>
        <w:pStyle w:val="TextBody"/>
        <w:bidi w:val="0"/>
        <w:jc w:val="both"/>
        <w:rPr>
          <w:rFonts w:ascii="Times New Roman" w:hAnsi="Times New Roman"/>
          <w:color w:val="000000"/>
          <w:sz w:val="24"/>
        </w:rPr>
      </w:pPr>
      <w:r>
        <w:rPr>
          <w:rFonts w:ascii="Times New Roman" w:hAnsi="Times New Roman"/>
          <w:color w:val="000000"/>
          <w:sz w:val="24"/>
        </w:rPr>
        <w:t>901 Marquette Avenue , Suite 2500</w:t>
      </w:r>
    </w:p>
    <w:p>
      <w:pPr>
        <w:pStyle w:val="TextBody"/>
        <w:bidi w:val="0"/>
        <w:jc w:val="both"/>
        <w:rPr>
          <w:rFonts w:ascii="Times New Roman" w:hAnsi="Times New Roman"/>
          <w:color w:val="000000"/>
          <w:sz w:val="24"/>
        </w:rPr>
      </w:pPr>
      <w:r>
        <w:rPr>
          <w:rFonts w:ascii="Times New Roman" w:hAnsi="Times New Roman"/>
          <w:color w:val="000000"/>
          <w:sz w:val="24"/>
        </w:rPr>
        <w:t>Minneapolis, Minnesota 55402</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and to the Tenant at: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___________________________</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___________________________</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___________________________</w:t>
      </w:r>
    </w:p>
    <w:p>
      <w:pPr>
        <w:pStyle w:val="TextBody"/>
        <w:bidi w:val="0"/>
        <w:spacing w:before="0" w:after="120"/>
        <w:jc w:val="both"/>
        <w:rPr>
          <w:rFonts w:ascii="Times New Roman" w:hAnsi="Times New Roman"/>
          <w:sz w:val="20"/>
        </w:rPr>
      </w:pPr>
      <w:r>
        <w:rPr>
          <w:rFonts w:ascii="Times New Roman" w:hAnsi="Times New Roman"/>
          <w:color w:val="000000"/>
          <w:sz w:val="24"/>
        </w:rPr>
        <w:t>and to Borrower at: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___________________________</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___________________________</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___________________________</w:t>
      </w:r>
    </w:p>
    <w:p>
      <w:pPr>
        <w:pStyle w:val="TextBody"/>
        <w:bidi w:val="0"/>
        <w:spacing w:before="0" w:after="12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D-5</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or at such other address as either party may from time to time designate in writing in lieu thereof. The address may be changed by notices given as provided 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 </w:t>
      </w:r>
      <w:r>
        <w:rPr>
          <w:rFonts w:ascii="Times New Roman" w:hAnsi="Times New Roman"/>
          <w:b/>
          <w:color w:val="000000"/>
          <w:sz w:val="24"/>
          <w:u w:val="single"/>
        </w:rPr>
        <w:t>Captions</w:t>
      </w:r>
      <w:r>
        <w:rPr>
          <w:rFonts w:ascii="Times New Roman" w:hAnsi="Times New Roman"/>
          <w:color w:val="000000"/>
          <w:sz w:val="24"/>
        </w:rPr>
        <w:t>. The captions and headings of the paragraphs of this Agreement are for convenience only and are not to be used in construing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15. </w:t>
      </w:r>
      <w:r>
        <w:rPr>
          <w:rFonts w:ascii="Times New Roman" w:hAnsi="Times New Roman"/>
          <w:b/>
          <w:color w:val="000000"/>
          <w:sz w:val="24"/>
          <w:u w:val="single"/>
        </w:rPr>
        <w:t>Termination.</w:t>
      </w:r>
      <w:r>
        <w:rPr>
          <w:rFonts w:ascii="Times New Roman" w:hAnsi="Times New Roman"/>
          <w:color w:val="000000"/>
          <w:sz w:val="20"/>
        </w:rPr>
        <w:t xml:space="preserve"> </w:t>
      </w:r>
      <w:r>
        <w:rPr>
          <w:rFonts w:ascii="Times New Roman" w:hAnsi="Times New Roman"/>
          <w:color w:val="000000"/>
          <w:sz w:val="24"/>
        </w:rPr>
        <w:t>This Agreement shall terminate upon the earlier to occur of (i) the termination of the Lease, or (ii) the payment in full of the loan secured by the Security Instrument and the performance of all of Borrower’s obligations to Lender with respect 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16. </w:t>
      </w:r>
      <w:r>
        <w:rPr>
          <w:rFonts w:ascii="Times New Roman" w:hAnsi="Times New Roman"/>
          <w:b/>
          <w:color w:val="000000"/>
          <w:sz w:val="24"/>
          <w:u w:val="single"/>
        </w:rPr>
        <w:t>Counterparts</w:t>
      </w:r>
      <w:r>
        <w:rPr>
          <w:rFonts w:ascii="Times New Roman" w:hAnsi="Times New Roman"/>
          <w:color w:val="000000"/>
          <w:sz w:val="24"/>
        </w:rPr>
        <w:t>. This Agreement may be executed in counterparts, and all counterparts together shall be construed as one document.</w:t>
      </w:r>
    </w:p>
    <w:p>
      <w:pPr>
        <w:pStyle w:val="TextBody"/>
        <w:bidi w:val="0"/>
        <w:spacing w:before="0" w:after="12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D-6</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IN WITNESS WHEREOF, the undersigned has executed this Agreement as of the date first written above.</w:t>
      </w:r>
    </w:p>
    <w:p>
      <w:pPr>
        <w:pStyle w:val="TextBody"/>
        <w:bidi w:val="0"/>
        <w:spacing w:before="0" w:after="12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24"/>
          <w:u w:val="single"/>
        </w:rPr>
        <w:t>TENANT</w:t>
      </w:r>
      <w:r>
        <w:rPr>
          <w:rFonts w:ascii="Times New Roman" w:hAnsi="Times New Roman"/>
          <w:color w:val="000000"/>
          <w:sz w:val="24"/>
        </w:rPr>
        <w:t xml:space="preserve">: </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120"/>
        <w:jc w:val="both"/>
        <w:rPr>
          <w:rFonts w:ascii="Times New Roman" w:hAnsi="Times New Roman"/>
          <w:sz w:val="20"/>
        </w:rPr>
      </w:pPr>
      <w:r>
        <w:rPr>
          <w:rFonts w:ascii="Times New Roman" w:hAnsi="Times New Roman"/>
          <w:color w:val="000000"/>
          <w:sz w:val="24"/>
        </w:rPr>
        <w:t>Name:</w:t>
      </w:r>
      <w:r>
        <w:rPr>
          <w:rFonts w:ascii="Times New Roman" w:hAnsi="Times New Roman"/>
          <w:color w:val="000000"/>
          <w:sz w:val="20"/>
          <w:u w:val="single"/>
        </w:rPr>
        <w:t xml:space="preserve">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0" w:after="12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24"/>
        </w:rPr>
        <w:t>By: ___________________________</w:t>
      </w:r>
      <w:r>
        <w:rPr>
          <w:rFonts w:ascii="Times New Roman" w:hAnsi="Times New Roman"/>
          <w:color w:val="000000"/>
          <w:sz w:val="20"/>
          <w:u w:val="single"/>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4"/>
        </w:rPr>
        <w:t>Name: ___________________________</w:t>
      </w:r>
      <w:r>
        <w:rPr>
          <w:rFonts w:ascii="Times New Roman" w:hAnsi="Times New Roman"/>
          <w:color w:val="000000"/>
          <w:sz w:val="20"/>
          <w:u w:val="single"/>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4"/>
        </w:rPr>
        <w:t>Title: ___________________________</w:t>
      </w:r>
      <w:r>
        <w:rPr>
          <w:rFonts w:ascii="Times New Roman" w:hAnsi="Times New Roman"/>
          <w:color w:val="000000"/>
          <w:sz w:val="20"/>
          <w:u w:val="single"/>
        </w:rPr>
        <w:t xml:space="preserve"> </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STATE OF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)ss.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COUNTY OF )</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On _____________, 20_____, before me, the undersigned, a Notary Public in and for said State, personally appeared ______________________ and __________________________, personally known to me or proved to me on this basis of satisfactory evidence to be the persons who executed the within instrument as the __________________________________ and _________________________________, respectively of _________________________________ ___________________________, a _______________________________ under the laws of the State of ____________________________, on behalf of said _________________________________.</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WITNESS my hand and official seal.</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(SEAL)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Notary Public</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My Commission expires: ________________.</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0" w:after="12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D-7</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IN WITNESS WHEREOF, the undersigned has executed this Agreement as of the date first written above.</w:t>
      </w:r>
    </w:p>
    <w:p>
      <w:pPr>
        <w:pStyle w:val="TextBody"/>
        <w:bidi w:val="0"/>
        <w:spacing w:before="0" w:after="12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24"/>
          <w:u w:val="single"/>
        </w:rPr>
        <w:t>BORROWER</w:t>
      </w:r>
      <w:r>
        <w:rPr>
          <w:rFonts w:ascii="Times New Roman" w:hAnsi="Times New Roman"/>
          <w:color w:val="000000"/>
          <w:sz w:val="24"/>
        </w:rPr>
        <w:t xml:space="preserve">: </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Name: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Name: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Title: </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STATE OF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)ss.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COUNTY OF )</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On _____________, 20_____, before me, the undersigned, a Notary Public in and for said State, personally appeared ______________________ and __________________________, personally known to me or proved to me on this basis of satisfactory evidence to be the persons who executed the within instrument as the __________________________________ and _________________________________, respectively of _________________________________ ___________________________, a _______________________________ under the laws of the State of ____________________________, on behalf of said _________________________________.</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WITNESS my hand and official seal.</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(SEAL)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Notary Public</w:t>
      </w:r>
    </w:p>
    <w:p>
      <w:pPr>
        <w:pStyle w:val="TextBody"/>
        <w:bidi w:val="0"/>
        <w:spacing w:before="0" w:after="12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D-8</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My Commission expires: ________________.</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IN WITNESS WHEREOF, the undersigned has executed this Agreement as of the date first written above.</w:t>
      </w:r>
    </w:p>
    <w:p>
      <w:pPr>
        <w:pStyle w:val="TextBody"/>
        <w:bidi w:val="0"/>
        <w:spacing w:before="0" w:after="12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24"/>
          <w:u w:val="single"/>
        </w:rPr>
        <w:t>LENDER</w:t>
      </w:r>
      <w:r>
        <w:rPr>
          <w:rFonts w:ascii="Times New Roman" w:hAnsi="Times New Roman"/>
          <w:color w:val="000000"/>
          <w:sz w:val="24"/>
        </w:rPr>
        <w:t xml:space="preserve">: </w:t>
      </w:r>
      <w:r>
        <w:rPr>
          <w:rFonts w:ascii="Times New Roman" w:hAnsi="Times New Roman"/>
          <w:b/>
          <w:color w:val="000000"/>
          <w:sz w:val="24"/>
        </w:rPr>
        <w:t>THRIVENT FINANCIAL FOR LUTHERANS</w:t>
      </w:r>
      <w:r>
        <w:rPr>
          <w:rFonts w:ascii="Times New Roman" w:hAnsi="Times New Roman"/>
          <w:color w:val="000000"/>
          <w:sz w:val="24"/>
        </w:rPr>
        <w:t>, a Wisconsin corporation</w:t>
      </w:r>
    </w:p>
    <w:p>
      <w:pPr>
        <w:pStyle w:val="TextBody"/>
        <w:bidi w:val="0"/>
        <w:spacing w:before="0" w:after="12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4"/>
        </w:rPr>
        <w:t>Name:</w:t>
      </w:r>
      <w:r>
        <w:rPr>
          <w:rFonts w:ascii="Times New Roman" w:hAnsi="Times New Roman"/>
          <w:color w:val="000000"/>
          <w:sz w:val="20"/>
          <w:u w:val="single"/>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4"/>
        </w:rPr>
        <w:t>Title:</w:t>
      </w:r>
      <w:r>
        <w:rPr>
          <w:rFonts w:ascii="Times New Roman" w:hAnsi="Times New Roman"/>
          <w:color w:val="000000"/>
          <w:sz w:val="20"/>
          <w:u w:val="single"/>
        </w:rPr>
        <w:t xml:space="preserve"> </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STATE OF MINNESOTA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)ss.</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COUNTY OF HENNEPIN )</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On ________________, 20____, before me, the undersigned, a Notary Public in and for said County and State, personally appeared _______________________________________, personally known to me to be the person who executed the within instrument as the ____________________________________________ of THRIVENT FINANCIAL FOR LUTHERANS, a Wisconsin corporation, on behalf of said corporation.</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(SEAL)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Notary Public</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My Commission expires: ________________.</w:t>
      </w:r>
    </w:p>
    <w:p>
      <w:pPr>
        <w:pStyle w:val="TextBody"/>
        <w:bidi w:val="0"/>
        <w:spacing w:before="0" w:after="12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D-9</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120"/>
        <w:jc w:val="center"/>
        <w:rPr>
          <w:rFonts w:ascii="Times New Roman" w:hAnsi="Times New Roman"/>
          <w:sz w:val="20"/>
        </w:rPr>
      </w:pPr>
      <w:r>
        <w:rPr>
          <w:rFonts w:ascii="Times New Roman" w:hAnsi="Times New Roman"/>
          <w:b/>
          <w:color w:val="000000"/>
          <w:sz w:val="24"/>
        </w:rPr>
        <w:t>[</w:t>
      </w:r>
      <w:r>
        <w:rPr>
          <w:rFonts w:ascii="Times New Roman" w:hAnsi="Times New Roman"/>
          <w:b/>
          <w:color w:val="000000"/>
          <w:sz w:val="24"/>
          <w:u w:val="single"/>
        </w:rPr>
        <w:t>Legal Description</w:t>
      </w:r>
      <w:r>
        <w:rPr>
          <w:rFonts w:ascii="Times New Roman" w:hAnsi="Times New Roman"/>
          <w:b/>
          <w:color w:val="000000"/>
          <w:sz w:val="24"/>
        </w:rPr>
        <w:t>]</w:t>
      </w:r>
    </w:p>
    <w:p>
      <w:pPr>
        <w:pStyle w:val="TextBody"/>
        <w:bidi w:val="0"/>
        <w:spacing w:before="0" w:after="120"/>
        <w:jc w:val="both"/>
        <w:rPr/>
      </w:pPr>
      <w:r>
        <w:rPr/>
        <w:t> </w:t>
      </w:r>
    </w:p>
    <w:p>
      <w:pPr>
        <w:pStyle w:val="TextBody"/>
        <w:bidi w:val="0"/>
        <w:jc w:val="both"/>
        <w:rPr/>
      </w:pPr>
      <w:bookmarkStart w:id="27" w:name="qmark"/>
      <w:bookmarkEnd w:id="27"/>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D-10</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EXHIBIT E</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FF&amp;E</w:t>
      </w:r>
    </w:p>
    <w:tbl>
      <w:tblPr>
        <w:tblW w:w="4517" w:type="dxa"/>
        <w:jc w:val="left"/>
        <w:tblInd w:w="0" w:type="dxa"/>
        <w:tblLayout w:type="fixed"/>
        <w:tblCellMar>
          <w:top w:w="28" w:type="dxa"/>
          <w:left w:w="28" w:type="dxa"/>
          <w:bottom w:w="28" w:type="dxa"/>
          <w:right w:w="28" w:type="dxa"/>
        </w:tblCellMar>
      </w:tblPr>
      <w:tblGrid>
        <w:gridCol w:w="3991"/>
        <w:gridCol w:w="526"/>
      </w:tblGrid>
      <w:tr>
        <w:trPr/>
        <w:tc>
          <w:tcPr>
            <w:tcW w:w="3991"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Item</w:t>
            </w:r>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Qty</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 Drawer Cabinet w/ Handles</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 Drawer Storage</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 Drawer Storage</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 Drawer Filing Cabinet</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Barstools - Black</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Barstools - White</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Brown Wood Bookshelf</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Chair Movers</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Cisco System</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Conference Cabinet</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Conference Chairs - Faux Wood</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Conference Table - Wooden</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Conference Table 2 legs</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Conference Table 3 legs</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Conference Table w/ Metal Legs</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Countertop Tables</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Cubicle Station w/ attached desk</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88</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Dark Brown Shelf</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Dishwasher</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Dividers</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Equipment - Steris Sterilizer</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Folding Chair</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Foot Rest</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Fume Hood - 4 FT Labconco</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Fume Hood - 5 FT Labconco</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Fume Hood - 6 FT Labconco</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Fume Hood - Thermo</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Grey Large Ottoman</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Intercom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Kitchen Chairs (Multi color)</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70</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Kitchen Tables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22</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 Desk</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 Desk ( non-standing)</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 Desk (light and small desk unattached)</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Lab Bench - 2 Shelves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Lab Bench - Drawers</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bl>
    <w:p>
      <w:pPr>
        <w:pStyle w:val="TextBody"/>
        <w:bidi w:val="0"/>
        <w:jc w:val="left"/>
        <w:rPr>
          <w:rFonts w:ascii="Times New Roman" w:hAnsi="Times New Roman"/>
          <w:color w:val="000000"/>
          <w:sz w:val="24"/>
        </w:rPr>
      </w:pPr>
      <w:r>
        <w:rPr>
          <w:rFonts w:ascii="Times New Roman" w:hAnsi="Times New Roman"/>
          <w:color w:val="000000"/>
          <w:sz w:val="24"/>
        </w:rPr>
        <w:t>E-1</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3737" w:type="dxa"/>
        <w:jc w:val="left"/>
        <w:tblInd w:w="0" w:type="dxa"/>
        <w:tblLayout w:type="fixed"/>
        <w:tblCellMar>
          <w:top w:w="28" w:type="dxa"/>
          <w:left w:w="28" w:type="dxa"/>
          <w:bottom w:w="28" w:type="dxa"/>
          <w:right w:w="28" w:type="dxa"/>
        </w:tblCellMar>
      </w:tblPr>
      <w:tblGrid>
        <w:gridCol w:w="3211"/>
        <w:gridCol w:w="526"/>
      </w:tblGrid>
      <w:tr>
        <w:trPr/>
        <w:tc>
          <w:tcPr>
            <w:tcW w:w="3211"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Item</w:t>
            </w:r>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Qty</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Lab Bench - Drawers &amp; Shelves</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Lab Metal/Glass Cabinet</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Lab Rolling Chair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Lab table - Rectangular</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Lab Table - Square</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Lounge Swivel Chairs</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Microphone</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Miele Equipment</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Monitor</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Non-standing Desk</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Office Chair (not rolling)</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54</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Open Metal Bookshelf</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Orange Large Ottoman</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Orange Small Ottoman</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Padded Storage</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79</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Patio Chair - White</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Patio Chairs - Grey</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Patio Planters - Black</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Patio Tables</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Planters - White</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Podium</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Pub Tables</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Reception Chair</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Reception Desk</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Refrigerator - Mini</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Refrigerator - Standard</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Rolling Office Chair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Round Table Office</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Short Filing Cabinet</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Sound Bar</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Standing Desk</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85</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Step Stool</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Tall Filing Cabinet</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 Desk</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 Desk Large</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 Desk Large w/ Standing desk</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Whiteboard Transparent - Large</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Whiteboard Transparent - Small</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Whiteboard White - Large</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w:t>
            </w:r>
          </w:p>
        </w:tc>
      </w:tr>
    </w:tbl>
    <w:p>
      <w:pPr>
        <w:pStyle w:val="TextBody"/>
        <w:bidi w:val="0"/>
        <w:jc w:val="left"/>
        <w:rPr>
          <w:rFonts w:ascii="Times New Roman" w:hAnsi="Times New Roman"/>
          <w:color w:val="000000"/>
          <w:sz w:val="24"/>
        </w:rPr>
      </w:pPr>
      <w:r>
        <w:rPr>
          <w:rFonts w:ascii="Times New Roman" w:hAnsi="Times New Roman"/>
          <w:color w:val="000000"/>
          <w:sz w:val="24"/>
        </w:rPr>
        <w:t>E-2</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3212" w:type="dxa"/>
        <w:jc w:val="left"/>
        <w:tblInd w:w="0" w:type="dxa"/>
        <w:tblLayout w:type="fixed"/>
        <w:tblCellMar>
          <w:top w:w="28" w:type="dxa"/>
          <w:left w:w="28" w:type="dxa"/>
          <w:bottom w:w="28" w:type="dxa"/>
          <w:right w:w="28" w:type="dxa"/>
        </w:tblCellMar>
      </w:tblPr>
      <w:tblGrid>
        <w:gridCol w:w="2686"/>
        <w:gridCol w:w="526"/>
      </w:tblGrid>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Item</w:t>
            </w:r>
          </w:p>
        </w:tc>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Qty</w:t>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Whiteboard White - Small</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28</w:t>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Wire Racks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w:t>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Wood Top Storage - Large</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w:t>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Wood Top Storage - Small</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w:t>
            </w:r>
          </w:p>
        </w:tc>
      </w:tr>
    </w:tbl>
    <w:p>
      <w:pPr>
        <w:pStyle w:val="TextBody"/>
        <w:bidi w:val="0"/>
        <w:jc w:val="left"/>
        <w:rPr>
          <w:rFonts w:ascii="Times New Roman" w:hAnsi="Times New Roman"/>
          <w:color w:val="000000"/>
          <w:sz w:val="24"/>
        </w:rPr>
      </w:pPr>
      <w:r>
        <w:rPr>
          <w:rFonts w:ascii="Times New Roman" w:hAnsi="Times New Roman"/>
          <w:color w:val="000000"/>
          <w:sz w:val="24"/>
        </w:rPr>
        <w:t>E-3</w:t>
      </w:r>
    </w:p>
    <w:p>
      <w:pPr>
        <w:pStyle w:val="TextBody"/>
        <w:bidi w:val="0"/>
        <w:jc w:val="left"/>
        <w:rPr>
          <w:rFonts w:ascii="Times New Roman" w:hAnsi="Times New Roman"/>
          <w:sz w:val="20"/>
        </w:rPr>
      </w:pPr>
      <w:r>
        <w:rPr>
          <w:rFonts w:ascii="Times New Roman" w:hAnsi="Times New Roman"/>
          <w:color w:val="000000"/>
          <w:sz w:val="24"/>
        </w:rPr>
        <w:t xml:space="preserve">DOCPROPERTY iManageFooter \* MERGEFORMAT </w:t>
      </w:r>
      <w:r>
        <w:rPr>
          <w:rFonts w:ascii="Times New Roman" w:hAnsi="Times New Roman"/>
          <w:color w:val="000000"/>
          <w:sz w:val="14"/>
        </w:rPr>
        <w:t>#65168180v14</w:t>
      </w:r>
    </w:p>
    <w:p>
      <w:pPr>
        <w:pStyle w:val="TextBody"/>
        <w:bidi w:val="0"/>
        <w:jc w:val="both"/>
        <w:rPr>
          <w:rFonts w:ascii="Times New Roman" w:hAnsi="Times New Roman"/>
          <w:color w:val="000000"/>
          <w:sz w:val="16"/>
        </w:rPr>
      </w:pPr>
      <w:r>
        <w:rPr>
          <w:rFonts w:ascii="Times New Roman" w:hAnsi="Times New Roman"/>
          <w:color w:val="000000"/>
          <w:sz w:val="16"/>
        </w:rPr>
        <w:t>|US-DOCS\162957857.2||</w:t>
      </w:r>
    </w:p>
    <w:p>
      <w:pPr>
        <w:pStyle w:val="HorizontalLine"/>
        <w:pBdr>
          <w:bottom w:val="double" w:sz="2" w:space="0" w:color="808080"/>
        </w:pBdr>
        <w:bidi w:val="0"/>
        <w:spacing w:before="0" w:after="283"/>
        <w:jc w:val="left"/>
        <w:rPr/>
      </w:pPr>
      <w:r>
        <w:rPr/>
      </w:r>
    </w:p>
    <w:p>
      <w:pPr>
        <w:pStyle w:val="TextBody"/>
        <w:bidi w:val="0"/>
        <w:jc w:val="left"/>
        <w:rPr/>
      </w:pPr>
      <w:bookmarkStart w:id="28" w:name="ctmx-ex31_1.htm"/>
      <w:bookmarkStart w:id="29" w:name="ksctmxex31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Sean A. McCarthy, Chief Executive Officer of CytomX Therapeutics, Inc.,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CytomX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30" w:type="dxa"/>
        <w:jc w:val="left"/>
        <w:tblInd w:w="0" w:type="dxa"/>
        <w:tblLayout w:type="fixed"/>
        <w:tblCellMar>
          <w:top w:w="28" w:type="dxa"/>
          <w:left w:w="28" w:type="dxa"/>
          <w:bottom w:w="28" w:type="dxa"/>
          <w:right w:w="28" w:type="dxa"/>
        </w:tblCellMar>
      </w:tblPr>
      <w:tblGrid>
        <w:gridCol w:w="2101"/>
        <w:gridCol w:w="146"/>
        <w:gridCol w:w="631"/>
        <w:gridCol w:w="2461"/>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A. McCarthy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Sean A. McCarthy, D. Phil.</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ctmx-ex31_2.htm"/>
      <w:bookmarkStart w:id="31" w:name="ksctmxex31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Christopher W. Ogden, Chief Financial Officer of CytomX Therapeutics, Inc.,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CytomX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80" w:type="dxa"/>
        <w:jc w:val="left"/>
        <w:tblInd w:w="0" w:type="dxa"/>
        <w:tblLayout w:type="fixed"/>
        <w:tblCellMar>
          <w:top w:w="28" w:type="dxa"/>
          <w:left w:w="28" w:type="dxa"/>
          <w:bottom w:w="28" w:type="dxa"/>
          <w:right w:w="28" w:type="dxa"/>
        </w:tblCellMar>
      </w:tblPr>
      <w:tblGrid>
        <w:gridCol w:w="2101"/>
        <w:gridCol w:w="146"/>
        <w:gridCol w:w="631"/>
        <w:gridCol w:w="2611"/>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W. Ogden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Christopher W. Ogden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ctmx-ex32_1.htm"/>
      <w:bookmarkStart w:id="33" w:name="ksctmxex32_1"/>
      <w:bookmarkEnd w:id="32"/>
      <w:bookmarkEnd w:id="33"/>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br/>
        <w:t>18 U.S.C. SECTION 1350,</w:t>
        <w:br/>
        <w:t>AS ADOPTED PURSUANT TO</w:t>
        <w:br/>
        <w:t>SECTION 906 OF THE SARBANES-OXLEY ACT OF 2002</w:t>
      </w:r>
    </w:p>
    <w:p>
      <w:pPr>
        <w:pStyle w:val="TextBody"/>
        <w:bidi w:val="0"/>
        <w:jc w:val="left"/>
        <w:rPr>
          <w:rFonts w:ascii="Times New Roman" w:hAnsi="Times New Roman"/>
          <w:sz w:val="20"/>
        </w:rPr>
      </w:pPr>
      <w:r>
        <w:rPr>
          <w:rFonts w:ascii="Times New Roman" w:hAnsi="Times New Roman"/>
          <w:color w:val="000000"/>
          <w:sz w:val="20"/>
        </w:rPr>
        <w:t>In connection with the Quarterly Report of CytomX Therapeutics, Inc. (the “</w:t>
      </w:r>
      <w:r>
        <w:rPr>
          <w:rFonts w:ascii="Times New Roman" w:hAnsi="Times New Roman"/>
          <w:color w:val="000000"/>
          <w:sz w:val="20"/>
          <w:u w:val="single"/>
        </w:rPr>
        <w:t>Company</w:t>
      </w:r>
      <w:r>
        <w:rPr>
          <w:rFonts w:ascii="Times New Roman" w:hAnsi="Times New Roman"/>
          <w:color w:val="000000"/>
          <w:sz w:val="20"/>
        </w:rPr>
        <w:t>”) on Form 10-Q for the quarter ended September 30, 2025,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Sean A. McCarthy, Chief Executive Officer of the Company, certify, pursuant to 18 U.S.C. Section 1350, as adopted pursuant to Section 906 of the Sarbanes-Oxley Act of 2002 (the “</w:t>
      </w:r>
      <w:r>
        <w:rPr>
          <w:rFonts w:ascii="Times New Roman" w:hAnsi="Times New Roman"/>
          <w:color w:val="000000"/>
          <w:sz w:val="20"/>
          <w:u w:val="single"/>
        </w:rPr>
        <w:t>Act</w:t>
      </w:r>
      <w:r>
        <w:rPr>
          <w:rFonts w:ascii="Times New Roman" w:hAnsi="Times New Roman"/>
          <w:color w:val="000000"/>
          <w:sz w:val="20"/>
        </w:rPr>
        <w:t xml:space="preserve">”),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5530" w:type="dxa"/>
        <w:jc w:val="left"/>
        <w:tblInd w:w="0" w:type="dxa"/>
        <w:tblLayout w:type="fixed"/>
        <w:tblCellMar>
          <w:top w:w="28" w:type="dxa"/>
          <w:left w:w="28" w:type="dxa"/>
          <w:bottom w:w="28" w:type="dxa"/>
          <w:right w:w="28" w:type="dxa"/>
        </w:tblCellMar>
      </w:tblPr>
      <w:tblGrid>
        <w:gridCol w:w="2101"/>
        <w:gridCol w:w="146"/>
        <w:gridCol w:w="631"/>
        <w:gridCol w:w="2461"/>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A. McCarthy</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Sean A. McCarthy, D. Phil.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ctmx-ex32_2.htm"/>
      <w:bookmarkStart w:id="35" w:name="ksctmxex32_2"/>
      <w:bookmarkEnd w:id="34"/>
      <w:bookmarkEnd w:id="35"/>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 PURSUANT TO</w:t>
        <w:br/>
        <w:t>18 U.S.C. SECTION 1350,</w:t>
        <w:br/>
        <w:t>AS ADOPTED PURSUANT TO</w:t>
        <w:br/>
        <w:t>SECTION 906 OF THE SARBANES-OXLEY ACT OF 2002</w:t>
      </w:r>
    </w:p>
    <w:p>
      <w:pPr>
        <w:pStyle w:val="TextBody"/>
        <w:bidi w:val="0"/>
        <w:jc w:val="left"/>
        <w:rPr>
          <w:rFonts w:ascii="Times New Roman" w:hAnsi="Times New Roman"/>
          <w:sz w:val="20"/>
        </w:rPr>
      </w:pPr>
      <w:r>
        <w:rPr>
          <w:rFonts w:ascii="Times New Roman" w:hAnsi="Times New Roman"/>
          <w:color w:val="000000"/>
          <w:sz w:val="20"/>
        </w:rPr>
        <w:t>In connection with the Quarterly Report of CytomX Therapeutics, Inc. (the “</w:t>
      </w:r>
      <w:r>
        <w:rPr>
          <w:rFonts w:ascii="Times New Roman" w:hAnsi="Times New Roman"/>
          <w:color w:val="000000"/>
          <w:sz w:val="20"/>
          <w:u w:val="single"/>
        </w:rPr>
        <w:t>Company</w:t>
      </w:r>
      <w:r>
        <w:rPr>
          <w:rFonts w:ascii="Times New Roman" w:hAnsi="Times New Roman"/>
          <w:color w:val="000000"/>
          <w:sz w:val="20"/>
        </w:rPr>
        <w:t>”) on Form 10-Q for the quarter ended September 30, 2025,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Christopher W. Ogden, Chief Financial Officer of the Company, certify, pursuant to 18 U.S.C. Section 1350, as adopted pursuant to Section 906 of the Sarbanes-Oxley Act of 2002 (the “</w:t>
      </w:r>
      <w:r>
        <w:rPr>
          <w:rFonts w:ascii="Times New Roman" w:hAnsi="Times New Roman"/>
          <w:color w:val="000000"/>
          <w:sz w:val="20"/>
          <w:u w:val="single"/>
        </w:rPr>
        <w:t>Act</w:t>
      </w:r>
      <w:r>
        <w:rPr>
          <w:rFonts w:ascii="Times New Roman" w:hAnsi="Times New Roman"/>
          <w:color w:val="000000"/>
          <w:sz w:val="20"/>
        </w:rPr>
        <w:t xml:space="preserve">”),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5680" w:type="dxa"/>
        <w:jc w:val="left"/>
        <w:tblInd w:w="0" w:type="dxa"/>
        <w:tblLayout w:type="fixed"/>
        <w:tblCellMar>
          <w:top w:w="28" w:type="dxa"/>
          <w:left w:w="28" w:type="dxa"/>
          <w:bottom w:w="28" w:type="dxa"/>
          <w:right w:w="28" w:type="dxa"/>
        </w:tblCellMar>
      </w:tblPr>
      <w:tblGrid>
        <w:gridCol w:w="2101"/>
        <w:gridCol w:w="146"/>
        <w:gridCol w:w="631"/>
        <w:gridCol w:w="2611"/>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W. Ogden</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Christopher W. Ogden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Accounting Officer)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 w:name="Symbol">
    <w:altName w:val="serif"/>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501989/000119312515347080/d78795dex31.htm" TargetMode="External"/><Relationship Id="rId3" Type="http://schemas.openxmlformats.org/officeDocument/2006/relationships/hyperlink" Target="https://www.sec.gov/ix?doc=/Archives/edgar/data/0001501989/000119312524075211/d803852d8k.htm" TargetMode="External"/><Relationship Id="rId4" Type="http://schemas.openxmlformats.org/officeDocument/2006/relationships/hyperlink" Target="https://www.sec.gov/Archives/edgar/data/0001501989/000119312515329662/d948537dex41.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102497</Words>
  <Characters>563258</Characters>
  <CharactersWithSpaces>665751</CharactersWithSpaces>
  <Paragraphs>8576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