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Meyers James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CYTOMX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OYSTER POINT BLVD., STE.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CytomX Therapeutics, Inc.</w:t>
              </w:r>
            </w:hyperlink>
            <w:r>
              <w:rPr/>
              <w:t xml:space="preserve"> [ </w:t>
            </w:r>
            <w:r>
              <w:rPr>
                <w:rFonts w:ascii="Times;serif" w:hAnsi="Times;serif"/>
                <w:color w:val="0000FF"/>
                <w:sz w:val="24"/>
                <w:shd w:fill="FFFFFF" w:val="clear"/>
              </w:rPr>
              <w:t>CTMX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100% of the shares subject to the option shall vest in full on the earlier of (i) the first anniversary of the grant date or (ii) the date of the 2027 Annual Meeting of the Issuer's stockholders, assuming continuous service as a director until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Ogden, as Attorney-in-Fact for James R. Meyers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7521" TargetMode="External"/><Relationship Id="rId5" Type="http://schemas.openxmlformats.org/officeDocument/2006/relationships/hyperlink" Target="http://www.sec.gov/cgi-bin/browse-edgar?action=getcompany&amp;CIK=0001501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3359</Characters>
  <CharactersWithSpaces>3923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