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560" w:hanging="539"/>
        <w:spacing w:after="0" w:line="183" w:lineRule="auto"/>
        <w:tabs>
          <w:tab w:leader="none" w:pos="560" w:val="left"/>
        </w:tabs>
        <w:numPr>
          <w:ilvl w:val="0"/>
          <w:numId w:val="1"/>
        </w:numPr>
        <w:rPr>
          <w:rFonts w:ascii="MS PGothic" w:cs="MS PGothic" w:eastAsia="MS PGothic" w:hAnsi="MS PGothic"/>
          <w:sz w:val="32"/>
          <w:szCs w:val="32"/>
          <w:color w:val="auto"/>
          <w:highlight w:val="black"/>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560" w:hanging="539"/>
        <w:spacing w:after="0" w:line="187" w:lineRule="auto"/>
        <w:tabs>
          <w:tab w:leader="none" w:pos="560" w:val="left"/>
        </w:tabs>
        <w:numPr>
          <w:ilvl w:val="0"/>
          <w:numId w:val="2"/>
        </w:numPr>
        <w:rPr>
          <w:rFonts w:ascii="MS PGothic" w:cs="MS PGothic" w:eastAsia="MS PGothic" w:hAnsi="MS PGothic"/>
          <w:sz w:val="40"/>
          <w:szCs w:val="40"/>
          <w:color w:val="auto"/>
          <w:highlight w:val="black"/>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CytomX Therapeutics,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60" w:type="dxa"/>
            <w:vAlign w:val="bottom"/>
            <w:gridSpan w:val="3"/>
          </w:tcPr>
          <w:p>
            <w:pPr>
              <w:jc w:val="center"/>
              <w:ind w:left="14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20" w:type="dxa"/>
            <w:vAlign w:val="bottom"/>
            <w:gridSpan w:val="3"/>
          </w:tcPr>
          <w:p>
            <w:pPr>
              <w:jc w:val="right"/>
              <w:ind w:right="2265"/>
              <w:spacing w:after="0"/>
              <w:rPr>
                <w:sz w:val="20"/>
                <w:szCs w:val="20"/>
                <w:color w:val="auto"/>
              </w:rPr>
            </w:pPr>
            <w:r>
              <w:rPr>
                <w:rFonts w:ascii="Times New Roman" w:cs="Times New Roman" w:eastAsia="Times New Roman" w:hAnsi="Times New Roman"/>
                <w:sz w:val="16"/>
                <w:szCs w:val="16"/>
                <w:b w:val="1"/>
                <w:bCs w:val="1"/>
                <w:color w:val="auto"/>
              </w:rPr>
              <w:t>27-3521219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gridSpan w:val="3"/>
          </w:tcPr>
          <w:p>
            <w:pPr>
              <w:jc w:val="center"/>
              <w:ind w:left="144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60" w:type="dxa"/>
            <w:vAlign w:val="bottom"/>
            <w:gridSpan w:val="2"/>
          </w:tcPr>
          <w:p>
            <w:pPr>
              <w:jc w:val="center"/>
              <w:ind w:right="2005"/>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880" w:type="dxa"/>
            <w:vAlign w:val="bottom"/>
            <w:gridSpan w:val="8"/>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151 Oyster Point Boulevard, Suite 400</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gridSpan w:val="3"/>
          </w:tcPr>
          <w:p>
            <w:pPr>
              <w:jc w:val="center"/>
              <w:ind w:left="1444"/>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20" w:type="dxa"/>
            <w:vAlign w:val="bottom"/>
            <w:gridSpan w:val="3"/>
          </w:tcPr>
          <w:p>
            <w:pPr>
              <w:jc w:val="right"/>
              <w:ind w:right="2445"/>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3"/>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tcPr>
          <w:p>
            <w:pPr>
              <w:jc w:val="center"/>
              <w:ind w:right="230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40" w:type="dxa"/>
            <w:vAlign w:val="bottom"/>
            <w:gridSpan w:val="3"/>
          </w:tcPr>
          <w:p>
            <w:pPr>
              <w:jc w:val="center"/>
              <w:ind w:left="684"/>
              <w:spacing w:after="0"/>
              <w:rPr>
                <w:sz w:val="20"/>
                <w:szCs w:val="20"/>
                <w:color w:val="auto"/>
              </w:rPr>
            </w:pPr>
            <w:r>
              <w:rPr>
                <w:rFonts w:ascii="Times New Roman" w:cs="Times New Roman" w:eastAsia="Times New Roman" w:hAnsi="Times New Roman"/>
                <w:sz w:val="16"/>
                <w:szCs w:val="16"/>
                <w:b w:val="1"/>
                <w:bCs w:val="1"/>
                <w:color w:val="auto"/>
              </w:rPr>
              <w:t>(650) 515-3185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gridSpan w:val="6"/>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7"/>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3"/>
          </w:tcPr>
          <w:p>
            <w:pPr>
              <w:jc w:val="center"/>
              <w:ind w:right="528"/>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7"/>
                <w:szCs w:val="17"/>
                <w:b w:val="1"/>
                <w:bCs w:val="1"/>
                <w:color w:val="auto"/>
              </w:rPr>
              <w:t>$0.00001</w:t>
            </w:r>
            <w:r>
              <w:rPr>
                <w:rFonts w:ascii="Times New Roman" w:cs="Times New Roman" w:eastAsia="Times New Roman" w:hAnsi="Times New Roman"/>
                <w:sz w:val="16"/>
                <w:szCs w:val="16"/>
                <w:b w:val="1"/>
                <w:bCs w:val="1"/>
                <w:color w:val="auto"/>
              </w:rPr>
              <w:t xml:space="preserve"> par value</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CTMX</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60" w:type="dxa"/>
            <w:vAlign w:val="bottom"/>
            <w:gridSpan w:val="11"/>
          </w:tcPr>
          <w:p>
            <w:pPr>
              <w:jc w:val="center"/>
              <w:ind w:right="326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740" w:type="dxa"/>
            <w:vAlign w:val="bottom"/>
            <w:gridSpan w:val="6"/>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80" w:type="dxa"/>
            <w:vAlign w:val="bottom"/>
            <w:gridSpan w:val="2"/>
          </w:tcPr>
          <w:p>
            <w:pPr>
              <w:spacing w:after="0"/>
              <w:rPr>
                <w:sz w:val="6"/>
                <w:szCs w:val="6"/>
                <w:color w:val="auto"/>
              </w:rPr>
            </w:pPr>
          </w:p>
        </w:tc>
        <w:tc>
          <w:tcPr>
            <w:tcW w:w="6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20" w:type="dxa"/>
            <w:vAlign w:val="bottom"/>
            <w:gridSpan w:val="3"/>
            <w:vMerge w:val="restart"/>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5"/>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00" w:type="dxa"/>
            <w:vAlign w:val="bottom"/>
            <w:vMerge w:val="continue"/>
          </w:tcPr>
          <w:p>
            <w:pPr>
              <w:spacing w:after="0"/>
              <w:rPr>
                <w:sz w:val="23"/>
                <w:szCs w:val="23"/>
                <w:color w:val="auto"/>
              </w:rPr>
            </w:pPr>
          </w:p>
        </w:tc>
        <w:tc>
          <w:tcPr>
            <w:tcW w:w="37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20" w:type="dxa"/>
            <w:vAlign w:val="bottom"/>
            <w:gridSpan w:val="3"/>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49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54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the registrant’s common stock held by non-affiliates of the registrant was approximately $114.1 million, based on the closing price of the registrant’s common stock on the Nasdaq Global Select Market on June 30, 2023 of $1.72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28" w:lineRule="exact"/>
        <w:rPr>
          <w:sz w:val="24"/>
          <w:szCs w:val="24"/>
          <w:color w:val="auto"/>
        </w:rPr>
      </w:pPr>
    </w:p>
    <w:p>
      <w:pPr>
        <w:jc w:val="both"/>
        <w:ind w:right="60"/>
        <w:spacing w:after="0" w:line="241" w:lineRule="auto"/>
        <w:rPr>
          <w:sz w:val="20"/>
          <w:szCs w:val="20"/>
          <w:color w:val="auto"/>
        </w:rPr>
      </w:pPr>
      <w:r>
        <w:rPr>
          <w:rFonts w:ascii="Times New Roman" w:cs="Times New Roman" w:eastAsia="Times New Roman" w:hAnsi="Times New Roman"/>
          <w:sz w:val="14"/>
          <w:szCs w:val="14"/>
          <w:color w:val="auto"/>
        </w:rPr>
        <w:t>As of February 29, 2024, 67,721,658 shares of the registrant’s common stock, $0.00001 par value per share, were outstanding. This number does not include 14,423,077 shares of common stock issuable upon the exercise of pre-funded warrants outstanding as of February 29, 2024 (which are immediately exercisable at an exercise price of $0.00001 per share of common stock, subject to beneficial ownership limitations) sold in the registrant’s private placement in July 2023. See Note 12— Common Stock to the registrant’s audited financial statements.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for its 2024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CYTOMX THERAPEUTICS, INC.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Borders>
              <w:bottom w:val="single" w:sz="8" w:color="0000EE"/>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7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Borders>
              <w:bottom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7"/>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7"/>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67" w:lineRule="exact"/>
        <w:rPr>
          <w:sz w:val="20"/>
          <w:szCs w:val="20"/>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 conditionally activated platform technology;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30"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immuno-oncology industry;</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30"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30"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Annual Report on Form 10-K, “we,” “us,” “our” and the “Company” refer to CytomX Therapeutics,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left="503" w:right="1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and will continue to conduct clinical trials and will contract with third-party manufacturers in foreign countries, including China, which could expose us to risks that could have a material adverse effect on the success of our business</w:t>
      </w:r>
      <w:r>
        <w:rPr>
          <w:rFonts w:ascii="Times New Roman" w:cs="Times New Roman" w:eastAsia="Times New Roman" w:hAnsi="Times New Roman"/>
          <w:sz w:val="18"/>
          <w:szCs w:val="18"/>
          <w:b w:val="1"/>
          <w:bCs w:val="1"/>
          <w:i w:val="1"/>
          <w:iCs w:val="1"/>
          <w:color w:val="auto"/>
        </w:rPr>
        <w:t>.</w:t>
      </w:r>
    </w:p>
    <w:p>
      <w:pPr>
        <w:spacing w:after="0" w:line="53"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6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3" w:lineRule="exact"/>
        <w:rPr>
          <w:rFonts w:ascii="Times New Roman" w:cs="Times New Roman" w:eastAsia="Times New Roman" w:hAnsi="Times New Roman"/>
          <w:sz w:val="18"/>
          <w:szCs w:val="18"/>
          <w:color w:val="auto"/>
        </w:rPr>
      </w:pPr>
    </w:p>
    <w:p>
      <w:pPr>
        <w:ind w:left="503" w:right="14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7" w:lineRule="exact"/>
        <w:rPr>
          <w:rFonts w:ascii="Times New Roman" w:cs="Times New Roman" w:eastAsia="Times New Roman" w:hAnsi="Times New Roman"/>
          <w:sz w:val="18"/>
          <w:szCs w:val="18"/>
          <w:color w:val="auto"/>
        </w:rPr>
      </w:pPr>
    </w:p>
    <w:p>
      <w:pPr>
        <w:ind w:left="503" w:right="5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7" w:lineRule="exact"/>
        <w:rPr>
          <w:rFonts w:ascii="Times New Roman" w:cs="Times New Roman" w:eastAsia="Times New Roman" w:hAnsi="Times New Roman"/>
          <w:sz w:val="18"/>
          <w:szCs w:val="18"/>
          <w:color w:val="auto"/>
        </w:rPr>
      </w:pPr>
    </w:p>
    <w:p>
      <w:pPr>
        <w:ind w:left="503" w:right="1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53" w:lineRule="exact"/>
        <w:rPr>
          <w:rFonts w:ascii="Times New Roman" w:cs="Times New Roman" w:eastAsia="Times New Roman" w:hAnsi="Times New Roman"/>
          <w:sz w:val="18"/>
          <w:szCs w:val="18"/>
          <w:color w:val="auto"/>
        </w:rPr>
      </w:pPr>
    </w:p>
    <w:p>
      <w:pPr>
        <w:jc w:val="both"/>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rFonts w:ascii="Times New Roman" w:cs="Times New Roman" w:eastAsia="Times New Roman" w:hAnsi="Times New Roman"/>
          <w:sz w:val="18"/>
          <w:szCs w:val="18"/>
          <w:color w:val="auto"/>
        </w:rPr>
      </w:pPr>
    </w:p>
    <w:p>
      <w:pPr>
        <w:ind w:left="503" w:right="200" w:hanging="503"/>
        <w:spacing w:after="0" w:line="312" w:lineRule="auto"/>
        <w:tabs>
          <w:tab w:leader="none" w:pos="5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1"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clinical trials, including clinical trial site initiation and patient enrollment, and financial condition.</w:t>
      </w:r>
    </w:p>
    <w:p>
      <w:pPr>
        <w:spacing w:after="0" w:line="337"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093" w:right="41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focused on developing novel, conditionally activated biologics designed to be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vision is to transform lives with safer, more effective therapies with the goal of addressing major unmet needs in oncology.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drugs to their targets until the mask is removed by proteases in the tumor microenvironment, providing more selective targeting of the tumor.</w:t>
      </w:r>
    </w:p>
    <w:p>
      <w:pPr>
        <w:spacing w:after="0" w:line="200" w:lineRule="exact"/>
        <w:rPr>
          <w:sz w:val="20"/>
          <w:szCs w:val="20"/>
          <w:color w:val="auto"/>
        </w:rPr>
      </w:pPr>
    </w:p>
    <w:p>
      <w:pPr>
        <w:spacing w:after="0" w:line="2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employing our leading, conditional activation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of our PROBODY platform in preclinical research in areas outside of oncology, including in our collaboration with Moderna.</w:t>
      </w:r>
    </w:p>
    <w:p>
      <w:pPr>
        <w:spacing w:after="0" w:line="39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We have utilized our PROBODY therapeutic platform to build a promising, broad pipeline of potential first-in-class and best-in-class clinical-stage molecules. These are CX-904, a conditionally activated, PROBODY</w:t>
      </w:r>
      <w:r>
        <w:rPr>
          <w:rFonts w:ascii="Arial" w:cs="Arial" w:eastAsia="Arial" w:hAnsi="Arial"/>
          <w:sz w:val="24"/>
          <w:szCs w:val="24"/>
          <w:color w:val="auto"/>
          <w:vertAlign w:val="superscript"/>
        </w:rPr>
        <w:t>®</w:t>
      </w:r>
      <w:r>
        <w:rPr>
          <w:rFonts w:ascii="Times New Roman" w:cs="Times New Roman" w:eastAsia="Times New Roman" w:hAnsi="Times New Roman"/>
          <w:sz w:val="18"/>
          <w:szCs w:val="18"/>
          <w:color w:val="auto"/>
        </w:rPr>
        <w:t xml:space="preserve"> TCE, targeting the epidermal growth factor receptor (“EGFR”) on tumor cells and the CD3 receptor on T cells;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platform expertise and ongoing clinical learnings to optimize predicted therapeutic index and the clinical potential of these promising agents through tumor localized conditional activation.</w:t>
      </w:r>
    </w:p>
    <w:p>
      <w:pPr>
        <w:spacing w:after="0" w:line="19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also have a broad pre-clinical pipeline that spans multiple therapeutic modalities. CytomX’s total pipeline spans more than 15 programs across its partnered and internal pipeline.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Strategy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utilizing our proprietary, versatile, multi-modality PROBODY platform to create a robust pipeline of biologic therapeutics to improve the lives of people with cancer and to build a long-term, multi-product, commercial biopharmaceutical company. We aim to achieve this goal by:</w:t>
      </w:r>
    </w:p>
    <w:p>
      <w:pPr>
        <w:spacing w:after="0" w:line="54" w:lineRule="exact"/>
        <w:rPr>
          <w:sz w:val="20"/>
          <w:szCs w:val="20"/>
          <w:color w:val="auto"/>
        </w:rPr>
      </w:pPr>
    </w:p>
    <w:p>
      <w:pPr>
        <w:ind w:left="1020" w:right="60" w:hanging="503"/>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multi-modality breadth of our platform to advance novel, high potential therapeutic formats into the clinic such as T-cell engagers. The field of TCEs for solid tumors has gained momentum as a strategic area of research and development but continues to remain challenged for many targets due to limited therapeutic window. We believe our PROBODY platform is well-suited to address this challenge by localizing the potent anti-tumor activity of TCEs and potentially limiting systemic toxicities. We have a broad and growing effort in the field of TCEs including active programs with our partners, Astellas, Regeneron, Bristol Myers Squibb and Amgen. Our lead program in our pipeline of TCEs is CX-904, which is partnered with Amgen in a global co-development alliance. We are conducting early development as part of the Amgen alliance and retains a portion of U.S. commercial rights. CX-904 is designed to have broad potential in EGFR positive tumors by preferentially localizing T-cells to solid tumors. In May 2022, the first patient was dosed in a Phase 1 study in patients with advanced solid tumors. We reported in January 2023 that the initial single patient cohort phase of the study was complete and that the “3+3” patient cohort phase had been initiated. Backfilling of certain dose escalation cohorts has also been initiated and dose ranging continues. Initial Phase 1a data are expected in</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 w:name="page7"/>
    <w:bookmarkEnd w:id="6"/>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the second half of 2024. A decision to potentially expand into Phase 1b is also anticipated in 2024, which will be taken in conjunction with our partner, Amgen.</w:t>
      </w:r>
    </w:p>
    <w:p>
      <w:pPr>
        <w:spacing w:after="0" w:line="54" w:lineRule="exact"/>
        <w:rPr>
          <w:sz w:val="20"/>
          <w:szCs w:val="20"/>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potentially first-in-class therapies against validated, high potential anti-cancer targets that have not yet been broadly developed as systemic therapies because of target expression in healthy tissue. CX-2051, targeting EpCAM, is a novel ADC program in this category. CX-2051 is designed to optimize the therapeutic index for EpCAM-expressing epithelial cancers, including colorectal cancer. CX-2051’s payload is a camptothecin derivative, a topoisomerase-1 inhibitor, which has a well characterized profile base on the strong clinical activity observed with other topoisomerase-1 inhibiting ADCs and is also optimized for bystander effect. The investigational new drug application (“IND”) for CX-2051 was allowed to proceed by the FDA in January of 2024 and the molecule is expected to enter Phase 1 clinical testing in the first half of 2024.</w:t>
      </w:r>
    </w:p>
    <w:p>
      <w:pPr>
        <w:spacing w:after="0" w:line="80"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high potential immunotherapeutics that have been previously limited in their systemic use due to toxicities. To this end, we have advanced CX-801, a masked interferon alpha-2b program, towards the clinic. Interferon alpha-2b is a validated previously approved immunotherapeutic that has demonstrated clinical activity in multiple cancer types, including in combination with checkpoint inhibitors. Despite the potential and previous validation, previous IFNα2b-based systemic therapies have been limited in their utilization due to systemic toxicities. CX-801 is an investigational, dually masked, conditionally activated version of IFNα2b that is designed to be preferentially active in the tumor microenvironment. The IND for CX-801 was allowed to proceed by the FDA in January of 2024 and the molecule is expected to enter Phase 1 clinical testing in the first half of 2024.</w:t>
      </w:r>
    </w:p>
    <w:p>
      <w:pPr>
        <w:spacing w:after="0" w:line="80"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leading global biopharmaceutical companies to access capital, additional resources and expertise, as well as increase the number of PROBODY therapeutic candidates being advanced into clinical studies. We currently have several strategic alliances with major multinational drug companies, including Amgen, Inc. (“Amgen”), Bristol Myers Squibb, Astellas Pharma Inc. (“Astellas”), Regeneron Pharmaceuticals Inc. (“Regeneron”), and ModernaTX, Inc., a wholly owned subsidiary of Moderna, Inc (“Moderna”).</w:t>
      </w:r>
    </w:p>
    <w:p>
      <w:pPr>
        <w:spacing w:after="0" w:line="7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unique, patient-focused culture centered around our Company vision of transforming lives with safer, more effective therapies and executing with focus towards our mission to urgently advance our pipeline of PROBODY therapeutics.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of Conditionally Activated, Localized Product Candidates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leveraging our multi-modality PROBODY platform across to build a robust pipeline of potential therapies that are designed to address high unmet needs. CytomX’s pipeline spans pre-clinical and clinical programs and includes a range of therapeutic formats including T-cell engagers, immunotherapies, antibody drug conjugates, and, most recently, mRNA. The table below depicts the current status of our clinical-stage, conditionally activated product candidates, including both collaboration and wholly owned programs and potential milestones in 2024. Our current lead clinical programs focus on validated targets, for which substantial potential remains if they can be improved by widening the therapeutic index. By employing tailored masking strategies and choosing an optimal effector function (e.g. ADC, TCE), each program has been designed to optimize therapeutic window in order to address large unmet needs in oncology.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CytomX Pipeline of Clinical Stage PROBODY Therapeutics and 2024 Potential Milestones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as of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74295</wp:posOffset>
            </wp:positionV>
            <wp:extent cx="6172200" cy="2083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from ImmunoGen (acquired by AbbVie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CX-904, A Conditionally Activated PROBODY TCE Targeting EGFR and CD3</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extended our PROBODY platform to the new and promising modality of TCEs. Conventional TCEs are a highly potent therapeutic modality designed to direct the activity of cytotoxic T cells to tumors. TCEs such as the BiTE® molecule, Blincyto®, a CD19-directed TCE commercialized by Amgen, have shown clinical activity in hematologic malignancies, but development of TCEs for solid tumor indications has been challenging. Due to their high potency, TCEs can target normal tissues with low antigen expression, which may result in significant toxicity. We believe these toxicity challenges could be addressed using our PROBODY platform by localizing the activity of TCEs to the tumor microenvironment thereby increasing the therapeutic index for TCEs in solid tumors.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most advanced program in this modality is CX-904, a conditionally activated epidermal growth factor receptor-CD3 (“EGFRxCD3”) TCE, which we partnered with Amgen. The strategy for CX-904 is to utilize EGFR expression as an "address" to localize T-cells to solid tumors. EGFR is a broadly expressed, highly validated antibody target with multiple approved therapies on the market. CX-904 is a bispecific antibody targeting EGFR and CD3 and is masked on both binding domains to potentially mediate both EGFR and CD3 related toxicities. CX-904 has been optimized in preclinical studies and we believe may result in a novel approach to address the large number of EGFR positive solid tumors.</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preclinical studies, our PROBODY EGFRxCD3 TCE therapeutics demonstrated anti-tumor activity and better tolerability when compared to EGFRxCD3 TCEs without PROBODY masking. In May 2022, the first patient was dosed in a Phase 1 study in patients with advanced solid tumors. We reported in January 2023 that the initial single patient cohort phase of the study was complete and that the “3+3” patient cohort phase had been initiated. Backfilling of certain dose escalation cohorts has also been initiated and dose ranging continues. Initial Phase 1a data are expected in the second half of 2024. A decision to potentially expand into Phase 1b is also anticipated in 2024, which will be taken in conjunction with our partner, Amgen, with whom we entered into a global collaboration in 2017.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CX-2051, A Conditionally Activated PROBODY ADC Targeting EpCAM</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field of ADCs has made tremendous progress in recent years in hematologic and increasingly, in solid tumors. ADCs are making a difference for patients across a wide range of tumors and continue to move earlier in the treatment paradigm across certain malignancies. The success of the field has driven increased interest in this modality including the need to identify novel ADC targets as well as optimized linker payloads.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EpCAM is a strategic pan-tumor target with high potential across many tumor types. EpCAM has been clinically validated with locally administered, approved cancer therapies. However, efforts to generate systemic anti-EpCAM therapeutics have, to date, not been successful due to toxicities in epithelial tissues. CX-2051, a conditionally activated ADC, is designed to optimize the therapeutic index for EpCAM-expressing epithelial cancers, including colorectal cancer. CX-2051’s payload is a camptothecin derivative, a topoisomerase-1 inhibitor, which has a well characterized profile base on the strong clinical activity observed with other topoisomerase-1 inhibiting ADCs and is also optimized for bystander effect .</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Preclinically, CX-2051 has demonstrated a wide predicted therapeutic index, as well as strong activity and tolerability in multiple preclinical models, including in colorectal cancer. In preclinical safety studies in cynomolgus monkeys, CX-2051 was tolerated at doses at least six times higher than an unmasked EpCAM ADC. Based on the wide predicted therapeutic index, we believe CX-2051 has the potential to address a broad range of EpCAM expressing solid tumors and make a significant difference for patients. The preclinical results for CX-2051 were presented at the World ADC Conference in 2023.</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IND for CX-2051 was allowed to proceed by the FDA in January 2024 and we expect Phase 1 clinical initiation in EpCAM expressing solid tumors, including CRC, in the first half of 2024. The Phase 1 dose escalation design will follow a Bayesian Optimal Interval ("BOIN") design and intended to evaluate clinical proof of concept and potentially move into dose expansion studies in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CX-801, A Conditionally Activated PROBODY Cytokine, Interferon alpha-2b (IFNα2b)</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the emergence and impact of checkpoint inhibitors, many patients have benefited from immunotherapy treatment yet significant unmet need remains in patients who either do not respond to immunotherapies or who need additional treatments upon recurrence of their disease. We believe IFNα2b provides a potentially superior approach to activating anti-tumor immune responses than other cytokines. Based on the novel properties of IFNα2b, it has a dual mechanism of action, in that it is designed to directly kill cancer cells while also increasing antigen presenting cells.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Interferon alpha-2b is also a validated previously approved immunotherapeutic that has demonstrated clinical activity in multiple cancer types, including in combination with checkpoint inhibitors. Additionally, Adstiladrin</w:t>
      </w:r>
      <w:r>
        <w:rPr>
          <w:rFonts w:ascii="Arial" w:cs="Arial" w:eastAsia="Arial" w:hAnsi="Arial"/>
          <w:sz w:val="25"/>
          <w:szCs w:val="25"/>
          <w:color w:val="auto"/>
          <w:vertAlign w:val="superscript"/>
        </w:rPr>
        <w:t>®</w:t>
      </w:r>
      <w:r>
        <w:rPr>
          <w:rFonts w:ascii="Times New Roman" w:cs="Times New Roman" w:eastAsia="Times New Roman" w:hAnsi="Times New Roman"/>
          <w:sz w:val="18"/>
          <w:szCs w:val="18"/>
          <w:color w:val="auto"/>
        </w:rPr>
        <w:t xml:space="preserve"> , a gene therapy encoding interferon alpha-2b locally for BCG-unresponsive non-muscle invasive bladder cancer ("NMIBC"), was approved in 2022 and achieved a 51 percent complete response rate in a clinical study.</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the potential and previous validation, previous IFNα2b-based systemic therapies have been limited in their utilization due to systemic toxicities. CX-801 is an investigational, dually masked, conditionally activated version of IFNα2b that is designed to be preferentially active in the tumor microenvironment. Preclinically, we optimized the predicted therapeutic index by tightly masking the molecule using both a peptide mask to block binding to the receptor in the periphery and an Fc steric mask, both of which are unmasked by protease activity in the tumor tissue. In preclinical studies, CX-801 was tolerated at doses more than 100-fold higher than unmasked IFNα2b. PROBODY IFNα2b also showed synergistic effects with checkpoint inhibitors in preclinical models and the ability to inflame the tumor microenvironment. The preclinical profile of CX-801 was presented at SITC 2023.</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IND for CX-801 was allowed to proceed by the FDA in January 2024 and initiation of Phase 1 dose escalation in solid tumors including melanoma, renal, and head and neck squamous cell carcinoma is expected in the first half of 2024. In Phase 1 dose escalation, we will use a BOIN design to evaluate safety and signs of clinical activity for CX-801 and progress into combinations, where we believe CX-801 has the potential to be cornerstone of therapy, if approved, including in combination with checkpoint inhibitors.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CX-2029: A Conditionally Activated ADC Targeting CD71, The Transferrin Receptor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CX-2029 was originally developed in a global co-development collaboration with AbbVie. This program is intended to open a therapeutic index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w:t>
      </w:r>
    </w:p>
    <w:p>
      <w:pPr>
        <w:spacing w:after="0" w:line="18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Having demonstrated favorable tolerability results and encouraging anti-tumor activity in Phase 1 studies, CX-2029 entered into a four-cohort Phase 2 expansion study initially designed to enroll twenty-five efficacy evaluable patients per cohort in the following malignancies: squamous non-small cell lung cancer (“sqNSCLC”), head and neck squamous cell carcinoma (“HNSCC”), esophageal and gastro-esophageal junction (“E/GEJ”) cancers, and diffuse large B-cell lymphoma (“DLBCL”). The DLBCL cohort was later deprioritized due to strategic and competitive reasons and did not enroll any patients. In January 2023, a data update for the Phase 2 expansion was disclosed which included data across all fully enrolled cohorts. The study results reflected an August 5, 2022 full data cut-off and an October 4, 2022 data snapshot for efficacy. The data demonstrated encouraging clinical activity in unselected, heavily pre-treated patients with tumors of squamous histology, including a 21% objective response rate (ORR) in squamous esophageal cancer and a 10% ORR in squamous non-small cell lung cancer (sqNSCLC). The adverse event (AE) profile was consistent with Phase 1 observations with anemia (82.6%) being the most common treatment related adverse event (TRAE), including 76.1% Grade 3 TRAEs. Anemia was managed with transfusions, dose delays, and dose reductions. The treatment discontinuation rate due to AEs was 3.3% as a result of anemia. In March 2023, AbbVie notified CytomX that it decided not to advance CX-2029 into additional clinical studies and terminated the 2016 CD71 License and Collaboration Agreement.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220"/>
        <w:spacing w:after="0" w:line="261" w:lineRule="auto"/>
        <w:rPr>
          <w:sz w:val="20"/>
          <w:szCs w:val="20"/>
          <w:color w:val="auto"/>
        </w:rPr>
      </w:pPr>
      <w:r>
        <w:rPr>
          <w:rFonts w:ascii="Times New Roman" w:cs="Times New Roman" w:eastAsia="Times New Roman" w:hAnsi="Times New Roman"/>
          <w:sz w:val="18"/>
          <w:szCs w:val="18"/>
          <w:color w:val="auto"/>
        </w:rPr>
        <w:t>CytomX re-acquired full rights to CX-2029 and the CD71 target but does not currently have plans to make further significant investments in the solid tumor CX-2029 program in the near-term. However, given the high potential of the CD71 target and previous clinical validation and learnings from the CX-2029 development program, including the observation of confirmed anti-tumor responses in squamous esophageal cancer, the Company continues to explore next-generation CD71 strategies.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Generation CTLA-4 Therapies (BMS-986288)</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BMS-986288 is a PROBODY version of non-fucosylated ipilimumab. The non-fucosylated Fc region of BMS-986288 enhances antigen-presenting cell-mediated T-cell priming and regulatory T-cell (Treg) modulation and is therefore intended to confer increased potency compared to fucosylated ipilimumab. Bristol Myers Squibb was evaluating the safety and efficacy of BMS-986288 alone and in combination with nivolumab in a Phase 1/2 study in patients with certain advanced solid tumors. In February 2023, BMS advanced BMS-986288 to Phase 2 and prioritized the molecule as its lead next-generation CTLA-4 program over its non-fucosylated CTLA-4 antibody ("BMS-986218") and the PROBODY version of ipilumamab ("BMS-986249"). The Phase 2 study for BMS-986288 included proof-of-concept studies in NSCLC and MSS CRC.</w:t>
      </w:r>
    </w:p>
    <w:p>
      <w:pPr>
        <w:spacing w:after="0" w:line="194"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8"/>
          <w:szCs w:val="18"/>
          <w:color w:val="auto"/>
        </w:rPr>
        <w:t>Following a corporate portfolio prioritization process, Bristol Myers Squibb notified CytomX on March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that it does not intend to continue the development of BMS-986288 beyond the current Phase 2 study and terminated its work on the CTLA-4 target under the collaboration.</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Bristol Myers Squibb’s first generation PROBODY CTLA-4, BMS-986249, was a masked version of ipilumamab, which was advanced into a Phase 2 clinical trial. The Phase 1 clinical data for BMS-986249 were presented by Bristol Myers Squibb at the European Society for Medical Oncology congress in 2022. The data demonstrated that the PROBODY platform, including that BMS-986249 could be dosed alone and in combination with nivolumab at doses that were higher than the FDA approved doses of ipilumamab alone or in combination with nivolumab. Additionally, the tumor pharmokinetic data indicated that BMS-986249 was unmasked in a dose-dependent manner across multiple tumor types. Bristol Myers Squibb also indicated that BMS-986249 was generally well tolerated with no unexpected or new safety signals in the Phase 1 results and both BMS-986249 monotherapy and BMS-986249 in combination with nivolumab showed promising preliminary activity.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CytomX Platform and Pipeline Breadth Including Partnered Pipeline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continue to innovate and improve our platform technology and extend the reach of our science through partnering and internal development of our wholly-owned pipeline. Our sustained efforts in research have resulted in an industry-leading level of breadth and depth with conditional activation and a wide range of therapeutic conditionally activated modalities including ADCs cytokines and mRNAs. Over more than ten years, we have gained substantial experience and learnings from the preclinical and clinical work conducted on our earlier programs. We have taken these lessons and applied them to advancing our current pipeline programs. Our total partnered and wholly owned pipeline includes more than 15 active programs, including multiple programs across each collaboration. Our current generation of pipeline molecules integrate learnings in how to best utilize our technology and optimize the design of product candidates to enhance probability of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CytomX Pipeline of Clinical and Pre-Clinical Molecules Including All Partnered Programs as of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86995</wp:posOffset>
            </wp:positionV>
            <wp:extent cx="6172200" cy="2503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product candidates involves a lengthy and expensive process with an uncertain outcome, and preliminary or interim results of our studies may not be predictive of the final results from those trials and the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PROBODY Platform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Localization of therapeutic activity of potent biologics within disease tissue is of increasing interest in the biopharmaceutical industry due to the desire to maximize the activity of biologics while reducing their toxicities. We call our approach to therapeutic localization of biologics our PROBODY therapeutic platform. A PROBODY therapeutic candidate consists of three components: an active anti-cancer biologic, a mask for the biologic, and a protease-cleavable linker which connects the mask to the biologic. The mask is a peptide designed to disguise the active binding site of the biologic to prevent it from binding to the target present on healthy tissue. PROBODY therapeutic candidates are produced as a single protein through biologic production technologies. The Company has had sustained research efforts and continuous innovation around the PROBODY Platform and has invested significant resources to develop the technology. As of January 2024, our fully- and co-owned patent portfolio contains at least 250 granted patents and at least 400 pending patent applications. The following graphic depicts the three components of a PROBODY therapeutic candidate:</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1" w:right="4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774700</wp:posOffset>
            </wp:positionV>
            <wp:extent cx="6172200" cy="264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the structure of a PROBODY therapeutic candidate and a protease interacting with the PROBODY candidate to cleave the linker and activate the molecule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PROBODY therapeutic candidate enters a tumor, it encounters proteases, which are enzymes that cleave proteins and have increased activity in the tumor microenvironment. The proteases in the tumor cleave the linker, releasing the mask and allowing the biologic to bind to the target on the tumor. The following graphic depicts the way a PROBODY therapeutic candidate is designed to be activated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5974715" cy="1362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471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how a PROBODY therapeutic is designed to enter the tumor microenvironment (left), be activated by protease cleavage to remove the mask (middle), thereby enabling the released biologic to bind to the tumor target (right)</w:t>
      </w:r>
    </w:p>
    <w:p>
      <w:pPr>
        <w:spacing w:after="0" w:line="1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we believe that toxicities that arise from the binding of a biologic therapeutic to a target in healthy tissues can be reduced, while biological activity against the tumor where it is desired can be preserved. We and our partners have demonstrated the potential of our PROBODY platform across multiple modalities, including ADCs, cancer immunotherapy, TCEs, and cytokines.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multi-modality PROBODY therapeutic platform provides the following key advantages:</w:t>
      </w:r>
    </w:p>
    <w:p>
      <w:pPr>
        <w:spacing w:after="0" w:line="113" w:lineRule="exact"/>
        <w:rPr>
          <w:sz w:val="20"/>
          <w:szCs w:val="20"/>
          <w:color w:val="auto"/>
        </w:rPr>
      </w:pPr>
    </w:p>
    <w:p>
      <w:pPr>
        <w:ind w:left="1020" w:right="28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novel biologic therapeutic class enabled by our proprietary platform. </w:t>
      </w:r>
      <w:r>
        <w:rPr>
          <w:rFonts w:ascii="Times New Roman" w:cs="Times New Roman" w:eastAsia="Times New Roman" w:hAnsi="Times New Roman"/>
          <w:sz w:val="18"/>
          <w:szCs w:val="18"/>
          <w:color w:val="auto"/>
        </w:rPr>
        <w:t>By pioneering a novel class of conditionally activated, localized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 candidates, we are a leader in the field and have established conditional activation as a strategic area of biologics research and development. Our technology platform is supported by more than a decade of</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ind w:left="1020" w:right="60"/>
        <w:spacing w:after="0" w:line="266" w:lineRule="auto"/>
        <w:rPr>
          <w:sz w:val="20"/>
          <w:szCs w:val="20"/>
          <w:color w:val="auto"/>
        </w:rPr>
      </w:pPr>
      <w:r>
        <w:rPr>
          <w:rFonts w:ascii="Times New Roman" w:cs="Times New Roman" w:eastAsia="Times New Roman" w:hAnsi="Times New Roman"/>
          <w:sz w:val="18"/>
          <w:szCs w:val="18"/>
          <w:color w:val="auto"/>
        </w:rPr>
        <w:t>research and a strong intellectual property portfolio. More than 500 patients with diverse tumor types have been treated with our PROBODY therapeutic candidates in multiple clinical studies, providing clinical proof of concept and a deep knowledge base for translational advancement and optimization of our drug candidates and platform.</w:t>
      </w:r>
    </w:p>
    <w:p>
      <w:pPr>
        <w:spacing w:after="0" w:line="64" w:lineRule="exact"/>
        <w:rPr>
          <w:sz w:val="20"/>
          <w:szCs w:val="20"/>
          <w:color w:val="auto"/>
        </w:rPr>
      </w:pPr>
    </w:p>
    <w:p>
      <w:pPr>
        <w:ind w:left="1020" w:right="60" w:hanging="503"/>
        <w:spacing w:after="0" w:line="25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broad multi-modality technology for improvement of therapeutic index. </w:t>
      </w:r>
      <w:r>
        <w:rPr>
          <w:rFonts w:ascii="Times New Roman" w:cs="Times New Roman" w:eastAsia="Times New Roman" w:hAnsi="Times New Roman"/>
          <w:sz w:val="18"/>
          <w:szCs w:val="18"/>
          <w:color w:val="auto"/>
        </w:rPr>
        <w:t>By engineering our therapeutics to selectively activate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tumor microenvironment, our PROBODY product candidates have the potential to improve safety and tolerability. We are applying our technology to some of the biggest challenges in oncology biologics research and development today. Namely, the validation of potential new targets for ADCs, opening solid tumor opportunities for TCEs, and increasing the therapeutic index for immunotherapies such as cytokines and CPIs.</w:t>
      </w:r>
    </w:p>
    <w:p>
      <w:pPr>
        <w:spacing w:after="0" w:line="71"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combine more effectively with other therapies. </w:t>
      </w:r>
      <w:r>
        <w:rPr>
          <w:rFonts w:ascii="Times New Roman" w:cs="Times New Roman" w:eastAsia="Times New Roman" w:hAnsi="Times New Roman"/>
          <w:sz w:val="18"/>
          <w:szCs w:val="18"/>
          <w:color w:val="auto"/>
        </w:rPr>
        <w:t>We believe the therapeutic index and tumor specificity of our drug candidates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potential to reduce the dose-limiting toxicities observed in combination therapies and thus enable new combinations with other cancer therapies that are difficult or impossible to use.</w:t>
      </w:r>
    </w:p>
    <w:p>
      <w:pPr>
        <w:spacing w:after="0" w:line="62" w:lineRule="exact"/>
        <w:rPr>
          <w:rFonts w:ascii="Times New Roman" w:cs="Times New Roman" w:eastAsia="Times New Roman" w:hAnsi="Times New Roman"/>
          <w:sz w:val="18"/>
          <w:szCs w:val="18"/>
          <w:color w:val="auto"/>
        </w:rPr>
      </w:pPr>
    </w:p>
    <w:p>
      <w:pPr>
        <w:ind w:left="1020" w:right="60" w:hanging="503"/>
        <w:spacing w:after="0" w:line="25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Molecular tunability and applicability across many targets. </w:t>
      </w:r>
      <w:r>
        <w:rPr>
          <w:rFonts w:ascii="Times New Roman" w:cs="Times New Roman" w:eastAsia="Times New Roman" w:hAnsi="Times New Roman"/>
          <w:sz w:val="18"/>
          <w:szCs w:val="18"/>
          <w:color w:val="auto"/>
        </w:rPr>
        <w:t>Our proprietary masking technologies, leveraging affinity-based and steric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approaches and broad protease substrate libraries, allow for unique customization of large drug candidate pools from which high potential clinical candidates are selected. Our technology has the potential to address many different molecular targets expressed by a wide range of tumor types, including targets that are difficult to address due to their widespread expression on healthy cells. EpCAM is an example of such a target, for which we have developed CX-2051, a conditionally activated PROBODY ADC.</w:t>
      </w:r>
    </w:p>
    <w:p>
      <w:pPr>
        <w:spacing w:after="0" w:line="71"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of the tumor protease microenvironment. </w:t>
      </w:r>
      <w:r>
        <w:rPr>
          <w:rFonts w:ascii="Times New Roman" w:cs="Times New Roman" w:eastAsia="Times New Roman" w:hAnsi="Times New Roman"/>
          <w:sz w:val="18"/>
          <w:szCs w:val="18"/>
          <w:color w:val="auto"/>
        </w:rPr>
        <w:t>Our extensive protease biology expertise, driven by state-of-the-art experimental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computational methods, allows us to employ multiple approaches to generate novel targeted, multi-selective, and potentially indication-tailored protease-cleavable substrates.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the PROBODY platform has broad applicability across many cancer types, biological targets and antibody modalities. We have leveraged strategic partnering to (a) extend the reach of our technology, and (b) bring in significant non-dilutive capital into the Company. Since 2013, we have entered into several collaborations, including with Amgen, Astellas, Bristol Myers Squibb, ImmunoGen, Moderna, and Regeneron to enable development of certain PROBODY therapeutics. In constructing each of these collaborations, our primary objectives are to collaborate with leading biopharmaceutical players to realize the potential of PROBODY therapeutics, gain meaningful near-term funding or access technology to enable the advancement of our wholly owned PROBODY therapeutics pipeline, and broaden the number of PROBODY therapeutics that ultimately reach the clinic.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AbbVie Ireland Unlimited Company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2016, we entered into two agreements with AbbVie, a CD71 Co-Development and Licensing Agreement (the “CD71 Agreement”) and the Discovery Agreement (the Discovery Agreement, together with the CD71 Agreement are collectively referred to as the “AbbVie Agreements”). Under the terms of the CD71 Agreement, we and AbbVie were co-developing CX-2029, an ADC against CD71, with CytomX being responsible for pre-clinical and early clinical development. AbbVie was responsible for later development and commercialization, with global late-stage development costs shared between the two companies from Phase 3 onwards.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CD71 Agreement, we received an upfront payment of $20.0 million in April 2016, and a milestone payment of $40.0 million in May 2020 for completion of the dose-escalation phase of the ongoing Phase 1/2 study. In March 2023, AbbVie notified us that it would not advance CX-2029 into additional clinical studies and terminated the CD71 Agreement. CytomX re-acquired full rights to CX-2029 and in the fourth quarter of 2023, the Company decided not to make any further significant investments in the CX-2029 solid tumor program in the near-term.</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Discovery Agreement, we received an upfront payment of $10.0 million in April 2016 and AbbVie received exclusive worldwide rights to develop and commercialize conditionally activated ADCs against up to two targets, one of which was selected in March 2017 and the second of which was selected in July 2019. We received an additional upfront payment of $10.0 million in July 2019 upon the selection by AbbVie of the second target and the satisfaction of certain performance conditions under the CD71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research on the two discovery targets concluded and in March 2023, AbbVie terminated the Discovery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Amgen Agreement, we and Amgen are co-developing a conditionally activated T-cell engaging bispecific therapeutic targeting EGFR (“EGFR Products”). We are responsible for early-stage development of EGFR Products and all related costs (up to certain pre-set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$460.0 million in development, regulatory, and commercial milestone payments for EGFR Products, and royalties in the low-double digit to mid-teen percentage of worldwide commercial sales, provided that if we exercise our EGFR Co-Development option, we shall only receive royalties in the low-double digit to mid-teen percentage of commercial sales outside of the United States.</w:t>
      </w:r>
    </w:p>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October 2021, we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Amgen also has the right to select a total of up to three targets, including the two additional targets discussed below. We and Amgen will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had the option to select from programs specified in the Amgen Agreement, an existing pre-clinical stage T-cell Engager product from the Amgen pre-clinical pipeline. In March 2018, CytomX selected the program and this program is currently in preclinical development. We will be responsible, at our expense, for converting this program to a conditionally activated T-cell Engager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Pharma Inc</w:t>
      </w:r>
    </w:p>
    <w:p>
      <w:pPr>
        <w:spacing w:after="0" w:line="11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In March 2020, we entered into a Collaboration and License Agreement (the “Astellas Agreement”) with Astellas, pursuant to which we and Astellas will collaborate on the research, development and commercialization of T-cell engaging bispecific antibody products (“Products”) directed to CD3 and selected tumor antigen targets using our PROBODY® platform and other proprietary technology. Under the Astellas Agreement, we granted Astellas an exclusive, worldwide, royalty-bearing license to develop and commercialize Products in all fields. Astellas may select up to four targets to develop, and had an option to expand to six targets. We will lead preclinical research and discovery activities up to clinical candidate selection for Products directed against up to four targets. Astellas will lead preclinical and clinical development of and regulatory approval for all Products. Astellas will be responsible for commercializing each Product, provided that we will have the option to elect to co-commercialize certain Products with Astellas in the United States, subject to the terms of a separate commercialization agreement to be entered into between us and Astellas.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Astellas Agreement, we received an upfront payment of $80 million, and Astellas will be responsible for funding the cost of preclinical research and discovery activities of both parties for all Products and for funding the cost of development and commercialization of all Products worldwide. Under the agreement, we are eligible to receive future preclinical, clinical and commercial milestones of approximately $1.6 billion. Astellas will pay us tiered royalties on global net sales of Products from high single-digit to mid-teens percentages, subject to certain reductions. Astellas’ royalty obligations continue with respect to each country and each Product until the later of (i) the date on which such Product is no longer covered by certain intellectual property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4" w:name="page15"/>
    <w:bookmarkEnd w:id="14"/>
    <w:p>
      <w:pPr>
        <w:ind w:right="200"/>
        <w:spacing w:after="0" w:line="282" w:lineRule="auto"/>
        <w:rPr>
          <w:sz w:val="20"/>
          <w:szCs w:val="20"/>
          <w:color w:val="auto"/>
        </w:rPr>
      </w:pPr>
      <w:r>
        <w:rPr>
          <w:rFonts w:ascii="Times New Roman" w:cs="Times New Roman" w:eastAsia="Times New Roman" w:hAnsi="Times New Roman"/>
          <w:sz w:val="18"/>
          <w:szCs w:val="18"/>
          <w:color w:val="auto"/>
        </w:rPr>
        <w:t>rights, (ii) the 10th anniversary of the first commercial sale of such product in such country, and (iii) the loss of regulatory exclusivity for such Product in such country.</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for a specified number of targets, at a pre-specified time prior to the initiation of the first pivotal study of a Product directed against such target, we will have an option to elect to co-fund certain subsequently initiated clinical trials for such Product. If we opt in, we would be responsible for a pre-determined portion of the costs of such trials, subject to specified caps, deferrals and offsets. We would then have the option to elect to co-commercialize such Products in the United States. For any such Products, in lieu of royalties in the United States, we will receive less than 40% of the profits for such Products in the United States and tiered low double-digit to mid-teens percentage royalties on net sales of such Products outside of the United States, subject to certain reductions.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2023, Astellas nominated the first clinical candidate under the collaboration which resulted in a $5.0 million milestone payment to CytomX.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Bristol Myers Squibb Company</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May 2014, we and Bristol Myers Squibb entered into a Collaboration and License Agreement (the “BMS Agreement”) to discover and develop compounds for use in human therapeutics aimed at multiple immuno-oncology targets using our PROBODY therapeutic technology.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BMS Agreement, we granted Bristol Myers Squibb exclusive worldwide rights to develop and commercialize PROBODY therapeutics for up to four oncology targets, two of which were selected upon the execution of the BMS Agreement. Pursuant to the BMS Agreement, we received an upfront payment of $50.0 million and were entitled to receive contingent payments in development, regulatory and commercial milestone payments, which can be reduced by any such payments received or by any termination of targets being pursued. We are entitled to royalty payments in the mid-single-digit to low double-digits percentage from potential future sales. We also received research and development service fees. Bristol Myers Squibb has terminated certain targets from the BMS Agreement, as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2016, Bristol Myers Squibb selected the third target pursuant to the BMS Agreement and paid us $10.0 million. In December 2016, Bristol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Myers Squibb selected the fourth and its final target pursuant to the BMS Agreement and paid us $15.0 million. In December 2016, Bristol Myers Squibb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BMS-986249, a CTLA-4 PROBODY therapeutic, as a clinical candidate pursuant to the BMS Agreement, which triggered a $2.0 million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milestone payment to us. In November 2017, Bristol Myers Squibb received acceptance of the IND for BMS-986249 from the FDA,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triggered a $10.0 million milestone payment to us. Bristol Myers Squibb recently advanced BMS-986249 into a randomized Phase 2 cohort expansion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with metastatic melanoma in combination with the PD-1 inhibitor nivolumab as part of the larger clinical trial, triggering, in February 2020,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milestone payment from Bristol Myers Squibb to us. This study has been modified to include three additional single-arm cohorts: advanced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hepatocellular carcinoma, metastatic castration-resistant prostate cancer, and unresectable locally advanced or metastatic TNBC.</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2017, we and Bristol Myers Squibb entered into Amendment Number 1 to Extend the BMS Agreement (“Amendment 1”). Amendment 1 granted Bristol Myers Squibb exclusive worldwide rights to develop and commercialize PROBODY therapeutics for up to six additional oncology targets and two non-oncology targets. Under the terms of Amendment 1, we continued to collaborate with Bristol Myers Squibb to discover and conduct preclinical development of PROBODY therapeutics against targets selected by Bristol Myers Squibb. Pursuant to Amendment 1, we received an upfront payment of $200.0 million and were eligible to receive contingent payments for development, regulatory and sales milestones. We were also entitled to tiered mid-single to low double-digit percentage of royalties from potential future sales.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2019, Bristol Myers Squibb initiated the dose escalation phase of a Phase 1/2a clinical trial of a second anti-CTLA-4-directed therapeutic, BMS-986288, based on a modified version of ipilimumab, administered as monotherapy and in combination with nivolumab in patients with selected advanced solid tumors. In February 2023, BMS updated its pipeline to prioritize the a-fucosylated PROBODY anti-CTLA-4 molecule, BMS-986288 as its lead next-generation CTLA-4 program and removed BMS-986249 from its pipeline.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2021, we and Bristol Myers Squibb entered into Amendment Number 2 to amend the BMS Agreement (“Amendment 2”), as amended by Amendment 1. Pursuant to Amendment 2, the available targets under Amendment 1 were reduced to five oncology targets. Under the terms of Amendment 2, the period for target selection was extended and in 2022, all remaining targets were selected. We will continue to collaborate with Bristol Myers Squibb to discover and conduct preclinical development of PROBODY therapeutics against targets selected by Bristol Myers Squibb over the estimated research period, which is projected to end in April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2025. Pursuant to Amendment 2, we are eligible to receive contingent payments for development, regulatory and sales milestones. We are also entitled to tiered mid-single- to low double-digit percentage of royalties from potential future sales.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 As of December 31, 2023, the Company was eligible for up to approximately $2.1 billion in contingent payments for development, regulatory and sales milestones based on the ongoing collaboration projects, including the CTLA-4 program, with Bristol Myers Squibb.</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6, 2024, following a Bristol Myers Squibb corporate portfolio prioritization process, Bristol Myers Squibb notified CytomX that it does not intend to continue the development of BMS-986288 beyond the current Phase 2 study and terminated its work on the CTLA-4 target under the collaboration. As of March 6, 2024, CytomX is eligible to receive approximately $1.8 billion in contingent payments for development, regulatory and sales milestones for the ongoing collaboration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Inc. (acquired by AbbVie in 2024)</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2014, CytomX and ImmunoGen entered into the Research Collaboration Agreement (the “ImmunoGen Research Agreement”). The ImmunoGen Research Agreement provides us with the right to use ImmunoGen’s ADC technology in combination with our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Under the agreement, we provided ImmunoGen with the rights to our PROBODY therapeutic technology to create conditionally activated ADCs directed at two targets under the research license and to subsequently obtain exclusive, worldwide development and commercialization licenses to develop and commercialize such conditionally activated ADCs. In February 2016, we exercised our option to obtain a development and commercialization license for praluzatamab ravtansine (CX-2009) (the “CX-2009 License”). In December 2017, ImmunoGen exercised an option to obtain a development and commercialization license pursuant to the ImmunoGen Research Agreement (the “ImmunoGen 2017 License”) for a target, EpCAM. At the end of 2019, as a result of a strategic restructuring by ImmunoGen and its decision to out-license certain programs, we obtained a worldwide, exclusive, sublicensable license to the EpCAM conditionally activated ADC program from ImmunoGen (the “ImmunoGen 2019 License”) and the ImmunoGen 2017 license ended.</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ImmunoGen 2019 License, we gained worldwide development and commercialization rights to the EpCAM conditionally activated ADC program and, in return, we made an upfront payment of $7.5 million, and we will pay up to $35.0 million in certain clinical development milestones and up to $320.0 million in regulatory approval and commercial milestones payments, if achieved. Immunogen is also entitled to royalties on product sales ranging from the mid-to-high single digits percentages.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 Collaboration and License Agreement (the “Moderna Agreement”) with Moderna, pursuant to which the Company and Moderna will collaborate on the creation of mRNA-based conditionally-activated investigational therapies utilizing the Company's PROBODY® therapeutic platform and Moderna’s mRNA and lipid nanoparticle technologies. The collaboration will leverage core scientific advances at Moderna and the Company to open up the strategy of encoding potent, masked biologics through mRNA technologies, for the potential treatment of oncology and non-oncology conditions. The Company and Moderna will collaborate on a specified number of preclinical research and discovery programs (“Moderna Collaboration Programs”) within a specified period under the Collaboration and License Agreement.</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Under the Moderna Agreement, the Company granted Moderna an exclusive, worldwide, royalty-bearing license under certain Company intellectual property to develop, manufacture, commercialize and otherwise exploit certain products (“Moderna Licensed Products”) for all human and non-human diagnostic, prophylactic and therapeutic uses, subject to certain exceptions with respect to Licensed Products within certain Collaboration Programs.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Moderna Agreement, Moderna made an upfront payment to the Company of $35 million, including $5 million of pre-paid research funding. CytomX will continue to receive research funding and the Company will be eligible to receive future development, regulatory and commercial milestone payments of up to $1.2 billion for all Moderna Licensed Products in total under the Moderna Agreement. Moderna will pay the Company tiered royalties on global net sales of Moderna Licensed Products from high single digit to low-teen percentages, subject to certain reductions. Moderna's royalty obligations continue with respect to each country and each Product until the later of (i) the date on which such Licensed Product is no longer covered by certain patent rights, (ii) the 10th anniversary of the first commercial sale of such product in such country, and (iii) the loss of regulatory exclusivity for such Moderna Licensed Product in such country.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spacing w:after="0" w:line="282" w:lineRule="auto"/>
        <w:rPr>
          <w:sz w:val="20"/>
          <w:szCs w:val="20"/>
          <w:color w:val="auto"/>
        </w:rPr>
      </w:pPr>
      <w:r>
        <w:rPr>
          <w:rFonts w:ascii="Times New Roman" w:cs="Times New Roman" w:eastAsia="Times New Roman" w:hAnsi="Times New Roman"/>
          <w:sz w:val="18"/>
          <w:szCs w:val="18"/>
          <w:color w:val="auto"/>
        </w:rPr>
        <w:t>The Moderna Agreement also provides Moderna with a one-time option to participate in a future equity financing by the Company subject to certain terms, conditions and regulatory requirements.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Regeneron Pharmaceuticals,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and Regeneron entered into a Collaboration and License Agreement (the “Regeneron Agreement”) in November 2022, to collaborate on the creation of conditionally 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(“Regeneron Collaboration Programs”) with an option to include additional Collaboration Programs (“Additional Collaboration Program Option”).</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Regeneron Agreement, the Company granted Regeneron an exclusive, worldwide, royalty-bearing license under certain Company intellectual property to develop, manufacture, commercialize and otherwise exploit licensed products (“Regeneron Licensed Products”) for all human and non-human diagnostic, prophylactic and therapeutic uses in oncology.</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Regeneron is responsible for funding the cost of preclinical research and discovery activities of both parties for all Regeneron Licensed Products and for funding the cost of development, manufacture and commercialization of all Regeneron Licensed Products worldwide. Pursuant to the Regeneron Agreement, Regeneron made an upfront payment of $30.0 million to the Company. Upon the achievement of certain development and regulatory milestones and commercial milestones, the Company is eligible to receive milestone payments of up to approximately $0.8 billion for the initial Regeneron Collaboration Programs. In addition, the Company will receive research and development funding for the work related to the collaboration. If Regeneron exercises its Additional Collaboration Program Options, the Company would be eligible to receive additional upfront payments, development and regulatory milestones payments, and commercial milestone payments of up to approximately $1.2 billion in aggregate for the additional Regeneron Collaboration Programs, which amount is exclusive of the $0.8 billion for the initial Regeneron Collaboration Programs. The Company is also entitled to tiered royalties from high-single digit to low-teen percentage royalties from potential future sales, subject to certain reductions. Regeneron's royalty obligations continue with respect to each country and each Regeneron Licensed Product until the later of (i) the date on which such Regeneron Licensed Product is no longer covered by certain patent rights, (ii) the 10th anniversary of the first commercial sale of such product in such country, and (iii) the loss of regulatory exclusivity for such Regeneron Licensed Product in such country.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PROBODY therapeutic candidates are designed to be produced as fully recombinant biologic prodrugs. Our PROBODY therapeutic candidates are also designed to maintain the manufacturability benefits of biologics such as antibodies and leverage manufacturing process technologies used for biologics production in the industry.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date, we have generally been able to successfully manufacture our investigational product candidates including for CX-904, for our ongoing early-stage clinical trials with contract manufacturers. Our partner, Bristol Myers Squibb, has also been successful in independently manufacturing drug product for BMS-986249 and BMS-986288. However, the supply chain for the manufacturing of each of our product candidates is complicated and can involve many parties, including for CX-904, CX-2051 and CX-801.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and could result in substantial delay of our clinical trials. For example, beginning in October 2023, one of our contract manufacturers for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conduct later-stage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Additionally, in some cases, we may have to start late-stage trials with our earlier clinical trial drug product and later switch to the late-stage or commercial drug product in trial. In such cases,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and there can be no assurances that the changes we make to the drug product and manufacturing process will be successful or completed in a timely manner or that the FDA will not require additional development steps or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from UCSB</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$1.1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from ImmunoGen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ImmunoGen 2019 License, we gained rights to the EpCAM conditionally activated ADC program and, in return, we made an upfront payment of $7.5 million, and we will pay up to $35.0 million in certain clinical development milestones, and up to $320.0 million in regulatory approval and commercialization milestone payments, if achieved. Immunogen is also entitled to royalties on any product sales ranging from the mid-to-high single digits percentages.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CytomX is pioneering a new potential class of potent, anti-cancer biologic therapeutics – the PROBODY conditionally activated therapeutic platform. The biotechnology and biopharmaceutical industries, including the ADC and immuno-oncology subsectors,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ADC, TCE and immuno-oncology therapeutics, where competition is intense and rapidly evolving. These competitors generally fall within the following categories: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Masking and conditional activation: </w:t>
      </w:r>
      <w:r>
        <w:rPr>
          <w:rFonts w:ascii="Times New Roman" w:cs="Times New Roman" w:eastAsia="Times New Roman" w:hAnsi="Times New Roman"/>
          <w:sz w:val="18"/>
          <w:szCs w:val="18"/>
          <w:color w:val="auto"/>
        </w:rPr>
        <w:t>Several companies, including AbbVie, Adagene, Amgen, BioAtla, Halozyme Therapeutics, Harpoon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Roche, Sanofi, Takeda Pharmaceutical, Werewolf Therapeutics, Janux Therapeutics and Xilio Therapeutics are exploring, researching or developing antibody masking and/or conditional activation strategies, which could compete with our PROBODY platform.</w:t>
      </w:r>
    </w:p>
    <w:p>
      <w:pPr>
        <w:spacing w:after="0" w:line="17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Antibody-drug conjugates: </w:t>
      </w:r>
      <w:r>
        <w:rPr>
          <w:rFonts w:ascii="Times New Roman" w:cs="Times New Roman" w:eastAsia="Times New Roman" w:hAnsi="Times New Roman"/>
          <w:sz w:val="18"/>
          <w:szCs w:val="18"/>
          <w:color w:val="auto"/>
        </w:rPr>
        <w:t>Several large pharmaceutical companies, such as AbbVie, Daiichi Sankyo, Gilead Sciences, Pfizer, Roche, Merck and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are researching, developing, and in some cases, commercializing ADCs. In addition, numerous smaller companies have ongoing efforts in the space.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Cancer immunotherapies: </w:t>
      </w:r>
      <w:r>
        <w:rPr>
          <w:rFonts w:ascii="Times New Roman" w:cs="Times New Roman" w:eastAsia="Times New Roman" w:hAnsi="Times New Roman"/>
          <w:sz w:val="18"/>
          <w:szCs w:val="18"/>
          <w:color w:val="auto"/>
        </w:rPr>
        <w:t>Cancer immunotherapy is one of the most competitive and fastest growing segments of the pharmaceutical industry. Almost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large pharmaceutical company is developing or commercializing cancer immunotherapies, including Amgen, AstraZeneca, Bristol Myers Squibb, Celgene, GlaxoSmithKline, Merck, Novartis, Pfizer, Roche, and Sanofi. In addition, many large and mid-sized biotech companies such as BeiGene, Incyte, Nektar Therapeutics, and Alkermes have ongoing efforts in cancer immunotherapy. Numerous smaller companies are also working in this space.</w:t>
      </w:r>
    </w:p>
    <w:p>
      <w:pPr>
        <w:spacing w:after="0" w:line="17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T-cell engaging therapies: </w:t>
      </w:r>
      <w:r>
        <w:rPr>
          <w:rFonts w:ascii="Times New Roman" w:cs="Times New Roman" w:eastAsia="Times New Roman" w:hAnsi="Times New Roman"/>
          <w:sz w:val="18"/>
          <w:szCs w:val="18"/>
          <w:color w:val="auto"/>
        </w:rPr>
        <w:t>Several large pharmaceutics companies, such as Amgen, Novartis, and Roche, have on-going efforts in the field of T-cell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engagers. In addition, several mid-sized biotech companies such as MacroGenics and Xencor, as well as numerous smaller companies, including Janux Therapeutics, have ongoing efforts in TCEs.</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Cytokines: </w:t>
      </w:r>
      <w:r>
        <w:rPr>
          <w:rFonts w:ascii="Times New Roman" w:cs="Times New Roman" w:eastAsia="Times New Roman" w:hAnsi="Times New Roman"/>
          <w:sz w:val="18"/>
          <w:szCs w:val="18"/>
          <w:color w:val="auto"/>
        </w:rPr>
        <w:t>Several companies have ongoing efforts or molecules in development in the field of cytokines including Bristol Myers Squibb, ImmunityBio,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Jazz Pharmaceuticals, Merck, Nektar Therapeutics, Novartis, Sanofi, Werewolf Therapeutics, Xencor, and Xilio Therapeutics.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9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know-how and trade secrets relating to our PROBODY therapeutic technology, platform and product candidates. As of January 2024, our patent portfolio contains at least 250 granted patents (some of which are co-owned with a third party) and at least 400 pending patent applications (some of which are co-owned with a third party). We have exclusively licensed UCSB’s interest in the co-owned patent family covering PROBODY technology in the fields of therapeutics, in vivo diagnostics and prophylactics.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patents and patent applications include claims directed to our PROBODY platform technology, including PROBODY drug conjugates, bispecific and other multi-specific PROBODY therapeutics (including T-cell engaging bispecific PROBODY therapeutics), protease cleavable linkers, and cancer immunotherapy PROBODY therapeutics.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we have exclusively licensed a patent portfolio of patent families from UCSB patents and patent applications that cover compositions and methods related to screening for and identification of masks and protease-cleavable linkers that we have incorporated into our PROBODY therapeutics and may incorporate into future PROBODY therapeutics.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60"/>
        <w:spacing w:after="0" w:line="266" w:lineRule="auto"/>
        <w:rPr>
          <w:sz w:val="20"/>
          <w:szCs w:val="20"/>
          <w:color w:val="auto"/>
        </w:rPr>
      </w:pPr>
      <w:r>
        <w:rPr>
          <w:rFonts w:ascii="Times New Roman" w:cs="Times New Roman" w:eastAsia="Times New Roman" w:hAnsi="Times New Roman"/>
          <w:sz w:val="18"/>
          <w:szCs w:val="18"/>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currently issued patents will likely expire on dates ranging from 2028 to 2037, unless we receive patent term extension or adjustment as might be available under applicable law. If patents are issued on our pending patent applications, the resulting patents are projected to expire on dates ranging from 2028 to 2041,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U.S., the FDA regulates biologics under the Federal Food, Drug, and Cosmetic Act (“FDCA”) and the Public Health Service Act (“PHSA”), and their respective implementing regulations.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Approval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U.S. generally involves the following:</w:t>
      </w:r>
    </w:p>
    <w:p>
      <w:pPr>
        <w:spacing w:after="0" w:line="117" w:lineRule="exact"/>
        <w:rPr>
          <w:sz w:val="20"/>
          <w:szCs w:val="20"/>
          <w:color w:val="auto"/>
        </w:rPr>
      </w:pPr>
    </w:p>
    <w:p>
      <w:pPr>
        <w:ind w:left="1020" w:right="7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conducted according to good laboratory practices (“GLPs”),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ethics committee at each clinical site before the trial is commenced;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 and of potential inspections of selected clinical investigation sites to assess compliance with GCPs;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its particular labeled uses in the United States.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Studies</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while an IND is active and may affect one or more specific studies or all studies conducted under the IND.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GCPs. Clinical trials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completion. Some studies also include oversight by an independent group of qualified experts organized by the clinical study sponsor, generally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trials and completed clinical trial results to public registries.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2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jc w:val="both"/>
        <w:ind w:left="1020" w:right="2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product candidate is administered to a limited patient population with the specified disease or condition to identify possible adverse effects and safety risks, to preliminarily evaluate the efficacy of the product for specific targeted diseases and to determine dosage tolerance and optimal dosage.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product candidate is administered to an expanded patient population to further evaluate dosage, clinical efficacy and safety, generally at geographically dispersed clinical study sites. These studies are intended to establish the overall risk-benefit ratio of the product and provide an adequate basis for product approval.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Sponsors typically use the meeting at the end of Phase 2 to discuss their Phase 2 clinical results and present their plans for the pivotal Phase 3 clinical trial that they believe will support the approval of the new therapeutic.</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1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results of product development, including results from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application seeks an indication covered by an Orphan Drug Designation, where the fee would present a significant barrier to innovation, or where the applicant is a small business submitting its first human therapeutic application for review.</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w:t>
      </w:r>
    </w:p>
    <w:p>
      <w:pPr>
        <w:spacing w:after="0" w:line="18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An approval letter authorizes commercial marketing of the product with specific prescribing information for specific indications. A complete response letter generally describes all of the specific deficiencies in the BLA identified by the FDA. The deficiencies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20"/>
        <w:spacing w:after="0" w:line="266" w:lineRule="auto"/>
        <w:rPr>
          <w:sz w:val="20"/>
          <w:szCs w:val="20"/>
          <w:color w:val="auto"/>
        </w:rPr>
      </w:pPr>
      <w:r>
        <w:rPr>
          <w:rFonts w:ascii="Times New Roman" w:cs="Times New Roman" w:eastAsia="Times New Roman" w:hAnsi="Times New Roman"/>
          <w:sz w:val="18"/>
          <w:szCs w:val="18"/>
          <w:color w:val="auto"/>
        </w:rPr>
        <w:t>identified may be minor, for example, requiring labeling changes, or major, for example, requiring additional clinical trials. Additionally, the complete response letter may include recommended actions that the applicant might take to place a resubmitted application in a condition for approval. If a complete response letter is issued, the applicant may either resubmit the BLA, addressing all of the deficiencies identified in the letter, or withdraw the application.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and the FDA uses similar procedures in reviewing supplements as it does in reviewing original applications.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Companion Diagnostics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8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Even where a diagnostic is not considered a significant risk device, the sponsor must still follow abbreviated IDE regulations in connection with its use. According to FDA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Depending on the details of the study plan and subjects, a sponsor may seek to submit an IND alone, or both an IND and an IDE.</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0"/>
        <w:spacing w:after="0" w:line="266" w:lineRule="auto"/>
        <w:rPr>
          <w:sz w:val="20"/>
          <w:szCs w:val="20"/>
          <w:color w:val="auto"/>
        </w:rPr>
      </w:pPr>
      <w:r>
        <w:rPr>
          <w:rFonts w:ascii="Times New Roman" w:cs="Times New Roman" w:eastAsia="Times New Roman" w:hAnsi="Times New Roman"/>
          <w:sz w:val="18"/>
          <w:szCs w:val="18"/>
          <w:color w:val="auto"/>
        </w:rPr>
        <w:t>multiple laboratories. In addition, as part of the PMA review, the FDA will typically inspect the manufacturer’s facilities for compliance with the Quality System Regulation (“QSR”) which currently represents FDA’s GMP requirements for medical devices, and imposes elaborate testing, control, documentation and other quality assurance requirements.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w:t>
      </w:r>
    </w:p>
    <w:p>
      <w:pPr>
        <w:spacing w:after="0" w:line="22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application may be eligible for Priority Review. A BLA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 BLA is eligible for Priority Review if the product candidate has the potential to provide a significant improvement in the treatment, diagnosis or prevention of a serious disease or condition compared available products. Priority review designation means the FDA’s goal is to take action on the marketing application within six months of the 60-day filing date, compared to ten months under standard review.</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trials be underway prior to granting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FDA’s issuance of a written request does not obligate the sponsor to conduct the requested study.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ind w:right="380"/>
        <w:spacing w:after="0" w:line="256" w:lineRule="auto"/>
        <w:rPr>
          <w:sz w:val="20"/>
          <w:szCs w:val="20"/>
          <w:color w:val="auto"/>
        </w:rPr>
      </w:pPr>
      <w:r>
        <w:rPr>
          <w:rFonts w:ascii="Times New Roman" w:cs="Times New Roman" w:eastAsia="Times New Roman" w:hAnsi="Times New Roman"/>
          <w:sz w:val="18"/>
          <w:szCs w:val="18"/>
          <w:color w:val="auto"/>
        </w:rPr>
        <w:t>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entitles the applicant to incentives, which may include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 product candidate that has Orphan Drug Designation subsequently receives the first FDA approval for the disease or condition for which it has such designation, the product candidate is entitled to orphan product exclusivity, which means that the FDA may not approve any other applications to market the same product candidate for the same disease or condition for seven years, except under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determined to be safe, pure and potent.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6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380"/>
        <w:spacing w:after="0" w:line="282" w:lineRule="auto"/>
        <w:rPr>
          <w:sz w:val="20"/>
          <w:szCs w:val="20"/>
          <w:color w:val="auto"/>
        </w:rPr>
      </w:pPr>
      <w:r>
        <w:rPr>
          <w:rFonts w:ascii="Times New Roman" w:cs="Times New Roman" w:eastAsia="Times New Roman" w:hAnsi="Times New Roman"/>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62"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Medicare Part D coverage gap discount program, in which manufacturers had to offer 50% point-of-sale discounts, which, through subsequent legislative amendments, was increased to 70%,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starting in April 2013, and due to subsequent legislative amendments, will stay in effect through 2032, with the exception of a temporary suspension from May 1, 2020 through March 31, 2022, unless additional Congressional action is taken. On January 2, 2013, the American Taxpayer Relief Act of 2012 (the “ATRA”) was signed into law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eliminates the statutory Medicaid drug rebate cap, currently set at 100% of a drug’s average manufacturer price, beginning January 1, 2024.</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2025). The IRA permits the Secretary of the Department of Health and Human Services (HHS) to implement many of these provisions through guidance, as opposed to regulation, for the initial years. For that and other reasons, it is currently unclear how the IRA will be effectuated.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8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certain non-physician practitioners including physician assistants and nurse practitioners and teaching hospitals,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Origins and Team</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and chairman, Dr. Sean McCarthy, leads a team that draws on robust experience in all phases of product discovery, clinical development and commercialization. Our management team members have significant experience in oncology with previous experience at Amylin Pharmaceuticals, Catalyst Biosciences, Coherus BioSciences, Elan Phramaceuticals, Eli Lilly and Company, Exelixis, Genentech, Millennium, Novartis, Onyx Pharmaceuticals, Portola Pharmaceuticals, SGX, Xencor and other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December 31, 2023, we had 120 full-time employees and 2 part-time employees. Of these employees, 88 were primarily engaged in research and development activities.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were $77.7 million and $111.6 million for the years ended December 31, 2023 and 2022, respectively. Please see “Management’s Discussion and Analysis of Financial Condition and Results of Operations-Research and Development Expenses” for additional detail regarding our research and development activities.</w:t>
      </w:r>
    </w:p>
    <w:p>
      <w:pPr>
        <w:spacing w:after="0" w:line="1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www.cytomx.com</w:t>
      </w:r>
      <w:r>
        <w:rPr>
          <w:rFonts w:ascii="Times New Roman" w:cs="Times New Roman" w:eastAsia="Times New Roman" w:hAnsi="Times New Roman"/>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antibody product candidates, based on our proprietary biologic PROBODY® conditionally activated technology platform. Since our inception, we have devoted our resources to the development of PROBODY therapeutics. We have had significant operating losses since our inception. As of December 31, 2023 and 2022, we had an accumulated deficit of $723.4 million and $722.9 million, respectively. Substantially all of our losses have resulted from expenses incurred in connection with our research and development programs and from general and administrative costs associated with our operations.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have made it difficult for biotechnology companies to raise additional funds and may continue to do so. We cannot predict when or if market conditions will change.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cash equivalents and investments of $174.5 million. We believe that our existing capital resources will be sufficient to fund our planned operations into the second half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 including the ongoing patent infringement lawsuit brought by Vytacera against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in the near-term.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payments received under our collaboration agreements, including, more recently,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220"/>
        <w:spacing w:after="0" w:line="282" w:lineRule="auto"/>
        <w:rPr>
          <w:sz w:val="20"/>
          <w:szCs w:val="20"/>
          <w:color w:val="auto"/>
        </w:rPr>
      </w:pPr>
      <w:r>
        <w:rPr>
          <w:rFonts w:ascii="Times New Roman" w:cs="Times New Roman" w:eastAsia="Times New Roman" w:hAnsi="Times New Roman"/>
          <w:sz w:val="18"/>
          <w:szCs w:val="18"/>
          <w:color w:val="auto"/>
        </w:rPr>
        <w:t>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and ultimately commercialize such product candidates, or experience significant delays in doing so, our business will be materially harmed.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very early in our development efforts, including with CX-904 currently continuing in early-stage clinical development. We have submitted INDs for CX-2051 and CX-801, and are in the process of initiating Phase 1 clinical trials for each product candidate.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0"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32" w:lineRule="exact"/>
        <w:rPr>
          <w:sz w:val="20"/>
          <w:szCs w:val="20"/>
          <w:color w:val="auto"/>
        </w:rPr>
      </w:pPr>
    </w:p>
    <w:p>
      <w:pPr>
        <w:ind w:left="1020" w:right="5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right="100"/>
        <w:spacing w:after="0" w:line="256" w:lineRule="auto"/>
        <w:rPr>
          <w:sz w:val="20"/>
          <w:szCs w:val="20"/>
          <w:color w:val="auto"/>
        </w:rPr>
      </w:pPr>
      <w:r>
        <w:rPr>
          <w:rFonts w:ascii="Times New Roman" w:cs="Times New Roman" w:eastAsia="Times New Roman" w:hAnsi="Times New Roman"/>
          <w:sz w:val="18"/>
          <w:szCs w:val="18"/>
          <w:color w:val="auto"/>
        </w:rPr>
        <w:t>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in the near-term.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CX-904, CX-2051 and CX-801.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In March 2023, our collaboration partner, AbbVie decided to not advance CX-2029 into additional clinical studies and terminated the 2016 CD71 License and Collaboration Agreement. CytomX re-acquired full rights to CX-2029, however, in the fourth quarter of 2023, the Company decided to not to make any further significant investments in the solid tumor CX-2029 program in the near-term, but continues to have a strategic interest in the CD71 target, including next-generation approaches..</w:t>
      </w:r>
    </w:p>
    <w:p>
      <w:pPr>
        <w:spacing w:after="0" w:line="2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initiated a first-in-human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80"/>
        <w:spacing w:after="0" w:line="266" w:lineRule="auto"/>
        <w:rPr>
          <w:sz w:val="20"/>
          <w:szCs w:val="20"/>
          <w:color w:val="auto"/>
        </w:rPr>
      </w:pPr>
      <w:r>
        <w:rPr>
          <w:rFonts w:ascii="Times New Roman" w:cs="Times New Roman" w:eastAsia="Times New Roman" w:hAnsi="Times New Roman"/>
          <w:sz w:val="18"/>
          <w:szCs w:val="18"/>
          <w:color w:val="auto"/>
        </w:rPr>
        <w:t>Phase 1 clinical trial with CX-904 and, while we believe our preclinical studies indicate the potential to reach a favorable therapeutic index, clinical data will be necessary to specify an acceptable dose. We cannot provide assurance that we will reach an acceptable dose for CX-904 and similar risks will exist upon the initiation of clinical studies for CX-2051 and CX-801.</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Additionally, the Phase 2 clinical trial of BMS-986249 being conducted by Bristol Myers Squibb includes, and the Phase 2 clinical trial of BMS-986288, may include the administration of the product candidate at relatively high dosage levels, which could further exacerbate such risks. Any ongoing or future clinical trials of our product candidates, including those for CX-904, CX-2029, CX-2051 and CX-801, could face risks related to undesirable side effects, including unacceptable toxicity.</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2"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7" w:name="page38"/>
    <w:bookmarkEnd w:id="37"/>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CX-2029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and planned Phase 2 clinical trials,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9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will continue to conduct clinical trials and will contract with third-party manufacturers in foreign countries, including China, which could expose us to risks that could have a material adverse effect on the success of our business.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In addition, 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our CX-801 product candidate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 in January 2024, the U.S. House of Representatives introduced the BIOSECURE Act (H.R. 7085) and the Senate advance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CX-904,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right="420"/>
        <w:spacing w:after="0" w:line="282" w:lineRule="auto"/>
        <w:rPr>
          <w:sz w:val="20"/>
          <w:szCs w:val="20"/>
          <w:color w:val="auto"/>
        </w:rPr>
      </w:pPr>
      <w:r>
        <w:rPr>
          <w:rFonts w:ascii="Times New Roman" w:cs="Times New Roman" w:eastAsia="Times New Roman" w:hAnsi="Times New Roman"/>
          <w:sz w:val="18"/>
          <w:szCs w:val="18"/>
          <w:color w:val="auto"/>
        </w:rPr>
        <w:t>applicable regulations and guidelines. The delays associated with the verification of a new manufacturer could negatively affect our ability to develop product candidates in a timely manner or within budget.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CX-904, CX-2051 and CX-801 we will need to manufacture them in large quantities. There can be no assurance that we will not have future production failures, which could affect our ability to conduct our trials for CX-904 or any other clinical trial drug candidates, including CX-801 and CX-2051,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 for CX-904.</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ind w:right="40"/>
        <w:spacing w:after="0" w:line="251"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CD166, CD71 and other drug targets in both healthy and diseased tissues is still developing. As a result, we cannot provide any assurance that we will be able to successfully identify and advance any product candidates to target novel, difficult-to-drug targets.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we recently entered into a collaboration with Moderna for the development of mRNA based product candidates. We do not know whether our PROBODY platform will be able to successfully develop product candidates utilizing this mRNA technology.</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85" w:lineRule="exact"/>
        <w:rPr>
          <w:sz w:val="20"/>
          <w:szCs w:val="20"/>
          <w:color w:val="auto"/>
        </w:rPr>
      </w:pPr>
    </w:p>
    <w:p>
      <w:pPr>
        <w:ind w:left="1020" w:right="7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with respect to Amgen, CX-904;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left="1020" w:right="3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3" w:name="page44"/>
    <w:bookmarkEnd w:id="43"/>
    <w:p>
      <w:pPr>
        <w:spacing w:after="0" w:line="258" w:lineRule="auto"/>
        <w:rPr>
          <w:sz w:val="20"/>
          <w:szCs w:val="20"/>
          <w:color w:val="auto"/>
        </w:rPr>
      </w:pPr>
      <w:r>
        <w:rPr>
          <w:rFonts w:ascii="Times New Roman" w:cs="Times New Roman" w:eastAsia="Times New Roman" w:hAnsi="Times New Roman"/>
          <w:sz w:val="18"/>
          <w:szCs w:val="18"/>
          <w:color w:val="auto"/>
        </w:rPr>
        <w:t>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 Additionally, on March 6, 2024, Bristol Myers Squibb notified us that it would not continue the BMS-986288 program and we will not receive any milestone or other payments from them on this program.</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5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8"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220"/>
        <w:spacing w:after="0" w:line="258" w:lineRule="auto"/>
        <w:rPr>
          <w:sz w:val="20"/>
          <w:szCs w:val="20"/>
          <w:color w:val="auto"/>
        </w:rPr>
      </w:pPr>
      <w:r>
        <w:rPr>
          <w:rFonts w:ascii="Times New Roman" w:cs="Times New Roman" w:eastAsia="Times New Roman" w:hAnsi="Times New Roman"/>
          <w:sz w:val="18"/>
          <w:szCs w:val="18"/>
          <w:color w:val="auto"/>
        </w:rPr>
        <w:t>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60"/>
        <w:spacing w:after="0" w:line="258" w:lineRule="auto"/>
        <w:rPr>
          <w:sz w:val="20"/>
          <w:szCs w:val="20"/>
          <w:color w:val="auto"/>
        </w:rPr>
      </w:pPr>
      <w:r>
        <w:rPr>
          <w:rFonts w:ascii="Times New Roman" w:cs="Times New Roman" w:eastAsia="Times New Roman" w:hAnsi="Times New Roman"/>
          <w:sz w:val="18"/>
          <w:szCs w:val="18"/>
          <w:color w:val="auto"/>
        </w:rPr>
        <w:t>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40"/>
        <w:spacing w:after="0" w:line="256" w:lineRule="auto"/>
        <w:rPr>
          <w:sz w:val="20"/>
          <w:szCs w:val="20"/>
          <w:color w:val="auto"/>
        </w:rPr>
      </w:pPr>
      <w:r>
        <w:rPr>
          <w:rFonts w:ascii="Times New Roman" w:cs="Times New Roman" w:eastAsia="Times New Roman" w:hAnsi="Times New Roman"/>
          <w:sz w:val="18"/>
          <w:szCs w:val="18"/>
          <w:color w:val="auto"/>
        </w:rPr>
        <w:t>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diagnostics and prophylactics. In addition, we have exclusively licensed a patent portfolio of three patent families from UCSB that includes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1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7"/>
          <w:szCs w:val="17"/>
          <w:i w:val="1"/>
          <w:iCs w:val="1"/>
          <w:color w:val="auto"/>
        </w:rPr>
        <w:t>Association for Molecular Pathology v. Myriad Genetics, Inc</w:t>
      </w:r>
      <w:r>
        <w:rPr>
          <w:rFonts w:ascii="Times New Roman" w:cs="Times New Roman" w:eastAsia="Times New Roman" w:hAnsi="Times New Roman"/>
          <w:sz w:val="17"/>
          <w:szCs w:val="17"/>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ind w:right="80"/>
        <w:spacing w:after="0" w:line="258"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75" w:lineRule="exact"/>
        <w:rPr>
          <w:sz w:val="20"/>
          <w:szCs w:val="20"/>
          <w:color w:val="auto"/>
        </w:rPr>
      </w:pPr>
    </w:p>
    <w:p>
      <w:pPr>
        <w:ind w:left="1020" w:right="2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60"/>
        <w:spacing w:after="0" w:line="255" w:lineRule="auto"/>
        <w:rPr>
          <w:sz w:val="20"/>
          <w:szCs w:val="20"/>
          <w:color w:val="auto"/>
        </w:rPr>
      </w:pPr>
      <w:r>
        <w:rPr>
          <w:rFonts w:ascii="Times New Roman" w:cs="Times New Roman" w:eastAsia="Times New Roman" w:hAnsi="Times New Roman"/>
          <w:sz w:val="18"/>
          <w:szCs w:val="18"/>
          <w:color w:val="auto"/>
        </w:rPr>
        <w:t>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While the magistrate judge recommended to the judge in October 2023 that our motion to dismiss be approved, the judge for the litigation will have to make a ruling on the motion.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21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160"/>
        <w:spacing w:after="0" w:line="258" w:lineRule="auto"/>
        <w:rPr>
          <w:sz w:val="20"/>
          <w:szCs w:val="20"/>
          <w:color w:val="auto"/>
        </w:rPr>
      </w:pPr>
      <w:r>
        <w:rPr>
          <w:rFonts w:ascii="Times New Roman" w:cs="Times New Roman" w:eastAsia="Times New Roman" w:hAnsi="Times New Roman"/>
          <w:sz w:val="18"/>
          <w:szCs w:val="18"/>
          <w:color w:val="auto"/>
        </w:rPr>
        <w:t>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6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4"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4" w:name="page55"/>
    <w:bookmarkEnd w:id="54"/>
    <w:p>
      <w:pPr>
        <w:ind w:right="80"/>
        <w:spacing w:after="0" w:line="261" w:lineRule="auto"/>
        <w:rPr>
          <w:sz w:val="20"/>
          <w:szCs w:val="20"/>
          <w:color w:val="auto"/>
        </w:rPr>
      </w:pPr>
      <w:r>
        <w:rPr>
          <w:rFonts w:ascii="Times New Roman" w:cs="Times New Roman" w:eastAsia="Times New Roman" w:hAnsi="Times New Roman"/>
          <w:sz w:val="18"/>
          <w:szCs w:val="18"/>
          <w:color w:val="auto"/>
        </w:rPr>
        <w:t>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3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could be subject to labeling and other restrictions and market withdrawal and we may be subject to penalties if we fail to comply with regulatory requirements or experience unanticipated problems with our products.</w:t>
      </w:r>
    </w:p>
    <w:p>
      <w:pPr>
        <w:spacing w:after="0" w:line="6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9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 that are still developing.</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COVID-19 pandemic or emergence of other pandemics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21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eliminates the statutory Medicaid drug rebate cap, currently set at 100% of a drug’s average manufacturer price, beginning January 1, 2024. In August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right="140"/>
        <w:spacing w:after="0" w:line="282" w:lineRule="auto"/>
        <w:rPr>
          <w:sz w:val="20"/>
          <w:szCs w:val="20"/>
          <w:color w:val="auto"/>
        </w:rPr>
      </w:pPr>
      <w:r>
        <w:rPr>
          <w:rFonts w:ascii="Times New Roman" w:cs="Times New Roman" w:eastAsia="Times New Roman" w:hAnsi="Times New Roman"/>
          <w:sz w:val="18"/>
          <w:szCs w:val="18"/>
          <w:color w:val="auto"/>
        </w:rPr>
        <w:t>distribute our product candidates for which we obtain marketing approval. Restrictions under applicable federal and state healthcare laws and regulations, include the following:</w:t>
      </w:r>
    </w:p>
    <w:p>
      <w:pPr>
        <w:spacing w:after="0" w:line="54" w:lineRule="exact"/>
        <w:rPr>
          <w:sz w:val="20"/>
          <w:szCs w:val="20"/>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28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0" w:name="page61"/>
    <w:bookmarkEnd w:id="60"/>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t>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62" w:name="page63"/>
    <w:bookmarkEnd w:id="62"/>
    <w:p>
      <w:pPr>
        <w:ind w:right="100"/>
        <w:spacing w:after="0" w:line="255" w:lineRule="auto"/>
        <w:rPr>
          <w:sz w:val="20"/>
          <w:szCs w:val="20"/>
          <w:color w:val="auto"/>
        </w:rPr>
      </w:pPr>
      <w:r>
        <w:rPr>
          <w:rFonts w:ascii="Times New Roman" w:cs="Times New Roman" w:eastAsia="Times New Roman" w:hAnsi="Times New Roman"/>
          <w:sz w:val="18"/>
          <w:szCs w:val="18"/>
          <w:color w:val="auto"/>
        </w:rPr>
        <w:t>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provisions, the FDA may require a sponsor of a product seeking accelerated approval to have a confirmatory trial underway prior to such approval being granted.</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21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right="8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100"/>
        <w:spacing w:after="0" w:line="266" w:lineRule="auto"/>
        <w:rPr>
          <w:sz w:val="20"/>
          <w:szCs w:val="20"/>
          <w:color w:val="auto"/>
        </w:rPr>
      </w:pPr>
      <w:r>
        <w:rPr>
          <w:rFonts w:ascii="Times New Roman" w:cs="Times New Roman" w:eastAsia="Times New Roman" w:hAnsi="Times New Roman"/>
          <w:sz w:val="18"/>
          <w:szCs w:val="18"/>
          <w:color w:val="auto"/>
        </w:rPr>
        <w:t>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 longer be a “smaller reporting company” in 2024 and as a result we are or will be subject to certain enhanced disclosure requirements which will require us to incur significant expenses and expend time and resources.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no longer be a “smaller reporting company,” in 2024 and, as a result, we are or will be required to comply with various disclosure and compliance requirements that did not previously apply, such as the auditor attestation requirements of Section 404 of the Sarbanes-Oxley Act of 2002 (Section 404), the requirement that we hold a nonbinding advisory vote on executive compensation, the requirement to provide more detailed executive compensation disclosure and the reduction in the amount of time for filing our periodic and annual reports.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Select Market, or sanctions or investigations by the SEC or other regulatory authorities, which would require additional financial and management resources.</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not required to reflect the change in our smaller reporting company status and comply with the increased disclosure obligations until our quarterly report for the quarter ending March 31, 2024, the first quarter in our fiscal year ending December 31, 2024. We will need to reassess, as of June 30, 2024, whether we will continue to qualify as a large accelerated filer for filings beyond the fiscal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$1.07 and $35.00 per share. The market price for our common stock may be influenced by many factors, including the other risks described in this section titled “Risk Factors” and the following:</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8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18"/>
          <w:szCs w:val="18"/>
          <w:color w:val="auto"/>
        </w:rPr>
        <w:t>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2023, our executive officers, directors, holders of 5% or more of our capital stock based on publicly available filings made with the SEC and their respective affiliates beneficially owned approximately 23% of our outstanding common stock. In addition, in our July 2023 private placement, a certain holder of 5% or more of our capital stock acquired pre-funded warrants and accompanying Tranche Warrants to purchase shares of our common stock. Until exercised,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ind w:right="80"/>
        <w:spacing w:after="0" w:line="266" w:lineRule="auto"/>
        <w:rPr>
          <w:sz w:val="20"/>
          <w:szCs w:val="20"/>
          <w:color w:val="auto"/>
        </w:rPr>
      </w:pPr>
      <w:r>
        <w:rPr>
          <w:rFonts w:ascii="Times New Roman" w:cs="Times New Roman" w:eastAsia="Times New Roman" w:hAnsi="Times New Roman"/>
          <w:sz w:val="18"/>
          <w:szCs w:val="18"/>
          <w:color w:val="auto"/>
        </w:rPr>
        <w:t>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clinical trials, including clinical trial site initiation and patient enrollment, and financial condition.</w:t>
      </w:r>
    </w:p>
    <w:p>
      <w:pPr>
        <w:spacing w:after="0" w:line="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may continue to experience disruptions that could severely impact our business, research, including research for our partners or research of our partners, and clinical trials, including ongoing or planned clinical trials for CX-904, CX-2051 and CX-801, and clinical trials of our partners, including Bristol Myers Squibb. These disruptions and impacts may include:</w:t>
      </w:r>
    </w:p>
    <w:p>
      <w:pPr>
        <w:spacing w:after="0" w:line="7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or the clinical trials of our partners;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CX-904 or any other clinical trials, including CX-2051 and CX-801, we or our partners decide to initiate, including difficulties in recruiting clinical site investigators and clinical site staff;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COVID-19 or other pandemic disease;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be certain of any future impact of COVID-19 variants or other pandemics on clinical trial planning, or that site initiation, patient recruitment or other clinical trial activities for any of our product candidates will not continue to be delayed, discontinued or otherwise impacted.</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future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increased laboratory research activities to normal levels and we adopted a hybrid work from home model, there can be no assurance that we will be able to maintain current levels of such activity in another pandemic. Furthermore, China from time to time, including in March 2022, has implemented additional regional lockdowns which may continue to impact our ability to obtain some research and clinical trial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2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70" w:name="page71"/>
    <w:bookmarkEnd w:id="70"/>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COVID-19 continues to rapidly evolve, including with the discovery of new variants/mutations of the virus. The extent to which the COVID-19 or other pandemics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encounter unexpected difficulties, or incur unexpected costs, in connection with transition activities and integration efforts, which include:</w:t>
      </w:r>
    </w:p>
    <w:p>
      <w:pPr>
        <w:spacing w:after="0" w:line="9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1" w:name="page72"/>
    <w:bookmarkEnd w:id="71"/>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22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2" w:name="page73"/>
    <w:bookmarkEnd w:id="72"/>
    <w:p>
      <w:pPr>
        <w:ind w:right="80"/>
        <w:spacing w:after="0" w:line="258" w:lineRule="auto"/>
        <w:rPr>
          <w:sz w:val="20"/>
          <w:szCs w:val="20"/>
          <w:color w:val="auto"/>
        </w:rPr>
      </w:pPr>
      <w:r>
        <w:rPr>
          <w:rFonts w:ascii="Times New Roman" w:cs="Times New Roman" w:eastAsia="Times New Roman" w:hAnsi="Times New Roman"/>
          <w:sz w:val="18"/>
          <w:szCs w:val="18"/>
          <w:color w:val="auto"/>
        </w:rPr>
        <w:t>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or other international conflicts could adversely affect our business, financial condition, and results of operations.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2" w:lineRule="exact"/>
        <w:rPr>
          <w:sz w:val="20"/>
          <w:szCs w:val="20"/>
          <w:color w:val="auto"/>
        </w:rPr>
      </w:pPr>
    </w:p>
    <w:p>
      <w:pPr>
        <w:ind w:left="1020" w:right="1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3" w:name="page74"/>
    <w:bookmarkEnd w:id="73"/>
    <w:p>
      <w:pPr>
        <w:ind w:right="240"/>
        <w:spacing w:after="0" w:line="261" w:lineRule="auto"/>
        <w:rPr>
          <w:sz w:val="20"/>
          <w:szCs w:val="20"/>
          <w:color w:val="auto"/>
        </w:rPr>
      </w:pPr>
      <w:r>
        <w:rPr>
          <w:rFonts w:ascii="Times New Roman" w:cs="Times New Roman" w:eastAsia="Times New Roman" w:hAnsi="Times New Roman"/>
          <w:sz w:val="18"/>
          <w:szCs w:val="18"/>
          <w:color w:val="auto"/>
        </w:rPr>
        <w:t>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Risk Management and Strategy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that have access to our critical systems and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as necessary, regarding any material cybersecurity incidents, as well as any incidents with lesser impact potential.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management and, where applicable, external experts, as part of our efforts to keep the Board updated on topics that impact similarly-sized biopharmaceutical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including our Vice President, Information Technology, and senior information technology staff, collectively have more than 40 years of experience assessing and managing material risks from cybersecurity threats. The team has primary responsibility for our overall cybersecurity risk management program and supervises both our internal cybersecurity personnel and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retained external cybersecurity consultants. Our management team’s experience includes information systems architecture, operations, cybersecurity, data privacy protection, quality, and regulatory compliance experience.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On October 30, 2023, Magistrate Judge Burke issued a Report &amp; Recommendation that recommended granting CytomX’s motion to dismiss all counts of the complaint. In January 2024, the case was transferred to a new Judge and the case will remain stayed pending a ruling by the trial judge on the Magistrate’s Report &amp; Recommendation.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February 29, 2024, there were approximately 22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16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For a discussion related to the results of operations for 2022 compared to 2021, refer to Part II, Item 7, "Management's Discussion and Analysis of Financial Condition and Results of Operations - Comparison of Years Ended December 31, 2022 and 2021" in our Annual Report on Form 10-K for the year ended December 31, 2022 filed with the SEC on March 27,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focused on developing novel, conditionally activated biologics designed to be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vision is to transform lives with safer, more effective therapies with the goal to address major unmet needs in oncology.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potent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employing our leading, conditional activation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for our PROBODY platform in preclinical research in areas outside of oncology, including in our collaboration with Moderna.</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have utilized our PROBODY therapeutic platform to build a promising, broad pipeline of potential first-in-class and best-in-class clinical-stage molecules. These are CX-904, a conditionally activated, PROBODY® TCE, targeting the epidermal growth factor receptor (“EGFR”) on tumor cells and the CD3 receptor on T cells;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platform expertise and clinical learnings to optimize predicted therapeutic index and the clinical potential of these promising agents through tumor localized conditional activation.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Reinforcing our leadership in the field of conditional activation, in 2022 we advanced our first TCE into the clinic. CX-904,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 Backfilling of certain dose escalation cohorts has also been initiated and dose ranging continues. Initial Phase 1a data in EGFR positive solid tumors is expected in the second half of 2024. A decision to potentially expand into Phase 1b is also anticipated in 2024, which will be taken in conjunction with our partner, Amgen.</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pipeline also includes CX-2051, a wholly-owned conditionally activated, PROBODY ADC paired with a next-generation camptothecin payload and directed toward the epithelial cellular adhesion molecule (EpCAM). CX-2051 is licensed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right="480"/>
        <w:spacing w:after="0" w:line="266" w:lineRule="auto"/>
        <w:rPr>
          <w:sz w:val="20"/>
          <w:szCs w:val="20"/>
          <w:color w:val="auto"/>
        </w:rPr>
      </w:pPr>
      <w:r>
        <w:rPr>
          <w:rFonts w:ascii="Times New Roman" w:cs="Times New Roman" w:eastAsia="Times New Roman" w:hAnsi="Times New Roman"/>
          <w:sz w:val="18"/>
          <w:szCs w:val="18"/>
          <w:color w:val="auto"/>
        </w:rPr>
        <w:t>ImmunoGen.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IND for CX-2051 was cleared by the FDA in January 2024 and we expect Phase 1 clinical initiation in EpCAM expressing solid tumors, including CRC in the first half of 2024. The Phase 1 dose escalation design will follow a Bayesian Optimal Interval (BOIN) design and intended to demonstrate rapid clinical proof of concept and potentially move into dose expansion studies in 2025.</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Another wholly-owned emerging product candidate is CX-801, an interferon ("IFN") alpha-2b PROBODY.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cleared by the FDA in January 2024 and initiation of Phase 1 dose escalation in solid tumors including melanoma, renal, and head and neck squamous cell carcinoma is expected in the first half of 2024. In Phase 1 dose escalation, we will use a BOIN design to evaluate safety and signs of clinical activity for CX-801 and progress into combinations, where CX-801 has the potential to be cornerstone of therapy, including in combination with checkpoint inhibitors.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CX-2029 was previously developed in a global co-development collaboration with AbbVie. This program is intended to open a therapeutic window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 In March 2023, following the completion of the Phase 2 Study in squamous non-small cell lung cancer (“sqNSCLC”), head and neck squamous cell carcinoma (“HNSCC”), esophageal and gastro-esophageal junction (“E/GEJ”) cancers, AbbVie notified CytomX that it would not advance CX-2029 into additional clinical studies and terminated the 2016 CD71 License and Collaboration Agreement. CytomX re-acquired full rights to CX-2029 but does not currently have plans to make further significant investments in the solid tumor program in the near-term but continues to view CD71 as a target of strategic interest, including novel next-generation strategies.</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Praluzatamab ravtansine is our conditionally activated ADC directed toward CD166 which was previously evaluated in a three-arm Phase 2 study in patients with advanced human epidermal growth factor receptor 2 (“HER2”)-non-amplified breast cancer. Arms A and B examined praluzatamab ravtansine monotherapy in patients with hormone receptor-positive/HER2-non-amplified breast cancer and TNBC, respectively. Arm C studied praluzatamab ravtansine in combination with pacmilimab (CX-072), our wholly-owned PD-L1 inhibitor, in patients with TNBC. In July 2022, the Company disclosed topline data demonstrating praluzatamab ravtansine met the primary efficacy endpoint of confirmed objective response rate greater than 10 percent in hormone receptor-positive/HER2-non-amplified breast cancer. The confirmed objective response was 15% and demonstrated median progression-free survival of 2.6 months. Ocular and neuropathic toxicities were the most common treatment-related adverse events. Based on these data, the Company announced it would deprioritize further investment in praluzatamab ravtansine. The final Phase 2 study data in advanced breast cancer were presented at the San Antonio Breast Cancer Symposium in 2022.</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also continuously engaged in drug discovery efforts towards the generation of new clinical candidates across multiple modalities for the treatment of cancer, including additional ADCs, Cytokines, TCEs, and mRNAs reflecting the versatility of our PROBODY platform. We currently have more than 15 active drug discovery and/or development programs.</w:t>
      </w:r>
    </w:p>
    <w:p>
      <w:pPr>
        <w:spacing w:after="0" w:line="17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do not have any products approved for sale, and we continue to incur significant research and development and general administrative expenses related to our operations. As of December 31, 2023 and December 31, 2022, we had an accumulated deficit of $723.4 million and $722.9 million, respectively.</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spacing w:after="0" w:line="22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1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investments, and accretion of discounts or amortization of premiums on our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gains and losses resulting from changes to currency exchange rates.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state of California contested our tax position on revenue apportionment for upfront and milestone payments resulting from our collaboration and licensing agreements for the years 2017 and 2018. We received a proposed assessment in September 2023 and filed a protest to contest the proposed assessment in November 2023. We recorded an uncertain tax position of $3.9 million in long term liabilities for the proposed tax assessment, penalties and interest through December 31, 2023.</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changes to the Internal Revenue Code, the IRA imposes a 15% corporate alternative minimum tax on certain corporations and 1% excise tax on public company stock buybacks for tax years beginning after December 31, 2022. The Company does not expect these provisions to have a material impact.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(14,875 )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40,158</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 of $48.1 million for 2023 compared to 2022 was primarily due to:</w:t>
      </w:r>
    </w:p>
    <w:p>
      <w:pPr>
        <w:spacing w:after="0" w:line="117" w:lineRule="exact"/>
        <w:rPr>
          <w:sz w:val="20"/>
          <w:szCs w:val="20"/>
          <w:color w:val="auto"/>
        </w:rPr>
      </w:pPr>
    </w:p>
    <w:p>
      <w:pPr>
        <w:ind w:left="1020" w:right="4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BMS Agreement driven by higher percentage of completion of the existing and new targets selected in 2022;</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Regeneron Agreement and Moderna Agreement due to new preclinical studies that commenced during the current year;</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Astellas Agreement primarily driven by a $5.0 million clinical candidate milestone achieved in January 2023;</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Amgen Agreement driven by higher percentage of completion the CX-904 development in the current year primarily due to an increase in projected hours-to-completion in prior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AbbVie Agreement due to termination of the agreement in March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 incurred by product candidate (target):</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CX-904 (EGFRxCD3)</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Praluzatamab ravtansine, CX-2009 (CD166)</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(13,138 )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CX-2029 (CD71)</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(7,100 )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Pacmilimab, CX-072 (PD-L1)</w:t>
            </w:r>
          </w:p>
        </w:tc>
        <w:tc>
          <w:tcPr>
            <w:tcW w:w="8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(3,432 )</w:t>
            </w:r>
          </w:p>
        </w:tc>
      </w:tr>
      <w:tr>
        <w:trPr>
          <w:trHeight w:val="20"/>
        </w:trPr>
        <w:tc>
          <w:tcPr>
            <w:tcW w:w="6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external costs</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(13,269 )</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costs</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(20,700 )</w:t>
            </w:r>
          </w:p>
        </w:tc>
      </w:tr>
      <w:tr>
        <w:trPr>
          <w:trHeight w:val="20"/>
        </w:trPr>
        <w:tc>
          <w:tcPr>
            <w:tcW w:w="6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111,649</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(33,969 )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$34.0 million for 2023, compared to 2022 primarily driven by a decrease in personnel related expenses as a result of the workforce reduction in 2022, as well as winding down of laboratory contract services and clinical study activities related to the CX-2009 and CX-2029 programs, partially offset by an increase in laboratory contract services related to IND enabling activities for CX-2051 and CX-801 programs.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30,018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(12,831 )</w:t>
            </w:r>
          </w:p>
        </w:tc>
      </w:tr>
    </w:tbl>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$12.8 million for 2023, compared to 2022 primarily driven by a decrease in personnel related expenses as a result of the workforce reduction in 2022, reduced external vendor services, and lower building rent as a result of a partial sublease of the Company’s headquarters.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increased by $8.2 million during 2023 compared to 2022, primarily driven by higher interest rates in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FF0FC"/>
          </w:tcPr>
          <w:p>
            <w:pPr>
              <w:spacing w:after="0"/>
              <w:rPr>
                <w:sz w:val="21"/>
                <w:szCs w:val="21"/>
                <w:color w:val="auto"/>
              </w:rPr>
            </w:pP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$3.9 million tax provision represented the uncertain tax position related to the proposed assessment received from the state of California for the years 2017 and 2018, including penalties and interest through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of $174.5 million and an accumulated deficit of $723.4 million, compared to cash, cash equivalents and investments of $193.7 million and an accumulated deficit of $722.9 million as of December 31, 2022.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November 2022, we entered into a Collaboration and License Agreement with Regeneron Pharmaceuticals, Inc. (the “Regeneron Agreement”) to collaborate on preclinical research activities to discover and develop certain antibody compounds for the treatment of cancer using the Company’s PROBODY therapeutic technology. Pursuant to the Regeneron Agreement, we collected an upfront fee of $30.0 million. In December 2022, we entered into a Collaboration and License Agreement with ModernaTX, Inc. (the “Moderna Agreement”) to collaborate on discovery and preclinical research and development activities to create investigational messenger RNA (mRNA) based conditionally activated therapies using the Company’s PROBODY therapeutic technology. Pursuant to the Moderna Agreement, we collected an upfront fee and prepaid research funding of $35.0 million in January 2023.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 approximately $30.0 million.</w:t>
      </w:r>
    </w:p>
    <w:p>
      <w:pPr>
        <w:spacing w:after="0" w:line="22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July 13, 2022, we announced a restructuring plan to prioritize resources on our emerging pre-clinical and early clinical pipeline as well as our existing collaboration partnerships. The restructuring plan resulted in a reduction to our workforce by approximately 40%, and was substantially completed by the fourth quarter of 2022. We incurred aggregate restructuring charges of approximately $7.5 million, primarily related to one-time severance payments and other employee-related costs.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capital resources will be sufficient to fund operations into the second half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ectPr>
          <w:pgSz w:w="11900" w:h="16838" w:orient="portrait"/>
          <w:cols w:equalWidth="0" w:num="1">
            <w:col w:w="11240"/>
          </w:cols>
          <w:pgMar w:left="320" w:top="1413" w:right="339" w:bottom="1440" w:gutter="0" w:footer="0" w:header="0"/>
        </w:sect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4"/>
        </w:trPr>
        <w:tc>
          <w:tcPr>
            <w:tcW w:w="380" w:type="dxa"/>
            <w:vAlign w:val="bottom"/>
          </w:tcPr>
          <w:p>
            <w:pPr>
              <w:spacing w:after="0"/>
              <w:rPr>
                <w:sz w:val="14"/>
                <w:szCs w:val="14"/>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(56,035 )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(110,788 )</w:t>
            </w:r>
          </w:p>
        </w:tc>
      </w:tr>
      <w:tr>
        <w:trPr>
          <w:trHeight w:val="243"/>
        </w:trPr>
        <w:tc>
          <w:tcPr>
            <w:tcW w:w="380" w:type="dxa"/>
            <w:vAlign w:val="bottom"/>
          </w:tcPr>
          <w:p>
            <w:pPr>
              <w:spacing w:after="0"/>
              <w:rPr>
                <w:sz w:val="21"/>
                <w:szCs w:val="21"/>
                <w:color w:val="auto"/>
              </w:rPr>
            </w:pPr>
          </w:p>
        </w:tc>
        <w:tc>
          <w:tcPr>
            <w:tcW w:w="14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(150,674 )</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98,260</w:t>
            </w:r>
          </w:p>
        </w:tc>
        <w:tc>
          <w:tcPr>
            <w:tcW w:w="60" w:type="dxa"/>
            <w:vAlign w:val="bottom"/>
          </w:tcPr>
          <w:p>
            <w:pPr>
              <w:spacing w:after="0"/>
              <w:rPr>
                <w:sz w:val="21"/>
                <w:szCs w:val="2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21"/>
                <w:szCs w:val="21"/>
                <w:color w:val="auto"/>
              </w:rPr>
            </w:pP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(176,479</w:t>
            </w:r>
          </w:p>
        </w:tc>
        <w:tc>
          <w:tcPr>
            <w:tcW w:w="2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0" w:lineRule="exact"/>
        <w:rPr>
          <w:sz w:val="20"/>
          <w:szCs w:val="20"/>
          <w:color w:val="auto"/>
        </w:rPr>
      </w:pPr>
    </w:p>
    <w:p>
      <w:pPr>
        <w:sectPr>
          <w:pgSz w:w="11900" w:h="16838" w:orient="portrait"/>
          <w:cols w:equalWidth="0" w:num="2">
            <w:col w:w="7000" w:space="720"/>
            <w:col w:w="3520"/>
          </w:cols>
          <w:pgMar w:left="320" w:top="1413" w:right="33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cash used in operating activities was $56.0 million, which consisted of a net loss of $0.6 million and a net decrease of $62.4 million relating to the change of our net operating assets and liabilities, offset by non-cash charges of $7.0 million. The non-cash charges primarily consisted of $8.6 million in stock-based compensation, $3.7 million in non-cash lease expense and $2.1 million in depreciation and amortization, offset by $7.4 million in net accretion of discounts on our investments.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7" w:lineRule="exact"/>
        <w:rPr>
          <w:sz w:val="20"/>
          <w:szCs w:val="20"/>
          <w:color w:val="auto"/>
        </w:rPr>
      </w:pPr>
    </w:p>
    <w:p>
      <w:pPr>
        <w:ind w:left="1020" w:right="4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$89.0 million in deferred revenue resulting from the continued recognition of deferred revenue from existing and new customers;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$8.5 million in accounts payable, accrued and other long-term liabilities primarily due to decrease of payroll-related expenses, restructuring related expenses, and laboratory contract services; offset by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$32.6 million in cash flows from accounts receivable primarily related to the receipt of the $35.0 million upfront payment and prepaid research under the Moderna agreement entered into in December 2022.</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 million in cashflows from prepaid and other current assets primarily due to a decrease in advance payments to our third party manufacturing vendors and timing of payments.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cash used in operating activities was $110.8 million, which consisted of a net loss of $99.3 million and a net decrease of $30.7 million relating to the change of our net operating assets and liabilities, offset by non-cash charges of $19.2 million. The non-cash charges primarily consisted of $13.1 million in stock-based compensation, $3.4 million in non-cash lease expense and $2.7 million in depreciation, amortization, and impairment charges.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7" w:lineRule="exact"/>
        <w:rPr>
          <w:sz w:val="20"/>
          <w:szCs w:val="20"/>
          <w:color w:val="auto"/>
        </w:rPr>
      </w:pPr>
    </w:p>
    <w:p>
      <w:pPr>
        <w:ind w:left="1020" w:right="6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$35.2 million in accounts receivable primarily related to the upfront payment and prepaid research under the Moderna Agreement entered into in December 2022;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$9.8 million in accrued liabilities and accounts payable primarily due to timing of payments;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$2.3 million in cash flows from prepaid expenses and other current assets and other assets primarily due to increase in advance payments to our third-party manufacturing vendors and timing of payments;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$16.6 million in deferred revenue consisting of an increase of $69.6 million in deferred revenue related to new agreements with Regeneron and Moderna partially offset by a decrease of $53.0 million resulting from the continued recognition of deferred revenue from existing customers.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year ended December 31, 2023, cash provided by investing activities was $150.7 million, which consisted of $424.8 million used in the purchase of short-term investments and $0.8 million of capital expenditures used to purchase property and equipment, partially offset by $275.0 million in proceeds received upon the maturity of marketable securities.</w:t>
      </w:r>
    </w:p>
    <w:p>
      <w:pPr>
        <w:spacing w:after="0" w:line="311"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During year ended December 31, 2022, cash provided by investing activities was $98.3 million, which consisted of $100.0 million in proceeds received upon the maturity of short-term marketable securities, partially offset by $1.7 million of capital expenditures used to purchase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3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provided by financing activities consisted of $29.7 million of net proceeds from issuance of pre-funded warrants and warrants and $0.6 million of proceeds from the exercise of stock options and employee stock purchases under the employee stock purchase plan (“ESPP”).</w:t>
      </w:r>
    </w:p>
    <w:p>
      <w:pPr>
        <w:spacing w:after="0" w:line="20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cash provided by financing activities consisted of $0.6 million of proceeds from the exercise of stock options and employee stock purchases under the ESPP.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that become due within the next year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w:t>
            </w:r>
          </w:p>
        </w:tc>
      </w:tr>
      <w:tr>
        <w:trPr>
          <w:trHeight w:val="169"/>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2220" w:type="dxa"/>
            <w:vAlign w:val="bottom"/>
            <w:tcBorders>
              <w:top w:val="single" w:sz="8" w:color="auto"/>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r>
      <w:tr>
        <w:trPr>
          <w:trHeight w:val="236"/>
        </w:trPr>
        <w:tc>
          <w:tcPr>
            <w:tcW w:w="1420" w:type="dxa"/>
            <w:vAlign w:val="bottom"/>
          </w:tcPr>
          <w:p>
            <w:pPr>
              <w:spacing w:after="0"/>
              <w:rPr>
                <w:sz w:val="20"/>
                <w:szCs w:val="20"/>
                <w:color w:val="auto"/>
              </w:rPr>
            </w:pPr>
          </w:p>
        </w:tc>
        <w:tc>
          <w:tcPr>
            <w:tcW w:w="566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80" w:type="dxa"/>
            <w:vAlign w:val="bottom"/>
            <w:shd w:val="clear" w:color="auto" w:fill="CFF0FC"/>
          </w:tcPr>
          <w:p>
            <w:pPr>
              <w:spacing w:after="0"/>
              <w:rPr>
                <w:sz w:val="20"/>
                <w:szCs w:val="20"/>
                <w:color w:val="auto"/>
              </w:rPr>
            </w:pPr>
          </w:p>
        </w:tc>
      </w:tr>
      <w:tr>
        <w:trPr>
          <w:trHeight w:val="243"/>
        </w:trPr>
        <w:tc>
          <w:tcPr>
            <w:tcW w:w="1420" w:type="dxa"/>
            <w:vAlign w:val="bottom"/>
          </w:tcPr>
          <w:p>
            <w:pPr>
              <w:spacing w:after="0"/>
              <w:rPr>
                <w:sz w:val="21"/>
                <w:szCs w:val="21"/>
                <w:color w:val="auto"/>
              </w:rPr>
            </w:pPr>
          </w:p>
        </w:tc>
        <w:tc>
          <w:tcPr>
            <w:tcW w:w="566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Royalty obligations</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566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License maintenance fees</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FF0FC"/>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566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Milestone Payments </w:t>
            </w:r>
            <w:r>
              <w:rPr>
                <w:rFonts w:ascii="Times New Roman" w:cs="Times New Roman" w:eastAsia="Times New Roman" w:hAnsi="Times New Roman"/>
                <w:sz w:val="24"/>
                <w:szCs w:val="24"/>
                <w:color w:val="auto"/>
                <w:vertAlign w:val="superscript"/>
              </w:rPr>
              <w:t>(4)</w:t>
            </w:r>
          </w:p>
        </w:tc>
        <w:tc>
          <w:tcPr>
            <w:tcW w:w="4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80" w:type="dxa"/>
            <w:vAlign w:val="bottom"/>
          </w:tcPr>
          <w:p>
            <w:pPr>
              <w:spacing w:after="0"/>
              <w:rPr>
                <w:sz w:val="21"/>
                <w:szCs w:val="21"/>
                <w:color w:val="auto"/>
              </w:rPr>
            </w:pPr>
          </w:p>
        </w:tc>
      </w:tr>
      <w:tr>
        <w:trPr>
          <w:trHeight w:val="272"/>
        </w:trPr>
        <w:tc>
          <w:tcPr>
            <w:tcW w:w="1420" w:type="dxa"/>
            <w:vAlign w:val="bottom"/>
          </w:tcPr>
          <w:p>
            <w:pPr>
              <w:spacing w:after="0"/>
              <w:rPr>
                <w:sz w:val="23"/>
                <w:szCs w:val="23"/>
                <w:color w:val="auto"/>
              </w:rPr>
            </w:pPr>
          </w:p>
        </w:tc>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80" w:type="dxa"/>
            <w:vAlign w:val="bottom"/>
            <w:tcBorders>
              <w:bottom w:val="single" w:sz="8" w:color="CFF0FC"/>
            </w:tcBorders>
            <w:shd w:val="clear" w:color="auto" w:fill="CFF0FC"/>
          </w:tcPr>
          <w:p>
            <w:pPr>
              <w:spacing w:after="0"/>
              <w:rPr>
                <w:sz w:val="23"/>
                <w:szCs w:val="23"/>
                <w:color w:val="auto"/>
              </w:rPr>
            </w:pPr>
          </w:p>
        </w:tc>
      </w:tr>
      <w:tr>
        <w:trPr>
          <w:trHeight w:val="133"/>
        </w:trPr>
        <w:tc>
          <w:tcPr>
            <w:tcW w:w="1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-128270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-111125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ind w:right="340" w:firstLine="8"/>
        <w:spacing w:after="0" w:line="223" w:lineRule="auto"/>
        <w:tabs>
          <w:tab w:leader="none" w:pos="509"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 lease our current facility under a long-term operating lease, which expires in 2026. The lease provides us with one option to extend the lease term for a period of five years at the then fair market rental value.</w:t>
      </w:r>
    </w:p>
    <w:p>
      <w:pPr>
        <w:spacing w:after="0" w:line="1" w:lineRule="exact"/>
        <w:rPr>
          <w:rFonts w:ascii="Times New Roman" w:cs="Times New Roman" w:eastAsia="Times New Roman" w:hAnsi="Times New Roman"/>
          <w:sz w:val="24"/>
          <w:szCs w:val="24"/>
          <w:color w:val="auto"/>
          <w:vertAlign w:val="superscript"/>
        </w:rPr>
      </w:pPr>
    </w:p>
    <w:p>
      <w:pPr>
        <w:jc w:val="both"/>
        <w:ind w:right="100" w:firstLine="8"/>
        <w:spacing w:after="0" w:line="234" w:lineRule="auto"/>
        <w:tabs>
          <w:tab w:leader="none" w:pos="509"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9 - “License Agreement" in the accompanying Notes to the financial statements for more information. Sublicense fees payable to UCSB for potential milestones that are probable to be earned by the Company in 2024 are not included.</w:t>
      </w:r>
    </w:p>
    <w:p>
      <w:pPr>
        <w:spacing w:after="0" w:line="2" w:lineRule="exact"/>
        <w:rPr>
          <w:rFonts w:ascii="Times New Roman" w:cs="Times New Roman" w:eastAsia="Times New Roman" w:hAnsi="Times New Roman"/>
          <w:sz w:val="24"/>
          <w:szCs w:val="24"/>
          <w:color w:val="auto"/>
          <w:vertAlign w:val="superscript"/>
        </w:rPr>
      </w:pPr>
    </w:p>
    <w:p>
      <w:pPr>
        <w:ind w:right="640" w:firstLine="8"/>
        <w:spacing w:after="0" w:line="232" w:lineRule="auto"/>
        <w:tabs>
          <w:tab w:leader="none" w:pos="509"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We have annual license maintenance fees under the terms of certain license agreement with UCSB and SGEN. See Part II. Item 8. Financial Statements and Supplementary Data, Note 9 - “License Agreement” in the accompanying Notes to the financial statements for more information.</w:t>
      </w:r>
    </w:p>
    <w:p>
      <w:pPr>
        <w:ind w:right="140" w:firstLine="8"/>
        <w:spacing w:after="0" w:line="221" w:lineRule="auto"/>
        <w:tabs>
          <w:tab w:leader="none" w:pos="509"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 have development milestone payments under the terms of certain license agreements. A development milestone is payable after dosing the first patient in a Phase 1 Clinical Study, which we expect to occur in 2024.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$2.3 million as of December 31, 2023 related to uncertain tax position which would affect the Company’s effective tax rate if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our arrangements with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right="20"/>
        <w:spacing w:after="0" w:line="282" w:lineRule="auto"/>
        <w:rPr>
          <w:sz w:val="20"/>
          <w:szCs w:val="20"/>
          <w:color w:val="auto"/>
        </w:rPr>
      </w:pPr>
      <w:r>
        <w:rPr>
          <w:rFonts w:ascii="Times New Roman" w:cs="Times New Roman" w:eastAsia="Times New Roman" w:hAnsi="Times New Roman"/>
          <w:sz w:val="18"/>
          <w:szCs w:val="18"/>
          <w:color w:val="auto"/>
        </w:rPr>
        <w:t>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To date, we have concluded that these contingent payments should be fully constrained until the conditions are met.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As of December 31, 2023, no sales-based milestones have been recognized.</w:t>
      </w:r>
    </w:p>
    <w:p>
      <w:pPr>
        <w:spacing w:after="0" w:line="2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Most of our collaboration arrangements are related to delivering a combined performance obligation satisfied over time. Revenue is recognized over the estimated research period using an input measure based on our actual full-time employee ("FTE") hours incurred as a percentage of projected FTE hours for completing the performance obligation. We evaluate the measure of progress each reporting period and, if necessary, we adjust the measure of performance and related revenue recognition. There have been changes in estimates of research service periods and/or the related estimated FTE hours-to-completion of certain of our research development programs in each reporting period. For example, changes in our estimated research service period resulted in recognition of higher total revenue of $8.2 million for certain programs in aggregate and lower total revenue of $6.0 million for other programs in aggregate, in the fourth quarter of 2023, as compared to the estimates in place at the end of the third quarter of 2023. Such adjustments have impacted and will continue to impact the amounts and timing of our revenue recognized.</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consideration payable to our customers is treated as a reduction to the transaction price and revenue, unless the payment to the customer is in exchange for distinct good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6" w:name="page87"/>
    <w:bookmarkEnd w:id="86"/>
    <w:p>
      <w:pPr>
        <w:ind w:right="80"/>
        <w:spacing w:after="0" w:line="254" w:lineRule="auto"/>
        <w:rPr>
          <w:sz w:val="20"/>
          <w:szCs w:val="20"/>
          <w:color w:val="auto"/>
        </w:rPr>
      </w:pPr>
      <w:r>
        <w:rPr>
          <w:rFonts w:ascii="Times New Roman" w:cs="Times New Roman" w:eastAsia="Times New Roman" w:hAnsi="Times New Roman"/>
          <w:sz w:val="18"/>
          <w:szCs w:val="18"/>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For example, during the three and nine months ended September 30, 2023, we recorded a $0.7 million credit upon final reconciliation of the CX-072 clinical trial and a $0.6 million credit in closing out certain activities of the CX-2009 clinical trial. Changes in these estimates that result in material changes to our accruals could materially affect our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file income taxes in the U.S. federal jurisdiction, the state of California and various other U.S. states. The state of California contested our tax position on revenue apportionment for upfront and milestone payments resulting from our collaboration and licensing agreements for the years 2017 and 2018. In September 2023, we received a Notice of Proposed Assessment (“NOPA”) from the Franchise Tax Board. We recorded an uncertain tax position of $3.9 million in long term liabilities for the proposed tax assessment, penalties and interest through December 31, 2023. Additional utilization of carryforward attributes and indirect federal tax effects of the assessment would result in a reduction in deferred tax assets of $5.1 million. We filed a protest to contest the proposed assessment in November 2023. Due to the ongoing nature of the examination and discussions with the state of California, we are unable to estimate a date by which this matter will be resolved.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or the Exchange Act, and are not required to provide the information under this item.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INDEX TO AUDITED FINANCIAL STATEMENTS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42)</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87</w:t>
            </w:r>
          </w:p>
        </w:tc>
        <w:tc>
          <w:tcPr>
            <w:tcW w:w="20" w:type="dxa"/>
            <w:vAlign w:val="bottom"/>
          </w:tcPr>
          <w:p>
            <w:pPr>
              <w:spacing w:after="0"/>
              <w:rPr>
                <w:sz w:val="17"/>
                <w:szCs w:val="17"/>
                <w:color w:val="auto"/>
              </w:rPr>
            </w:pPr>
          </w:p>
        </w:tc>
      </w:tr>
      <w:tr>
        <w:trPr>
          <w:trHeight w:val="507"/>
        </w:trPr>
        <w:tc>
          <w:tcPr>
            <w:tcW w:w="20" w:type="dxa"/>
            <w:vAlign w:val="bottom"/>
          </w:tcPr>
          <w:p>
            <w:pPr>
              <w:spacing w:after="0"/>
              <w:rPr>
                <w:sz w:val="24"/>
                <w:szCs w:val="24"/>
                <w:color w:val="auto"/>
              </w:rPr>
            </w:pPr>
          </w:p>
        </w:tc>
        <w:tc>
          <w:tcPr>
            <w:tcW w:w="5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Balance Sheets</w:t>
            </w:r>
          </w:p>
        </w:tc>
        <w:tc>
          <w:tcPr>
            <w:tcW w:w="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Stockholders’ Deficit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20" w:type="dxa"/>
            <w:vAlign w:val="bottom"/>
          </w:tcPr>
          <w:p>
            <w:pPr>
              <w:spacing w:after="0"/>
              <w:rPr>
                <w:sz w:val="19"/>
                <w:szCs w:val="19"/>
                <w:color w:val="auto"/>
              </w:rPr>
            </w:pPr>
          </w:p>
        </w:tc>
      </w:tr>
      <w:tr>
        <w:trPr>
          <w:trHeight w:val="682"/>
        </w:trPr>
        <w:tc>
          <w:tcPr>
            <w:tcW w:w="460" w:type="dxa"/>
            <w:vAlign w:val="bottom"/>
            <w:gridSpan w:val="2"/>
          </w:tcPr>
          <w:p>
            <w:pPr>
              <w:spacing w:after="0"/>
              <w:rPr>
                <w:sz w:val="24"/>
                <w:szCs w:val="24"/>
                <w:color w:val="auto"/>
              </w:rPr>
            </w:pPr>
          </w:p>
        </w:tc>
        <w:tc>
          <w:tcPr>
            <w:tcW w:w="2140" w:type="dxa"/>
            <w:vAlign w:val="bottom"/>
            <w:tcBorders>
              <w:top w:val="single" w:sz="8" w:color="0000FF"/>
            </w:tcBorders>
            <w:gridSpan w:val="3"/>
          </w:tcPr>
          <w:p>
            <w:pPr>
              <w:spacing w:after="0"/>
              <w:rPr>
                <w:sz w:val="24"/>
                <w:szCs w:val="24"/>
                <w:color w:val="auto"/>
              </w:rPr>
            </w:pPr>
          </w:p>
        </w:tc>
        <w:tc>
          <w:tcPr>
            <w:tcW w:w="8100" w:type="dxa"/>
            <w:vAlign w:val="bottom"/>
            <w:gridSpan w:val="4"/>
          </w:tcPr>
          <w:p>
            <w:pPr>
              <w:jc w:val="right"/>
              <w:ind w:right="4980"/>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right="3160" w:firstLine="3551"/>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CytomX Therapeutics,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CytomX Therapeutics, Inc. (the Company) as of December 31, 2023 and 2022, the related statements of operations and comprehensive loss, stockholders' deficit and cash flows for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40" w:right="4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300"/>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revenue and collaboration agreements</w:t>
      </w:r>
    </w:p>
    <w:p>
      <w:pPr>
        <w:spacing w:after="0" w:line="14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recorded revenue from collaboration agreements of $101.2 million for the year ended December 31, 2023. As described in Note 2 to the financial statements,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Auditing the Company’s accounting for revenue from collaboration agreements was complex and required significant judgments primarily in identifying which elements represent distinct performance obligations, determining the measurement and allocation of arrangement consideration, and evaluating estimates of the total expected inputs under the input method for revenue recognized over time.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test the accounting treatment for revenue from collaboration agreements, our audit procedures included, among others, whether the identified performance obligations were properly determined, and the transaction price was properly measured and allocated to the identified performance obligations. To test the measurement of efforts toward satisfying the performance obligation, our audit procedures included, among others, testing a sample of cash receipts, reviewing management’s analysis for accuracy and completeness by agreeing data to the underlying contract, inspecting research or steering committee minutes, testing the application of the input method for the recognition of revenue, including testing the estimated total inputs and actual inputs incurred.</w:t>
      </w:r>
    </w:p>
    <w:p>
      <w:pPr>
        <w:spacing w:after="0" w:line="553" w:lineRule="exact"/>
        <w:rPr>
          <w:sz w:val="20"/>
          <w:szCs w:val="20"/>
          <w:color w:val="auto"/>
        </w:rPr>
      </w:pPr>
    </w:p>
    <w:p>
      <w:pPr>
        <w:sectPr>
          <w:pgSz w:w="11900" w:h="16838" w:orient="portrait"/>
          <w:cols w:equalWidth="0" w:num="2">
            <w:col w:w="2040" w:space="260"/>
            <w:col w:w="8920"/>
          </w:cols>
          <w:pgMar w:left="320" w:top="995" w:right="35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March 11,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237,102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 current portion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152,608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249,239</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346,642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 $0.00001 par value; 10,000,000 shares authorized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$0.00001 par value; 150,000,000 shares authorized, and 67,310,838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66,228,046 shares issued and outstanding at December 31, 2023 and 2022,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637,117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(723,448 )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(722,879 )</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(47,447 )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(85,751 )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260,891</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-3745230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(101,335 )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(99,317 )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(569 )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(99,317 )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investments, net of tax</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(99,065 )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net loss per share, basic and 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65,739,844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-2059940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-2059940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-799465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4860" w:type="dxa"/>
            <w:vAlign w:val="bottom"/>
          </w:tcPr>
          <w:p>
            <w:pPr>
              <w:spacing w:after="0"/>
              <w:rPr>
                <w:sz w:val="19"/>
                <w:szCs w:val="19"/>
                <w:color w:val="auto"/>
              </w:rPr>
            </w:pPr>
          </w:p>
        </w:tc>
        <w:tc>
          <w:tcPr>
            <w:tcW w:w="174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ive</w:t>
            </w:r>
          </w:p>
        </w:tc>
        <w:tc>
          <w:tcPr>
            <w:tcW w:w="14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ed</w:t>
            </w: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Income/(Los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60" w:type="dxa"/>
            <w:vAlign w:val="bottom"/>
          </w:tcPr>
          <w:p>
            <w:pPr>
              <w:spacing w:after="0"/>
              <w:rPr>
                <w:sz w:val="19"/>
                <w:szCs w:val="19"/>
                <w:color w:val="auto"/>
              </w:rPr>
            </w:pPr>
          </w:p>
        </w:tc>
        <w:tc>
          <w:tcPr>
            <w:tcW w:w="11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65,392,758</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$ 623,344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(623,562 )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(459 )</w:t>
            </w: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Employee Stock Purchase Plan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405,192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(99,317 )</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(99,317 )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66,228,046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637,117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(722,879 )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(85,751 )</w:t>
            </w: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675,864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Employee Stock Purchase Plan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406,928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pre-funded warrants and warrants, net of issuance cost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(569 )</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(569 )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67,310,838</w:t>
            </w:r>
          </w:p>
        </w:tc>
        <w:tc>
          <w:tcPr>
            <w:tcW w:w="2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$ 675,905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(723,448 )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(47,447 )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-179705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-179705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-179705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-179705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-179705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09"/>
        </w:trPr>
        <w:tc>
          <w:tcPr>
            <w:tcW w:w="78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(569 )</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(99,317 )</w:t>
            </w:r>
          </w:p>
        </w:tc>
      </w:tr>
      <w:tr>
        <w:trPr>
          <w:trHeight w:val="23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loss on machinery and equipment</w:t>
            </w:r>
          </w:p>
        </w:tc>
        <w:tc>
          <w:tcPr>
            <w:tcW w:w="8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(7,419 )</w:t>
            </w:r>
          </w:p>
        </w:tc>
        <w:tc>
          <w:tcPr>
            <w:tcW w:w="8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(52 )</w:t>
            </w:r>
          </w:p>
        </w:tc>
      </w:tr>
      <w:tr>
        <w:trPr>
          <w:trHeight w:val="22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(35,196 )</w:t>
            </w:r>
          </w:p>
        </w:tc>
      </w:tr>
      <w:tr>
        <w:trPr>
          <w:trHeight w:val="220"/>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(3,181 )</w:t>
            </w:r>
          </w:p>
        </w:tc>
      </w:tr>
      <w:tr>
        <w:trPr>
          <w:trHeight w:val="239"/>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(56 )</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(1,426 )</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(7,041 )</w:t>
            </w:r>
          </w:p>
        </w:tc>
        <w:tc>
          <w:tcPr>
            <w:tcW w:w="8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(9,784 )</w:t>
            </w:r>
          </w:p>
        </w:tc>
      </w:tr>
      <w:tr>
        <w:trPr>
          <w:trHeight w:val="220"/>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8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(89,011 )</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220" w:type="dxa"/>
            <w:vAlign w:val="bottom"/>
          </w:tcPr>
          <w:p>
            <w:pPr>
              <w:spacing w:after="0"/>
              <w:rPr>
                <w:sz w:val="19"/>
                <w:szCs w:val="19"/>
                <w:color w:val="auto"/>
              </w:rPr>
            </w:pPr>
          </w:p>
        </w:tc>
      </w:tr>
      <w:tr>
        <w:trPr>
          <w:trHeight w:val="23"/>
        </w:trPr>
        <w:tc>
          <w:tcPr>
            <w:tcW w:w="7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(56,035 )</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5"/>
              </w:rPr>
              <w:t>(110,788 )</w:t>
            </w:r>
          </w:p>
        </w:tc>
      </w:tr>
      <w:tr>
        <w:trPr>
          <w:trHeight w:val="221"/>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3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(840 )</w:t>
            </w:r>
          </w:p>
        </w:tc>
        <w:tc>
          <w:tcPr>
            <w:tcW w:w="8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(1,740 )</w:t>
            </w:r>
          </w:p>
        </w:tc>
      </w:tr>
      <w:tr>
        <w:trPr>
          <w:trHeight w:val="220"/>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8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(424,834 )</w:t>
            </w:r>
          </w:p>
        </w:tc>
        <w:tc>
          <w:tcPr>
            <w:tcW w:w="8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short term investments</w:t>
            </w:r>
          </w:p>
        </w:tc>
        <w:tc>
          <w:tcPr>
            <w:tcW w:w="8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(150,674 )</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98,260</w:t>
            </w:r>
          </w:p>
        </w:tc>
        <w:tc>
          <w:tcPr>
            <w:tcW w:w="220" w:type="dxa"/>
            <w:vAlign w:val="bottom"/>
          </w:tcPr>
          <w:p>
            <w:pPr>
              <w:spacing w:after="0"/>
              <w:rPr>
                <w:sz w:val="19"/>
                <w:szCs w:val="19"/>
                <w:color w:val="auto"/>
              </w:rPr>
            </w:pPr>
          </w:p>
        </w:tc>
      </w:tr>
      <w:tr>
        <w:trPr>
          <w:trHeight w:val="23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pre-funded warrants and warrants, net of issuance cost</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8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Pr>
          <w:p>
            <w:pPr>
              <w:spacing w:after="0"/>
              <w:rPr>
                <w:sz w:val="19"/>
                <w:szCs w:val="19"/>
                <w:color w:val="auto"/>
              </w:rPr>
            </w:pPr>
          </w:p>
        </w:tc>
      </w:tr>
      <w:tr>
        <w:trPr>
          <w:trHeight w:val="23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5"/>
              </w:rPr>
              <w:t>(176,479 )</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(11,880 )</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194,567</w:t>
            </w: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206,447</w:t>
            </w:r>
          </w:p>
        </w:tc>
        <w:tc>
          <w:tcPr>
            <w:tcW w:w="220" w:type="dxa"/>
            <w:vAlign w:val="bottom"/>
          </w:tcPr>
          <w:p>
            <w:pPr>
              <w:spacing w:after="0"/>
              <w:rPr>
                <w:sz w:val="19"/>
                <w:szCs w:val="19"/>
                <w:color w:val="auto"/>
              </w:rPr>
            </w:pPr>
          </w:p>
        </w:tc>
      </w:tr>
      <w:tr>
        <w:trPr>
          <w:trHeight w:val="26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194,567</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17"/>
        </w:trPr>
        <w:tc>
          <w:tcPr>
            <w:tcW w:w="7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items: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0"/>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liabilities</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8"/>
                <w:szCs w:val="18"/>
                <w:color w:val="auto"/>
              </w:rPr>
            </w:pP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-2250440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-2250440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-1658620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-1658620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-1058545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-1058545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-450215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-433070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-450215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-433070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developing potent biologics designed to be preferentially localized to tumors.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in highly rated money market funds and its short-term investments in U.S. Treasury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determined that it has one business activity and operates as one operating segment as it only reports financial information on an aggregate basis to its Chief Executive Officer and Principal Financial Officer, who are the Company’s chief operating decision makers. All long-lived assets are maintained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amounts shown in the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60" w:type="dxa"/>
            <w:vAlign w:val="bottom"/>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8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193,650</w:t>
            </w: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r>
      <w:tr>
        <w:trPr>
          <w:trHeight w:val="281"/>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4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All investments have been classified as available-for-sale (“AFS”) and are carried at fair value as determined based upon quoted market prices or pricing models for similar securities at period end. Investments that are required for use in current operations and that mature in less than 12 months are classified as short-term investments in the accompanying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200" w:lineRule="exact"/>
        <w:rPr>
          <w:sz w:val="20"/>
          <w:szCs w:val="20"/>
          <w:color w:val="auto"/>
        </w:rPr>
      </w:pPr>
    </w:p>
    <w:p>
      <w:pPr>
        <w:spacing w:after="0" w:line="20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8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80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Shorter of remaining lease term or estimated life of the assets</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when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2023 and 2022.</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During the year ended December 31, 2023, there was no impairment of long-lived assets. During the year ended December 31, 2022, the Company recorded an impairment loss of $0.3 million related to certain machinery and equipment.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stockholders’ equity (deficit) except those resulting from distributions to stockholders. The Company’s non-credit related unrealized gains and losses on investments during the period represent the component of other comprehensive income (loss) that is excluded from the reported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payment awards, including employee stock options, restricted stock units ("RSUs"), and employee stock purchases related to Employee Stock Purchase Plan ("ESPP") based on estimated fair values of the award at the grant date, and recognizes compensation expense over the requisite service vesting period. Stock options forfeitures are accounted for in the period in which they occur.</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 determine the fair value of a stock option award on the grant date, the Company uses the Black-Scholes option pricing model which consist of estimating variables such as the following. These estimates involve inherent uncertainties and the application of judgment.</w:t>
      </w:r>
    </w:p>
    <w:p>
      <w:pPr>
        <w:spacing w:after="0" w:line="16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period that the stock options are expected to remain outstanding and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historical exercise experience with previously issued employee and board of directors' option grants. The expected term of the ESPP shares is equal to the six-month look-back period.</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stock options is based on the historical stock price volatility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estimated expected term of the stock awards. Volatility for ESPP shares is equal to the Company’s historical volatility over a six-month offering period.</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 expected term of the stock options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expected dividend is assumed to be zero as the Company has never paid dividends and has no current plan to pay any dividends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measures its restricted stock unit awards based on the market price of the Company’s common shares on the date of grant. Share-based compensation expense for performance-based awards is recognized when it becomes probable that the performance condition will be met. The Company reassesses the estimated probability at each reporting period, and if it is determined at a future date that a performance condition is probable of being achieved, the Company will recognize a cumulative catch-up adjustment and record the remaining expense ratably over the remaining requisite service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2023, the Company continues to maintain a full valuation allowance against all of its deferred tax assets.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Interest and/or penalties related to income tax matters are recognized as a component of income tax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loss per share is the same as basic net loss per share since the effect of the potentially dilutive securities is anti-dilutive.</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for the years ended December 31, 2023 and 2022 are calculated as follows (in thousands, except share and per share data):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(569 )</w:t>
            </w:r>
          </w:p>
        </w:tc>
        <w:tc>
          <w:tcPr>
            <w:tcW w:w="22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(99,317 )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66,655,971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65,739,844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7,152,266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and diluted net</w:t>
            </w:r>
          </w:p>
        </w:tc>
        <w:tc>
          <w:tcPr>
            <w:tcW w:w="240" w:type="dxa"/>
            <w:vAlign w:val="bottom"/>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73,808,237</w:t>
            </w:r>
          </w:p>
        </w:tc>
        <w:tc>
          <w:tcPr>
            <w:tcW w:w="14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65,739,844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3"/>
                <w:szCs w:val="23"/>
                <w:color w:val="auto"/>
              </w:rPr>
            </w:pPr>
          </w:p>
        </w:tc>
        <w:tc>
          <w:tcPr>
            <w:tcW w:w="122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(0.01 )</w:t>
            </w:r>
          </w:p>
        </w:tc>
        <w:tc>
          <w:tcPr>
            <w:tcW w:w="220" w:type="dxa"/>
            <w:vAlign w:val="bottom"/>
          </w:tcPr>
          <w:p>
            <w:pPr>
              <w:spacing w:after="0"/>
              <w:rPr>
                <w:sz w:val="23"/>
                <w:szCs w:val="23"/>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-350520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-334010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8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16510</wp:posOffset>
            </wp:positionV>
            <wp:extent cx="2871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13,805,472</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14,292,729</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5,675,167</w:t>
            </w:r>
          </w:p>
        </w:tc>
        <w:tc>
          <w:tcPr>
            <w:tcW w:w="280" w:type="dxa"/>
            <w:vAlign w:val="bottom"/>
          </w:tcPr>
          <w:p>
            <w:pPr>
              <w:spacing w:after="0"/>
              <w:rPr>
                <w:sz w:val="20"/>
                <w:szCs w:val="20"/>
                <w:color w:val="auto"/>
              </w:rPr>
            </w:pP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1,820,589</w:t>
            </w:r>
          </w:p>
        </w:tc>
        <w:tc>
          <w:tcPr>
            <w:tcW w:w="2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21,301,228</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15,493,787</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 or short-term investments.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7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Level II</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157,243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95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175,269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95</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7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Level I</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Level II</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95,574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remaining contractual terms of the U.S. Treasury securities are less than a year.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(14,688 )</w:t>
            </w:r>
          </w:p>
        </w:tc>
        <w:tc>
          <w:tcPr>
            <w:tcW w:w="5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(14,373 )</w:t>
            </w:r>
          </w:p>
        </w:tc>
      </w:tr>
      <w:tr>
        <w:trPr>
          <w:trHeight w:val="236"/>
        </w:trPr>
        <w:tc>
          <w:tcPr>
            <w:tcW w:w="674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Borders>
              <w:top w:val="single" w:sz="8" w:color="CFF0FC"/>
            </w:tcBorders>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-505460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$2.0 million and $2.3 million for the years ended December 31,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intangible asset is being amortized over the estimated lives of the patents which average 12 years. The amortization expense for each of the years ended December 31, 2023 and 2022 was $0.1 million.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41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r>
      <w:tr>
        <w:trPr>
          <w:trHeight w:val="264"/>
        </w:trPr>
        <w:tc>
          <w:tcPr>
            <w:tcW w:w="41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PROBODY platform intangible asset</w:t>
            </w:r>
          </w:p>
        </w:tc>
        <w:tc>
          <w:tcPr>
            <w:tcW w:w="45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shd w:val="clear" w:color="auto" w:fill="CFF0FC"/>
          </w:tcPr>
          <w:p>
            <w:pPr>
              <w:spacing w:after="0"/>
              <w:rPr>
                <w:sz w:val="23"/>
                <w:szCs w:val="23"/>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23"/>
                <w:szCs w:val="23"/>
                <w:color w:val="auto"/>
              </w:rPr>
            </w:pPr>
          </w:p>
        </w:tc>
      </w:tr>
      <w:tr>
        <w:trPr>
          <w:trHeight w:val="23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(875 )</w:t>
            </w:r>
          </w:p>
        </w:tc>
      </w:tr>
      <w:tr>
        <w:trPr>
          <w:trHeight w:val="276"/>
        </w:trPr>
        <w:tc>
          <w:tcPr>
            <w:tcW w:w="4160" w:type="dxa"/>
            <w:vAlign w:val="bottom"/>
            <w:tcBorders>
              <w:bottom w:val="single" w:sz="8" w:color="CFF0FC"/>
            </w:tcBorders>
            <w:shd w:val="clear" w:color="auto" w:fill="CFF0FC"/>
          </w:tcPr>
          <w:p>
            <w:pPr>
              <w:spacing w:after="0"/>
              <w:rPr>
                <w:sz w:val="24"/>
                <w:szCs w:val="24"/>
                <w:color w:val="auto"/>
              </w:rPr>
            </w:pPr>
          </w:p>
        </w:tc>
        <w:tc>
          <w:tcPr>
            <w:tcW w:w="35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06"/>
        </w:trPr>
        <w:tc>
          <w:tcPr>
            <w:tcW w:w="4160" w:type="dxa"/>
            <w:vAlign w:val="bottom"/>
          </w:tcPr>
          <w:p>
            <w:pPr>
              <w:spacing w:after="0"/>
              <w:rPr>
                <w:sz w:val="24"/>
                <w:szCs w:val="24"/>
                <w:color w:val="auto"/>
              </w:rPr>
            </w:pPr>
          </w:p>
        </w:tc>
        <w:tc>
          <w:tcPr>
            <w:tcW w:w="35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-899160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96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2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26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Collaboration and License Agreements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7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96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2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bottom w:val="single" w:sz="8" w:color="auto"/>
            </w:tcBorders>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101,214</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-2373630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Ireland Unlimited Company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 The Company was to assume 35% of the net profits or net losses related to later development and commercialization unless it opted-out. Under the Agreement, if the Company was to opt-out from participation of co-development of the CD71 conditionally activated ADC, which included CX-2029, AbbVie would have had the sole right and responsibility for the further development, manufacturing and commercialization of such CD71 conditionally activated ADC.</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CD71 Agreement, the Company has received in aggregate $100.0 million in upfront and milestone payments. AbbVie had entered into a license agreement with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that it would evaluate the potential next steps for CX-2029 following the decision from AbbVie, to not advance CX-2029 into additional clinical studies. As a result of AbbVie’s decision, the 2016 CD71 License and Collaboration Agreement has been terminated and the Company re-acquired full rights to CX-2029. The Company has completed the performance obligation under the CD71 Agreement as of March 31, 2023 and recognized the related remaining deferred revenue of $4.0 million in the first quarter of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terms of the Discovery Agreement, AbbVie received exclusive worldwide rights to develop and commercialize conditionally activated ADCs against up to two targets, one of which was selected in March 2017. AbbVie had the option to select a second target in exchange for a $10.0 million payment. The Company concluded that, at the inception of the agreement, AbbVie’s option to select the additional target was not a material right and did not represent a performance obligation of the agreement and would be accounted for as a separate arrangement upon exercise.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Discovery Agreement, the Company received an upfront payment of $10.0 million for the first target in April 2016 and subsequently received an additional $10.0 million payment triggered by selection of the second target by AbbVie in June 2019. The second target was selected under the Discovery Agreement that allowed AbbVie to select a target for developing a conditionally activated ADC or a PROBODY antibody. In December 2022, the Company completed the performance obligation for the second target earlier than the original research term projected to end in 2024 and recorded a cumulative change in estimate of $4.4 million. In December 2022, the research on the two discovery targets under the Discovery Agreement concluded with no plans to advance the discovery targets into clinical studies or to pursue new programs. The Discovery Agreement was also terminated in March 2023 by AbbVie and all target rights have reverted back to CytomX.</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AbbVie Agreements should be combined and evaluated as a single arrangement in determining revenue recognition, because both agreements were concurrently negotiated and executed. Therefore, the Company concluded that there were two distinct performance obligations:</w:t>
      </w:r>
    </w:p>
    <w:p>
      <w:pPr>
        <w:spacing w:after="0" w:line="81" w:lineRule="exact"/>
        <w:rPr>
          <w:sz w:val="20"/>
          <w:szCs w:val="20"/>
          <w:color w:val="auto"/>
        </w:rPr>
      </w:pPr>
    </w:p>
    <w:p>
      <w:pPr>
        <w:ind w:left="1020" w:right="4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CD71 Agreement performance obligation consisting of the CD71 Agreement research, development and commercialization license, related research services and participation in the joint research committee,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Agreement performance obligation consisting of the Discovery Agreement research, development and commercialization license, related research services and participation in the joint research committee.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total transaction price for the Discovery Agreement and CD71 Agreement, collectively, upon adoption of ASC 606 on January 1, 2018 of $39.8 million consisted of $30.0 million in upfront payments, and a $14.0 million milestone payment received under the CD71 Agreement (net of the payment of an associated sublicense fee of $1.0 million to SGEN), less $4.2 million of estimated sublicense fees. The upfront payments under the AbbVie Agreements were allocated between the two performance obligations based on the estimated relative standalone selling prices. The $30.0 million of upfront payments was allocated $20.0 million to the CD71 Agreement, with the remaining $10.0 million allocated to the Discovery Agreement. The $14.0 million milestone payment received (net of the payment of an associated sublicense fee of $1.0 million to SGEN) and the estimated sublicense fees of $4.2 million were allocated to the CD71 Agreement performance obligation as they are directly related to the development of the CX-2029.</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Therefore, of the $39.8 million total initial transaction price discussed above, the Company allocated $29.8 million to the CD71 Agreement performance obligation and $10.0 million to the Discovery Agreement performance obligation and recognized revenue using an input measure for each performance obligation. In applying the input method, revenue is recognized based on actual full time employee ("FTE") hours incurred as a percentage of total estimated FTE hours for completing the combined performance obligation over the estimated service period. The Company evaluated the measure of progress each reporting period and, if necessary, adjusted the measure of performance and related revenue recognition.</w:t>
      </w:r>
    </w:p>
    <w:p>
      <w:pPr>
        <w:spacing w:after="0" w:line="22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updated the transaction price for the CD71 Agreement performance obligation in May 2018, to include achievement of the $21.0 million milestone (net of the payment of an associated sublicense fee of $4.0 million to SGEN) and a revenue adjustment of $9.9 million was recognized in the second quarter of 2018 reflecting the percentage completed to-date on the project related to this milestone. The transaction price was updated again in March 2020 upon achievement of the $40.0 million milestone related to satisfaction of the CD71 dose escalation success criteria and $26.6 million was recognized as revenue related to this milestone reflecting the percentage completed to-date on the project as of March 2020.</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deferred revenue related to the CD71 Agreement performance obligation was zero and $4.0 million respectively, and there were no deferred revenues related to the Discovery Agreement performance obligation,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May 2023, CytomX and Amgen executed an amendment to the Amgen Agreement to extend the target selection period for Amgen to select its additional targets for research and development as further discussed below.</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w:t>
      </w:r>
    </w:p>
    <w:p>
      <w:pPr>
        <w:spacing w:after="0" w:line="1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Amgen also has the right to select a total of up to three targets, including the two additional targets discussed below. The Company and Amgen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and this program is currently in preclinical development.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each of the EGFR Products and the Amgen Other Products, the Company determined that the respective promised goods and services identified, which are the research, development and commercialization license; the related research and development services and the participation in the joint steering committee and joint research committee, are not distinct. Therefore the identified promised goods and services were combined into one single performance obligation for each of the EGFR Product and the Amgen Other Products.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Furthermore,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using the input method and, if necessary, adjusts the measure of performance and related revenue recognition.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fully constrained due to the uncertainty in achieving them as of December 31, 2023.</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Of the $51.2 million total transaction price, the Company allocated $46.4 million to the EGFR Products performance obligation and $4.8 million to the Amgen Other Product performance obligations. The transaction price of each performance obligation was recognized using an input measure. In applying the input method of revenue recognition, the Company uses actual FTE hours incurred relative to estimated total FTE hours expected to be incurred for each combined performance obligation over the research service period. At the end of the second quarter of 2019, the Company determined that it would undertake additional testing and assessment of the molecules being evaluated under the EGFR project. As a result, the estimated FTE hours-to-completion and research service period related to the EGFR project were increased to eight years. In the second quarter of 2020, the Company completed the clinical candidate characterization phase and moved into the IND-enabling phase earlier than planned. As a result, the estimated FTE hours-to-completion and research service period related to the EGFR project were decreased from eight to approximately seven years. In the third quarter of 2022, the FDA initiated Project Optimus which is aimed to reform the dose optimization and dose selection paradigm. As a result, the estimated FTE hours-to-completion and research service period were increased by approximately an additional year.</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$4.8 million transaction price allocated to the Amgen Other Product performance obligation is recognized using estimated FTE hours-to-completion over the estimated research service period of six years.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deferred revenue related to the EGFR Products performance obligation was $12.8 million and $18.0 million, respectively. As of December 31, 2023 and 2022, deferred revenue related to the Amgen Other Products performance obligation was zero and $0.6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-903605</wp:posOffset>
            </wp:positionV>
            <wp:extent cx="28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The Company is also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license and expertise related to the development of product candidates should be combined with the research and development services and participation in the joint research committee as one combined performance obligation for each collaboration target. The Company concluded, that at the inception of the agreement, Astellas’ Expansion Option for Additional Targets were not material rights and therefore not considered performance obligations. As such, each option would have been accounted for as a separate arrangement upon exercise.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initial transaction price of $103.2 million consists of the upfront fee of $80.0 million and estimated research and development fees of $23.2 million. The transaction price was allocated between the four performance obligations based on the relative standalone selling price of each performance obligation, which was deemed to be equal at the inception of the agreement. The Company determined that all potential milestone payments are constrained as of December 31, 2023 due to the significant uncertainty of achievement.</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transaction price, as allocated to the combined performance obligation for each target, is recognized using an input measure. In applying the input method of revenue recognition, the Company uses actual FTE hours incurred relative to estimated total FTE hours expected to be incurred over the estimated research service period of each target.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January 2023, the Company announced that it achieved a clinical candidate milestone under the Astellas Agreement which triggered a $5.0 million milestone payment to the Company. The $5.0 million milestone payment was fully recognized in the first quarter of 2023 as the Company had completed its related performance obligation of the collaboration target which resulted in the clinical candidate nomination for further development.</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deferred revenue relating to the Astellas Agreement was $31.0 million and $44.5 million, respectively. The amount due from Astellas under the Astellas Agreement was $2.2 million and $1.0 million as of December 31,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related to contract modifications upon adoption of ASC 606 and combined the original agreement and Amendment 1. The Company determined that the identified promised goods and services which include the exclusive research, development and commercialization license, the related research services and expertise for the development of the product candidates should be combined with the participation in the joint research committee as one combined performance obligation for each collaboration target. The Company also concluded that, at the inception of the agreement, Bristol Myers Squibb’s options for the third and fourth targets were material rights and performance obligations. As such, the material rights were accounted for as part of the initial transaction price.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received an upfront payment of $50.0 million from Bristol Myers Squibb in July 2014. In January and December 2016, Bristol Myers Squibb exercised the option to select the third and fourth targets,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 In applying the input method of revenue recognition, the Company uses actual FTE hours incurred relative to estimated total FTE hours expected to be incurred for each combined performance obligation over the estimated research service period of each collaboration target.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Bristol Myers Squibb terminated pre-clinical activities on three of the first four collaboration targets selected under the original 2014 BMS Agreement. The Company determined that upon the termination of pre-clinical activities on the three collaboration targets, it has no further obligations related to such targets. The Company accounted for the termination of the three targets as a modification and the related remaining unrecognized transaction price was reallocated to the remaining performance obligations. The Company continues to be obligated to perform research work under Amendment 1 executed in March 2017.</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as the Company had completed its performance obligation related to this collaboration target.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 As of December 31, 2023, the Company was eligible for up to approximately $2.1 billion in contingent payments for development, regulatory and sales milestones based on the ongoing collaboration projects, including for the CTLA-4 program, with BMS.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-582930</wp:posOffset>
            </wp:positionV>
            <wp:extent cx="285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6, 2024, following a Bristol Myers Squibb corporate portfolio prioritization process, Bristol Myers Squibb notified CytomX that it does not intend to continue the development of BMS-986288 beyond the current Phase 2 study and terminated its work on the CTLA-4 target under the collaboration. As of March 6, 2024, CytomX is eligible to receive approximately $1.8 billion in contingent payments for development, regulatory and sales milestones for the ongoing collaboration programs.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on December 31, 2023. As of December 31, 2023, the Company has received in aggregate $297.0 million in upfront and milestone payments under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deferred revenue relating to the BMS Agreement was $119.9 million and $169.2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provided Moderna with an option to participate in an equity financing by CytomX at market price, subject to certain terms, conditions and regulatory requirements.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the exclusive research, development and commercialization license, research services, and participation in the joint steering committee. The initial transaction price is $51.7 million, consisting of the upfront fee of $30.0 million and estimated research funding of $21.7 million from Moderna.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transaction price at the contract inception was allocated among the performance obligations using the SSP of each performance obligation, which was determined to be equal due to the early stage of the collaboration programs. The transaction price allocated to the collaboration programs is recognized using an input method. In applying the input measure of revenue recognition, the Company uses actual FTE hours incurred relative to estimated total FTE hours expected to be incurred for the respective collaboration program over an estimated service period of four years.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deferred revenue relating to the Moderna Agreement was $24.2 million and $35.0 million, respectively. The amount due from Moderna under the Moderna Agreement was $0 and $35.0 million as of December 31, 2023 and December 31, 2022,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an exclusive research, development and commercialization license, research and development services and participation in the joint research committee. The Company concluded that at the inception of the agreement, Regeneron’s Additional Collaboration Program Option did not include material rights and therefore was not a performance obligation. As such, each option will be accounted for as a separate arrangement upon exercise. The initial transaction price is $39.2 million consisting of the upfront fee of $30.0 million and estimated research and development service fees of $9.2 million.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2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transaction price was allocated among the performance obligations using the SSP of each performance obligation, which was determined to be equal at the inception of the agreement. The transaction price allocated to each performance obligation is recognized using an input measure. In applying the input measure of revenue recognition, the Company uses actual FTE hours incurred relative to estimated total FTE hours expected to be incurred for the combined performance obligation over the estimated research service period of four years, which is projected to end in November 2026.</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deferred revenue relating to the Regeneron Agreement was $24.4 million and $30.0 million, respectively. The amount due from Regeneron under the Regeneron Agreement was $1.1 million and $0 million as of December 31, 2023 and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for the years ended in December 31, 2023 and 2022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1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16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12/31/2021</w:t>
            </w:r>
          </w:p>
        </w:tc>
        <w:tc>
          <w:tcPr>
            <w:tcW w:w="3720" w:type="dxa"/>
            <w:vAlign w:val="bottom"/>
          </w:tcPr>
          <w:p>
            <w:pPr>
              <w:spacing w:after="0"/>
              <w:rPr>
                <w:sz w:val="20"/>
                <w:szCs w:val="20"/>
                <w:color w:val="auto"/>
              </w:rPr>
            </w:pPr>
          </w:p>
        </w:tc>
        <w:tc>
          <w:tcPr>
            <w:tcW w:w="3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w:t>
            </w:r>
          </w:p>
        </w:tc>
        <w:tc>
          <w:tcPr>
            <w:tcW w:w="6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3720" w:type="dxa"/>
            <w:vAlign w:val="bottom"/>
          </w:tcPr>
          <w:p>
            <w:pPr>
              <w:spacing w:after="0"/>
              <w:rPr>
                <w:sz w:val="20"/>
                <w:szCs w:val="20"/>
                <w:color w:val="auto"/>
              </w:rPr>
            </w:pP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(52,989 )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12/31/2022</w:t>
            </w:r>
          </w:p>
        </w:tc>
        <w:tc>
          <w:tcPr>
            <w:tcW w:w="3720" w:type="dxa"/>
            <w:vAlign w:val="bottom"/>
            <w:shd w:val="clear" w:color="auto" w:fill="CFF0FC"/>
          </w:tcPr>
          <w:p>
            <w:pPr>
              <w:spacing w:after="0"/>
              <w:rPr>
                <w:sz w:val="20"/>
                <w:szCs w:val="20"/>
                <w:color w:val="auto"/>
              </w:rPr>
            </w:pPr>
          </w:p>
        </w:tc>
        <w:tc>
          <w:tcPr>
            <w:tcW w:w="3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301,326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3720" w:type="dxa"/>
            <w:vAlign w:val="bottom"/>
            <w:shd w:val="clear" w:color="auto" w:fill="CFF0FC"/>
          </w:tcPr>
          <w:p>
            <w:pPr>
              <w:spacing w:after="0"/>
              <w:rPr>
                <w:sz w:val="21"/>
                <w:szCs w:val="21"/>
                <w:color w:val="auto"/>
              </w:rPr>
            </w:pPr>
          </w:p>
        </w:tc>
        <w:tc>
          <w:tcPr>
            <w:tcW w:w="3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(95,449 )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12/31/2023</w:t>
            </w:r>
          </w:p>
        </w:tc>
        <w:tc>
          <w:tcPr>
            <w:tcW w:w="3720" w:type="dxa"/>
            <w:vAlign w:val="bottom"/>
            <w:tcBorders>
              <w:top w:val="single" w:sz="8" w:color="CFF0FC"/>
            </w:tcBorders>
          </w:tcPr>
          <w:p>
            <w:pPr>
              <w:spacing w:after="0"/>
              <w:rPr>
                <w:sz w:val="20"/>
                <w:szCs w:val="20"/>
                <w:color w:val="auto"/>
              </w:rPr>
            </w:pPr>
          </w:p>
        </w:tc>
        <w:tc>
          <w:tcPr>
            <w:tcW w:w="3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212,315</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72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107</w:t>
            </w:r>
          </w:p>
        </w:tc>
        <w:tc>
          <w:tcPr>
            <w:tcW w:w="3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expects that the $212.3 million of deferred revenue related to the following contracts as of December 31, 2023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72" w:lineRule="exact"/>
        <w:rPr>
          <w:sz w:val="20"/>
          <w:szCs w:val="20"/>
          <w:color w:val="auto"/>
        </w:rPr>
      </w:pPr>
    </w:p>
    <w:p>
      <w:pPr>
        <w:ind w:left="1400" w:hanging="509"/>
        <w:spacing w:after="0"/>
        <w:tabs>
          <w:tab w:leader="none" w:pos="14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$12.8 million of deferred revenue related to the Amgen EGFR Products is expected to be recognized until 2026.</w:t>
      </w:r>
    </w:p>
    <w:p>
      <w:pPr>
        <w:spacing w:after="0" w:line="117" w:lineRule="exact"/>
        <w:rPr>
          <w:rFonts w:ascii="Times New Roman" w:cs="Times New Roman" w:eastAsia="Times New Roman" w:hAnsi="Times New Roman"/>
          <w:sz w:val="18"/>
          <w:szCs w:val="18"/>
          <w:color w:val="auto"/>
        </w:rPr>
      </w:pPr>
    </w:p>
    <w:p>
      <w:pPr>
        <w:ind w:left="1400" w:hanging="509"/>
        <w:spacing w:after="0"/>
        <w:tabs>
          <w:tab w:leader="none" w:pos="14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$31.0 million of deferred revenue related to the Astellas Agreement is expected to be recognized until 2026.</w:t>
      </w:r>
    </w:p>
    <w:p>
      <w:pPr>
        <w:spacing w:after="0" w:line="117" w:lineRule="exact"/>
        <w:rPr>
          <w:rFonts w:ascii="Times New Roman" w:cs="Times New Roman" w:eastAsia="Times New Roman" w:hAnsi="Times New Roman"/>
          <w:sz w:val="18"/>
          <w:szCs w:val="18"/>
          <w:color w:val="auto"/>
        </w:rPr>
      </w:pPr>
    </w:p>
    <w:p>
      <w:pPr>
        <w:ind w:left="1400" w:hanging="509"/>
        <w:spacing w:after="0"/>
        <w:tabs>
          <w:tab w:leader="none" w:pos="14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$119.9 million of deferred revenue related to the BMS Agreement is expected to be recognized until 2025.</w:t>
      </w:r>
    </w:p>
    <w:p>
      <w:pPr>
        <w:spacing w:after="0" w:line="117" w:lineRule="exact"/>
        <w:rPr>
          <w:rFonts w:ascii="Times New Roman" w:cs="Times New Roman" w:eastAsia="Times New Roman" w:hAnsi="Times New Roman"/>
          <w:sz w:val="18"/>
          <w:szCs w:val="18"/>
          <w:color w:val="auto"/>
        </w:rPr>
      </w:pPr>
    </w:p>
    <w:p>
      <w:pPr>
        <w:ind w:left="1400" w:hanging="509"/>
        <w:spacing w:after="0"/>
        <w:tabs>
          <w:tab w:leader="none" w:pos="14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$24.2 million of deferred revenue related to the Moderna Agreement is expected to be recognized until 2027.</w:t>
      </w:r>
    </w:p>
    <w:p>
      <w:pPr>
        <w:spacing w:after="0" w:line="117" w:lineRule="exact"/>
        <w:rPr>
          <w:rFonts w:ascii="Times New Roman" w:cs="Times New Roman" w:eastAsia="Times New Roman" w:hAnsi="Times New Roman"/>
          <w:sz w:val="18"/>
          <w:szCs w:val="18"/>
          <w:color w:val="auto"/>
        </w:rPr>
      </w:pPr>
    </w:p>
    <w:p>
      <w:pPr>
        <w:ind w:left="1400" w:hanging="509"/>
        <w:spacing w:after="0"/>
        <w:tabs>
          <w:tab w:leader="none" w:pos="14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$24.4 million of deferred revenue related to the Regeneron Agreement is expected to be recognized until 2026.</w:t>
      </w:r>
    </w:p>
    <w:p>
      <w:pPr>
        <w:spacing w:after="0" w:line="3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7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2022, the Company incurred $0.1 million of sublicense fees triggered by the IND for the EGFR product and the dosing of the first patient of the EGFR program under the Amgen Agreement. In 2023, the Company incurred $0.2 million of sublicense fees triggered by achieving the clinical candidate milestone under the Astellas Agreement.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incurred sublicense expenses of $1.1 million and $1.0 million, respectively, under the provisions of the UCSB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("SGEN")</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22, 2023, the Company entered into a Transition Agreement (the “Transition Agreement”) with AbbVie Global Enterprises Ltd. (“AbbVie”), pursuant to which the Company regained exclusive worldwide rights to develop CX-2029, a CD71-targeting conditionally activated antibody drug conjugate. The Transition Agreement supersedes the CD71 Co-Development and License Agreement (the “Collaboration Agreement”) entered into between the Company and AbbVie Ireland Unlimited Company (an affiliate entity of AbbVie) in 2016, that was terminated in May 2023, and grants certain intellectual property rights from AbbVie to enable the continued development of CX-2029 by Company for all human and nonhuman diagnostic, prophylactic, and therapeutic uses.</w:t>
      </w:r>
    </w:p>
    <w:p>
      <w:pPr>
        <w:spacing w:after="0" w:line="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Pursuant to the Transition Agreement, AbbVie is eligible to receive tiered sales royalties for CX-2029 ranging from the low-to-mid single digit percentages. CytomX will also pay SGEN potential future development, regulatory, and commercial milestones, and tiered sales royalties ranging from the mid-to-high single digits percentages related to certain CX-2029 linker payload technology licensed from SGEN. The Company’s royalty obligations for a particular CX-2029 product sold in any country shall continue until the later of (i) the date on which such CX-2029 product is no longer covered by certain patent rights in such country, (ii) the loss of regulatory exclusivity for such CX-2029 product in such country, or (iii) the tenth anniversary of the first commercial sale for such CX-2029 product in such country. Pursuant to the Transition Agreement, the Company will pay an annual exclusive license maintenance fee of $0.3 million starting 2023 through the date on which licensee receives first regulatory approval in the territory for the applicable licensed product.</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Transition Agreement will continue in effect on a country-by-country basis until the expiration of the obligation to make payments under the Transition Agreement with respect to CX-2029 in each country, unless earlier terminated by either party pursuant to its terms. Either the Company or AbbVie may terminate the Transition Agreement for the other party’s insolvency or certain uncured breaches; the Company may terminate the Transition Agreement without cause; and AbbVie may terminate the Transition Agreement if the Company or any of its sublicensees or affiliates challenge certain SGEN patents.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incurred sublicense expenses of $0.3 million under the provisions of the Transition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On October 30, 2023, Magistrate Judge Burke issued a Report &amp; Recommendation that recommended granting Company’s motion to dismiss all counts of the complaint. In January 2024, the case was transferred to a new judge and the case will remain stayed pending a ruling by the trial judge on the Magistrate’s Report &amp; Recommendation. The Company believes that the lawsuit is without merit and intends to vigorously defend itself. The Company does not believe a loss is probable and has not recorded any amount as a contingent liability for claims associated with this lawsuit as of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2015, the Company entered into a lease (the “2016 Lease”) of office and laboratory space located in South San Francisco, California for the Company’s corporate headquarters. The 2016 Lease has an initial term of ten years through 2026 and the Company has an option to extend the initial term for an additional five years at the then fair rental value as determined pursuant to the 2016 Lease.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recorded the $0.9 million of cash securing the Letter of Credit as non-current restricted cash on its balance sheet as of December 31, 2023 and 2022. Rent expense during the years ended December 31, 2023 and 2022 was $5.1 million and $5.1 million,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7"/>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7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gridSpan w:val="4"/>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320" w:type="dxa"/>
            <w:vAlign w:val="bottom"/>
            <w:gridSpan w:val="6"/>
            <w:shd w:val="clear" w:color="auto" w:fill="CFF0FC"/>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w:t>
            </w:r>
          </w:p>
        </w:tc>
        <w:tc>
          <w:tcPr>
            <w:tcW w:w="160" w:type="dxa"/>
            <w:vAlign w:val="bottom"/>
          </w:tcPr>
          <w:p>
            <w:pPr>
              <w:spacing w:after="0"/>
              <w:rPr>
                <w:sz w:val="20"/>
                <w:szCs w:val="20"/>
                <w:color w:val="auto"/>
              </w:rPr>
            </w:pPr>
          </w:p>
        </w:tc>
        <w:tc>
          <w:tcPr>
            <w:tcW w:w="16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8.25 %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648"/>
        </w:trPr>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4"/>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CFF0FC"/>
            </w:tcBorders>
          </w:tcPr>
          <w:p>
            <w:pPr>
              <w:spacing w:after="0"/>
              <w:rPr>
                <w:sz w:val="20"/>
                <w:szCs w:val="20"/>
                <w:color w:val="auto"/>
              </w:rPr>
            </w:pPr>
          </w:p>
        </w:tc>
        <w:tc>
          <w:tcPr>
            <w:tcW w:w="14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-1799590</wp:posOffset>
            </wp:positionV>
            <wp:extent cx="677227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-504825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8"/>
          <w:szCs w:val="18"/>
          <w:color w:val="auto"/>
        </w:rPr>
        <w:t>In March 2023, the Company entered into a sublease agreement for a portion of its existing office and laboratory space. The sublease is classified as an operating lease whereby sublease income is recognized on a straight-line basis over the sublease term that expires on September 30, 2026. For the year ended December 31, 2023, sublease income was $0.9 million.</w:t>
      </w:r>
    </w:p>
    <w:p>
      <w:pPr>
        <w:spacing w:after="0" w:line="200" w:lineRule="exact"/>
        <w:rPr>
          <w:sz w:val="20"/>
          <w:szCs w:val="20"/>
          <w:color w:val="auto"/>
        </w:rPr>
      </w:pPr>
    </w:p>
    <w:p>
      <w:pPr>
        <w:spacing w:after="0" w:line="282"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3"/>
        </w:trPr>
        <w:tc>
          <w:tcPr>
            <w:tcW w:w="8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Future sublease income payments</w:t>
            </w: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8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21"/>
                <w:szCs w:val="21"/>
                <w:color w:val="auto"/>
              </w:rPr>
            </w:pPr>
          </w:p>
        </w:tc>
      </w:tr>
      <w:tr>
        <w:trPr>
          <w:trHeight w:val="239"/>
        </w:trPr>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0"/>
                <w:szCs w:val="20"/>
                <w:color w:val="auto"/>
              </w:rPr>
            </w:pPr>
          </w:p>
        </w:tc>
      </w:tr>
      <w:tr>
        <w:trPr>
          <w:trHeight w:val="243"/>
        </w:trPr>
        <w:tc>
          <w:tcPr>
            <w:tcW w:w="8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sublease income payments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20"/>
                <w:szCs w:val="20"/>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an agreement with BVF Partners L.P. (“BVF”) for a private placement and received an aggregate net proceeds of approximately $29.7 million in July 2023, after deducting issuance costs of approximately $0.3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 as of December 31, 2023:</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40" w:type="dxa"/>
            <w:vAlign w:val="bottom"/>
          </w:tcPr>
          <w:p>
            <w:pPr>
              <w:spacing w:after="0"/>
              <w:rPr>
                <w:sz w:val="16"/>
                <w:szCs w:val="16"/>
                <w:color w:val="auto"/>
              </w:rPr>
            </w:pPr>
          </w:p>
        </w:tc>
        <w:tc>
          <w:tcPr>
            <w:tcW w:w="2600" w:type="dxa"/>
            <w:vAlign w:val="bottom"/>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300" w:type="dxa"/>
            <w:vAlign w:val="bottom"/>
          </w:tcPr>
          <w:p>
            <w:pPr>
              <w:spacing w:after="0"/>
              <w:rPr>
                <w:sz w:val="16"/>
                <w:szCs w:val="16"/>
                <w:color w:val="auto"/>
              </w:rPr>
            </w:pPr>
          </w:p>
        </w:tc>
        <w:tc>
          <w:tcPr>
            <w:tcW w:w="268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Tranche 1 Warrants</w:t>
            </w:r>
          </w:p>
        </w:tc>
        <w:tc>
          <w:tcPr>
            <w:tcW w:w="300" w:type="dxa"/>
            <w:vAlign w:val="bottom"/>
          </w:tcPr>
          <w:p>
            <w:pPr>
              <w:spacing w:after="0"/>
              <w:rPr>
                <w:sz w:val="16"/>
                <w:szCs w:val="16"/>
                <w:color w:val="auto"/>
              </w:rPr>
            </w:pPr>
          </w:p>
        </w:tc>
        <w:tc>
          <w:tcPr>
            <w:tcW w:w="27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Tranche 2 Warrants</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Warrants Outstanding</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14,423,077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5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expire in July 2043, while Tranche 1 and Tranche 2 warrants will expire in July 2025 and July 2026, respectively.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2010 Plan and 2011 Plan</w:t>
      </w:r>
    </w:p>
    <w:p>
      <w:pPr>
        <w:spacing w:after="0" w:line="11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IPO in October 2015, the board of directors adopted the Company’s 2015 Equity Incentive Plan (the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collectively with the 2010 Plan and 2011 Plan, the “Plans”). In conjunction with adopting the 2015 Plan, the Company discontinued the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with respect to new equity awards.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2015 Plan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2015 Plan authorized the board of directors to grant incentive stock options, non-statutory stock options and RSUs to employees, directors, non-employee directors and consultants of the Company. Stock options under the 2015 Plan may be granted for periods of up to ten years. All stock options issued to date have had a 10-year life. Under the terms of the 2015 Plan, stock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stock options granted under the 2015 Plan generally vest over four years and vest at a rate of 25% upon the first anniversary of the issuance date and 1/48th per month thereafter.</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2023 and 2022, 2,944,245 shares and 1,932,345 shares of common stock, respectively, were available for future issuance under the 2015 Plan.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2019 Plan</w:t>
      </w:r>
    </w:p>
    <w:p>
      <w:pPr>
        <w:spacing w:after="0" w:line="11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initial number of shares of common stock available for future issuance under the 2019 Plan was 1,815,000. During 2021, the total number of shares of common stock available for issuance under the 2019 Plan has increased by 1,000,000 shares. As of December 31, 2023 and 2022, 1,725,656 and 1,120,740 shares, respectively, of common stock were available for future issuance under the 2019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13,289,838</w:t>
            </w:r>
          </w:p>
        </w:tc>
        <w:tc>
          <w:tcPr>
            <w:tcW w:w="280" w:type="dxa"/>
            <w:vAlign w:val="bottom"/>
          </w:tcPr>
          <w:p>
            <w:pPr>
              <w:spacing w:after="0"/>
              <w:rPr>
                <w:sz w:val="15"/>
                <w:szCs w:val="15"/>
                <w:color w:val="auto"/>
              </w:rPr>
            </w:pPr>
          </w:p>
        </w:tc>
        <w:tc>
          <w:tcPr>
            <w:tcW w:w="880" w:type="dxa"/>
            <w:vAlign w:val="bottom"/>
            <w:tcBorders>
              <w:top w:val="single" w:sz="8" w:color="auto"/>
            </w:tcBorders>
            <w:vMerge w:val="restart"/>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7.67</w:t>
            </w:r>
          </w:p>
        </w:tc>
        <w:tc>
          <w:tcPr>
            <w:tcW w:w="22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1,938,573</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2.20</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(16,535 )</w:t>
            </w:r>
          </w:p>
        </w:tc>
        <w:tc>
          <w:tcPr>
            <w:tcW w:w="8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1.57</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cancelled</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(2,262,264 )</w:t>
            </w: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5.95</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12,949,612</w:t>
            </w:r>
          </w:p>
        </w:tc>
        <w:tc>
          <w:tcPr>
            <w:tcW w:w="280" w:type="dxa"/>
            <w:vAlign w:val="bottom"/>
            <w:tcBorders>
              <w:top w:val="single" w:sz="8" w:color="CFF0FC"/>
            </w:tcBorders>
          </w:tcPr>
          <w:p>
            <w:pPr>
              <w:spacing w:after="0"/>
              <w:rPr>
                <w:sz w:val="20"/>
                <w:szCs w:val="20"/>
                <w:color w:val="auto"/>
              </w:rPr>
            </w:pPr>
          </w:p>
        </w:tc>
        <w:tc>
          <w:tcPr>
            <w:tcW w:w="88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7.16</w:t>
            </w:r>
          </w:p>
        </w:tc>
        <w:tc>
          <w:tcPr>
            <w:tcW w:w="15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Exercisable—December 31, 2023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8,672,013</w:t>
            </w: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9.03</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-350520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intrinsic values of options exercised, outstanding and exercisable were calculated as the difference between the exercise price of the options and the quoted market price of the underlying common stock as of December 31, 2023.</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2023, the unrecognized compensation expense with respect to options granted was $8.2 million and is expected to be recognized over 2.23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 ("TRSU")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TRSU activities: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2"/>
                <w:szCs w:val="12"/>
                <w:color w:val="auto"/>
              </w:rPr>
            </w:pPr>
          </w:p>
        </w:tc>
        <w:tc>
          <w:tcPr>
            <w:tcW w:w="13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1,212,884</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awarded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724,342</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vested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(439,329 )</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cancelled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(97,368 )</w:t>
            </w: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1,400,529</w:t>
            </w:r>
          </w:p>
        </w:tc>
        <w:tc>
          <w:tcPr>
            <w:tcW w:w="240" w:type="dxa"/>
            <w:vAlign w:val="bottom"/>
            <w:tcBorders>
              <w:top w:val="single" w:sz="8" w:color="CFF0FC"/>
            </w:tcBorders>
          </w:tcPr>
          <w:p>
            <w:pPr>
              <w:spacing w:after="0"/>
              <w:rPr>
                <w:sz w:val="20"/>
                <w:szCs w:val="20"/>
                <w:color w:val="auto"/>
              </w:rPr>
            </w:pPr>
          </w:p>
        </w:tc>
        <w:tc>
          <w:tcPr>
            <w:tcW w:w="1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340" w:type="dxa"/>
            <w:vAlign w:val="bottom"/>
            <w:tcBorders>
              <w:top w:val="single" w:sz="8" w:color="CFF0FC"/>
            </w:tcBorders>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-187960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recorded $2.0 million and $1.2 million of stock-based compensation expense related to the TRSUs for the year ended December 31, 2023 and 2022, respectively. As of December 31, 2023, the unrecognized compensation expense with respect to the TRSUs was $2.1 million which is expected to be recognized over 1.66 years. The TSRUs generally vest ratably over two to four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RSUs ("PSU")</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October 2021, the Company granted 435,000 PSUs to executive employees with an aggregated grant date fair value of $2.3 million. Vesting for 50% of the PSUs granted will occur upon achievement of certain specific milestones within one year of the grant date ("2021-Tranche 1") and the remaining 50% will vest upon achievement of additional company objectives within two years of the grant date ("2021-Tranche 2").</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July 2022, the Company determined that the performance condition for 2021-Tranche 1 was met and recorded $1.0 million of stock-based compensation expense for the year ended December 31, 2022. In September 2023, the performance condition for 2021-Tranche 2 was modified and the award was vested in in September 2023. As a result, the Company recorded $0.1 million of stock-based compensation expense for 2021-Tranche 2 for the three and nine months ended September 30, 2023.</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2022, the Company granted 250,000 PSUs to executive employees with an aggregated grant date fair value of approximately $0.4 million. Vesting for 50% of the PSUs granted will occur upon attaining certain specific milestones by December 2023 (“2022-Tranche 1”), and the remaining 50% will vest upon attaining certain specific milestones by December 2024 (“2022-Tranche 2”). In December 2023, the Company determined that the performance conditions for 2022-Tranche 1 was satisfied and the award was vested in December 2023. As a result, the Company recorded the remaining $128,000 compensation cost for the Tranche 1 award for the year ended December 31, 2023. For the year ended December 31, 2022, the Company recorded $55,000 compensation cost for the Tranche-1 award. As of December 31, 2023, the Company determined that it is probable that the performance conditions for 2022-Tranche 2 will be satisfied and recorded $106,000 compensation cost for the award 2023.</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760,000 PSUs to executive employees with an aggregated grant date fair value of approximately $1.9 million. Vesting for 50% of the PSUs granted will occur upon attaining certain specific milestones by December 2024 (“2023-Tranche 1”), and the remaining 50% will vest upon attaining certain specific milestones by December 2025 (“2023-Tranche 2”). The Company determined that it is not probable that the performance conditions will be satisfied for each of these tranches and no compensation cost was recorded for these awards through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7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383,750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PSUs awarded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PSUs vested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(220,000 )</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PSUs cancelled</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(48,750 )</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0" w:type="dxa"/>
            <w:vAlign w:val="bottom"/>
            <w:tcBorders>
              <w:top w:val="single" w:sz="8" w:color="CFF0FC"/>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-187960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2023, the unrecognized compensation expense with respect to PSUs granted was $2.0 million and is expected to be recognized over 1.43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406,928 and 405,192 shares of common stock under the ESPP in 2023 and 2022, respectively.</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Shares available for future purchase under the ESPP were 939,698 shares and 1,346,626 shares at December 31, 2023 and 2022, respectively. The compensation expense related to the ESPP was $0.3 million, $0.6 million for the years ended December 31, 2023 and 2022, respectively. As of December 31, 2023, there was $0.1 million of unrecognized compensation cost related to the ESPP, which the Company expects to recognize over 5 months.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related to stock options, TRSUs, PSUs and the ESPP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tcPr>
          <w:p>
            <w:pPr>
              <w:spacing w:after="0"/>
              <w:rPr>
                <w:sz w:val="20"/>
                <w:szCs w:val="20"/>
                <w:color w:val="auto"/>
              </w:rPr>
            </w:pPr>
          </w:p>
        </w:tc>
      </w:tr>
      <w:tr>
        <w:trPr>
          <w:trHeight w:val="277"/>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employee stock options and ESPP using the Black-Scholes valuation model based on the date of grant with the following weighted average assumptions:</w:t>
      </w:r>
    </w:p>
    <w:p>
      <w:pPr>
        <w:spacing w:after="0" w:line="236" w:lineRule="exact"/>
        <w:rPr>
          <w:sz w:val="20"/>
          <w:szCs w:val="20"/>
          <w:color w:val="auto"/>
        </w:rPr>
      </w:pPr>
    </w:p>
    <w:p>
      <w:pPr>
        <w:ind w:left="5900"/>
        <w:spacing w:after="0"/>
        <w:tabs>
          <w:tab w:leader="none" w:pos="9380" w:val="left"/>
        </w:tabs>
        <w:rPr>
          <w:sz w:val="20"/>
          <w:szCs w:val="20"/>
          <w:color w:val="auto"/>
        </w:rPr>
      </w:pPr>
      <w:r>
        <w:rPr>
          <w:rFonts w:ascii="Times New Roman" w:cs="Times New Roman" w:eastAsia="Times New Roman" w:hAnsi="Times New Roman"/>
          <w:sz w:val="14"/>
          <w:szCs w:val="14"/>
          <w:b w:val="1"/>
          <w:bCs w:val="1"/>
          <w:color w:val="auto"/>
        </w:rPr>
        <w:t>Options</w:t>
      </w:r>
      <w:r>
        <w:rPr>
          <w:sz w:val="20"/>
          <w:szCs w:val="20"/>
          <w:color w:val="auto"/>
        </w:rPr>
        <w:tab/>
      </w:r>
      <w:r>
        <w:rPr>
          <w:rFonts w:ascii="Times New Roman" w:cs="Times New Roman" w:eastAsia="Times New Roman" w:hAnsi="Times New Roman"/>
          <w:sz w:val="14"/>
          <w:szCs w:val="14"/>
          <w:b w:val="1"/>
          <w:bCs w:val="1"/>
          <w:color w:val="auto"/>
        </w:rPr>
        <w:t>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16510</wp:posOffset>
            </wp:positionV>
            <wp:extent cx="41662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9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16510</wp:posOffset>
            </wp:positionV>
            <wp:extent cx="20059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6" w:lineRule="exact"/>
        <w:rPr>
          <w:sz w:val="20"/>
          <w:szCs w:val="20"/>
          <w:color w:val="auto"/>
        </w:rPr>
      </w:pPr>
    </w:p>
    <w:p>
      <w:pPr>
        <w:ind w:left="518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16510</wp:posOffset>
            </wp:positionV>
            <wp:extent cx="19716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6" w:lineRule="exact"/>
        <w:rPr>
          <w:sz w:val="20"/>
          <w:szCs w:val="20"/>
          <w:color w:val="auto"/>
        </w:rPr>
      </w:pPr>
    </w:p>
    <w:p>
      <w:pPr>
        <w:sectPr>
          <w:pgSz w:w="11900" w:h="16838" w:orient="portrait"/>
          <w:cols w:equalWidth="0" w:num="2">
            <w:col w:w="7920" w:space="720"/>
            <w:col w:w="2660"/>
          </w:cols>
          <w:pgMar w:left="320" w:top="765" w:right="27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6"/>
              </w:rPr>
              <w:t>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Pr>
          <w:p>
            <w:pPr>
              <w:spacing w:after="0"/>
              <w:rPr>
                <w:sz w:val="20"/>
                <w:szCs w:val="20"/>
                <w:color w:val="auto"/>
              </w:rPr>
            </w:pPr>
          </w:p>
        </w:tc>
      </w:tr>
      <w:tr>
        <w:trPr>
          <w:trHeight w:val="244"/>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right="27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9"/>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340" w:type="dxa"/>
            <w:vAlign w:val="bottom"/>
          </w:tcPr>
          <w:p>
            <w:pPr>
              <w:spacing w:after="0"/>
              <w:rPr>
                <w:sz w:val="20"/>
                <w:szCs w:val="20"/>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 years)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r>
      <w:tr>
        <w:trPr>
          <w:trHeight w:val="211"/>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derives its income only from the United States. The components of the provision for income taxes are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57"/>
        </w:trPr>
        <w:tc>
          <w:tcPr>
            <w:tcW w:w="7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76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8"/>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0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0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(478.7 )</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21"/>
                <w:szCs w:val="2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(22.8 )</w:t>
            </w:r>
          </w:p>
        </w:tc>
        <w:tc>
          <w:tcPr>
            <w:tcW w:w="60" w:type="dxa"/>
            <w:vAlign w:val="bottom"/>
          </w:tcPr>
          <w:p>
            <w:pPr>
              <w:spacing w:after="0"/>
              <w:rPr>
                <w:sz w:val="21"/>
                <w:szCs w:val="2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117.1 %</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7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-2939415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types of temporary differences that give rise to significant portions of the Company’s deferred income tax assets and liabilities are set out below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174 capitalized research and development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169,632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(175,454 )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(166,037 )</w:t>
            </w: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(3,358 )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(3,595 )</w:t>
            </w:r>
          </w:p>
        </w:tc>
      </w:tr>
      <w:tr>
        <w:trPr>
          <w:trHeight w:val="27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-976630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2023 and 2022 was an increase of $9.4 million and $22.7 million, respectively.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net operating loss carryforwards for federal and state income tax purposes of approximately $269.7 million and $26.7 million, respectively, as of December 31, 2023, available to reduce future taxable income. Of the federal net operating loss carryforwards, $65.6 million will begin to expire in 2034, if not utilized and $204.1 million will carryforward indefinitely. The state net operating loss carryforwards will begin to expire in 2031, if not utilized.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state research and development tax credits carryforwards of $24.4 million and $13.7 million, respectively, as of December 31, 2023 available to reduce future income taxes. The federal research and development tax credits will begin to expire in 2031 if not utilized. The state research and development tax credits will carryforward indefinitely.</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updated its Section 382 analysis through the year ended December 31, 2023 and concluded no ownership changes occurred in current year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30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shd w:val="clear" w:color="auto" w:fill="CFF0FC"/>
          </w:tcPr>
          <w:p>
            <w:pPr>
              <w:spacing w:after="0"/>
              <w:rPr>
                <w:sz w:val="22"/>
                <w:szCs w:val="22"/>
                <w:color w:val="auto"/>
              </w:rPr>
            </w:pPr>
          </w:p>
        </w:tc>
      </w:tr>
      <w:tr>
        <w:trPr>
          <w:trHeight w:val="26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2"/>
                <w:szCs w:val="22"/>
                <w:color w:val="auto"/>
              </w:rPr>
            </w:pPr>
          </w:p>
        </w:tc>
      </w:tr>
      <w:tr>
        <w:trPr>
          <w:trHeight w:val="27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 based on tax positions related to prior years</w:t>
            </w:r>
          </w:p>
        </w:tc>
        <w:tc>
          <w:tcPr>
            <w:tcW w:w="1000" w:type="dxa"/>
            <w:vAlign w:val="bottom"/>
            <w:tcBorders>
              <w:bottom w:val="single" w:sz="8" w:color="auto"/>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30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Of the unrecognized tax benefits as of December 31, 2023 and 2022, approximately $2.3 million would affect the Company’s effective tax rate if recognized. Penalties and interest of $1.0 million and $0.6 million, respectively, have been accrued for the year ended December 31, 2023.</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$3.9 million in long term liabilities for the proposed tax assessment, penalties and interest through December 31, 2023. Additional utilization of carryforward attributes and indirect federal tax effects of the assessment would result in a reduction in deferred tax assets of $5.1 million. The Company filed a protest to contest the proposed assessment in November 2023. Due to the ongoing nature of the examination and discussions with the state of California, the Company is unable to estimate a date by which this matter will be resolved.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2023 and 2022, the Company made contributions to the plan of $0.5 million, $0.9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$2.4 million and $5.1 million were recorded in general and administrative expense and research and development expense, respectively, for the year ended December 31, 2022. The restructuring was complete in the third quarter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accrued restructuring costs as of December 31, 2023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20" w:type="dxa"/>
            <w:vAlign w:val="bottom"/>
          </w:tcPr>
          <w:p>
            <w:pPr>
              <w:spacing w:after="0"/>
              <w:rPr>
                <w:sz w:val="13"/>
                <w:szCs w:val="13"/>
                <w:color w:val="auto"/>
              </w:rPr>
            </w:pPr>
          </w:p>
        </w:tc>
        <w:tc>
          <w:tcPr>
            <w:tcW w:w="1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3"/>
                <w:szCs w:val="13"/>
                <w:color w:val="auto"/>
              </w:rPr>
            </w:pPr>
          </w:p>
        </w:tc>
        <w:tc>
          <w:tcPr>
            <w:tcW w:w="14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6"/>
                <w:szCs w:val="16"/>
                <w:color w:val="auto"/>
              </w:rPr>
            </w:pPr>
          </w:p>
        </w:tc>
        <w:tc>
          <w:tcPr>
            <w:tcW w:w="186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w:t>
            </w:r>
          </w:p>
        </w:tc>
        <w:tc>
          <w:tcPr>
            <w:tcW w:w="50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(1,457 )</w:t>
            </w:r>
          </w:p>
        </w:tc>
        <w:tc>
          <w:tcPr>
            <w:tcW w:w="1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(50 )</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(1,507 )</w:t>
            </w: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estimates</w:t>
            </w:r>
          </w:p>
        </w:tc>
        <w:tc>
          <w:tcPr>
            <w:tcW w:w="5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(114 )</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7"/>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5440" w:type="dxa"/>
            <w:vAlign w:val="bottom"/>
          </w:tcPr>
          <w:p>
            <w:pPr>
              <w:spacing w:after="0"/>
              <w:rPr>
                <w:sz w:val="24"/>
                <w:szCs w:val="2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116</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-1208405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-1208405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ind w:right="3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December 31, 2023, the end of the period covered by this Annual Report on Form 10-K. Based on that evaluation, the Company's Principal Executive Officer and Principal Financial Officer concluded that, as of December 31, 2023, our disclosure controls and procedures were effective at a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the Company's Principal Executive Officer and Principal Financial Officer concluded that, as of December 31, 2023, our internal control over financial reporting was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and evaluating new collaboration and license agreements initiated in the fourth quarter of 2022, we re-evaluated our previous application of ASC 606 for our collaboration and license agreements and identified an error. Upon reassessment, we have determined that certain revenue should be recognized over time using an input method as an appropriate measure of progress, rather than ratably over the estimated research period. The Company’s internal control to perform a technical accounting analysis for collaboration and license agreements failed to operate as designed. As a result, we concluded that the Company’s internal control over financial reporting was not effective as of December 31, 2022. The Company identified a material weakness in internal control over financial reporting related to its application of ASC 606 for license and collaboration agreements.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9" w:name="page120"/>
    <w:bookmarkEnd w:id="119"/>
    <w:p>
      <w:pPr>
        <w:ind w:right="80"/>
        <w:spacing w:after="0" w:line="261" w:lineRule="auto"/>
        <w:rPr>
          <w:sz w:val="20"/>
          <w:szCs w:val="20"/>
          <w:color w:val="auto"/>
        </w:rPr>
      </w:pPr>
      <w:r>
        <w:rPr>
          <w:rFonts w:ascii="Times New Roman" w:cs="Times New Roman" w:eastAsia="Times New Roman" w:hAnsi="Times New Roman"/>
          <w:sz w:val="18"/>
          <w:szCs w:val="18"/>
          <w:color w:val="auto"/>
        </w:rPr>
        <w:t>To remediate this material weakness, during the six months ended June 30, 2023, we have implemented and improved the operation of our controls related to the application of ASC 606 to our collaboration and license agreements and the related controls to measure the progress in satisfying the performance obligations. Management has determined that the material weakness was remediated during the three months ended June 30, 2023, due to enhancements made to our related technical accounting analysis processes and internal controls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December 31, 2023,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 On March 6, 2024, following a Bristol Myers Squibb corporate portfolio prioritization process, Bristol Myers Squibb notified CytomX that it does not intend to continue the development of BMS-986288 beyond the current Phase 2 study and terminated its work on the CTLA-4 target under the collaboration. CytomX’s ongoing research collaboration with Bristol Myers Squibb, which includes multiple ongoing preclinical programs, including T-cell engagers, will continue</w:t>
      </w:r>
      <w:r>
        <w:rPr>
          <w:rFonts w:ascii="Times New Roman" w:cs="Times New Roman" w:eastAsia="Times New Roman" w:hAnsi="Times New Roman"/>
          <w:sz w:val="21"/>
          <w:szCs w:val="21"/>
          <w:color w:val="auto"/>
        </w:rPr>
        <w:t>.</w:t>
      </w:r>
    </w:p>
    <w:p>
      <w:pPr>
        <w:spacing w:after="0" w:line="282" w:lineRule="exact"/>
        <w:rPr>
          <w:sz w:val="20"/>
          <w:szCs w:val="20"/>
          <w:color w:val="auto"/>
        </w:rPr>
      </w:pPr>
    </w:p>
    <w:p>
      <w:pPr>
        <w:ind w:right="53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52"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2"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50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4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8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63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Open Market Sale Agreement, dated as of February 27, 2020, by and between CytomX</w:t>
              </w:r>
            </w:hyperlink>
          </w:p>
        </w:tc>
        <w:tc>
          <w:tcPr>
            <w:tcW w:w="4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720" w:type="dxa"/>
            <w:vAlign w:val="bottom"/>
            <w:gridSpan w:val="27"/>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Therapeutics, Inc. and Jefferies LLC.</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3.1(a)</w:t>
            </w:r>
          </w:p>
        </w:tc>
        <w:tc>
          <w:tcPr>
            <w:tcW w:w="3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24"/>
                <w:szCs w:val="24"/>
                <w:color w:val="auto"/>
              </w:rPr>
            </w:pPr>
          </w:p>
        </w:tc>
        <w:tc>
          <w:tcPr>
            <w:tcW w:w="2960" w:type="dxa"/>
            <w:vAlign w:val="bottom"/>
            <w:gridSpan w:val="10"/>
          </w:tcPr>
          <w:p>
            <w:pPr>
              <w:spacing w:after="0"/>
              <w:rPr>
                <w:sz w:val="24"/>
                <w:szCs w:val="24"/>
                <w:color w:val="auto"/>
              </w:rPr>
            </w:pPr>
          </w:p>
        </w:tc>
      </w:tr>
      <w:tr>
        <w:trPr>
          <w:trHeight w:val="439"/>
        </w:trPr>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3.1(b)</w:t>
            </w:r>
          </w:p>
        </w:tc>
        <w:tc>
          <w:tcPr>
            <w:tcW w:w="67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Certificate of Amendment to Amended and Restated Certificate of Incorporation of CytomX</w:t>
              </w:r>
            </w:hyperlink>
          </w:p>
        </w:tc>
      </w:tr>
      <w:tr>
        <w:trPr>
          <w:trHeight w:val="196"/>
        </w:trPr>
        <w:tc>
          <w:tcPr>
            <w:tcW w:w="104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76">
              <w:r>
                <w:rPr>
                  <w:rFonts w:ascii="Times New Roman" w:cs="Times New Roman" w:eastAsia="Times New Roman" w:hAnsi="Times New Roman"/>
                  <w:sz w:val="18"/>
                  <w:szCs w:val="18"/>
                  <w:color w:val="0000FF"/>
                  <w:w w:val="98"/>
                </w:rPr>
                <w:t>Therapeutics, Inc.</w:t>
              </w:r>
            </w:hyperlink>
          </w:p>
        </w:tc>
        <w:tc>
          <w:tcPr>
            <w:tcW w:w="20" w:type="dxa"/>
            <w:vAlign w:val="bottom"/>
            <w:tcBorders>
              <w:bottom w:val="single" w:sz="8" w:color="0000EE"/>
            </w:tcBorders>
          </w:tcPr>
          <w:p>
            <w:pPr>
              <w:spacing w:after="0"/>
              <w:rPr>
                <w:sz w:val="17"/>
                <w:szCs w:val="17"/>
                <w:color w:val="auto"/>
              </w:rPr>
            </w:pPr>
          </w:p>
        </w:tc>
        <w:tc>
          <w:tcPr>
            <w:tcW w:w="5400" w:type="dxa"/>
            <w:vAlign w:val="bottom"/>
            <w:gridSpan w:val="24"/>
          </w:tcPr>
          <w:p>
            <w:pPr>
              <w:spacing w:after="0"/>
              <w:rPr>
                <w:sz w:val="17"/>
                <w:szCs w:val="17"/>
                <w:color w:val="auto"/>
              </w:rPr>
            </w:pPr>
          </w:p>
        </w:tc>
      </w:tr>
      <w:tr>
        <w:trPr>
          <w:trHeight w:val="439"/>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Amended and Restated Bylaws.</w:t>
              </w:r>
            </w:hyperlink>
          </w:p>
        </w:tc>
        <w:tc>
          <w:tcPr>
            <w:tcW w:w="20" w:type="dxa"/>
            <w:vAlign w:val="bottom"/>
            <w:tcBorders>
              <w:bottom w:val="single" w:sz="8" w:color="0000EE"/>
            </w:tcBorders>
          </w:tcPr>
          <w:p>
            <w:pPr>
              <w:spacing w:after="0"/>
              <w:rPr>
                <w:sz w:val="24"/>
                <w:szCs w:val="24"/>
                <w:color w:val="auto"/>
              </w:rPr>
            </w:pPr>
          </w:p>
        </w:tc>
        <w:tc>
          <w:tcPr>
            <w:tcW w:w="4400" w:type="dxa"/>
            <w:vAlign w:val="bottom"/>
            <w:gridSpan w:val="18"/>
          </w:tcPr>
          <w:p>
            <w:pPr>
              <w:spacing w:after="0"/>
              <w:rPr>
                <w:sz w:val="24"/>
                <w:szCs w:val="24"/>
                <w:color w:val="auto"/>
              </w:rPr>
            </w:pPr>
          </w:p>
        </w:tc>
      </w:tr>
      <w:tr>
        <w:trPr>
          <w:trHeight w:val="480"/>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4.1</w:t>
            </w:r>
          </w:p>
        </w:tc>
        <w:tc>
          <w:tcPr>
            <w:tcW w:w="67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r>
      <w:tr>
        <w:trPr>
          <w:trHeight w:val="4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4.2</w:t>
            </w:r>
          </w:p>
        </w:tc>
        <w:tc>
          <w:tcPr>
            <w:tcW w:w="6720" w:type="dxa"/>
            <w:vAlign w:val="bottom"/>
            <w:gridSpan w:val="27"/>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Specimen Common Stock Certificate.</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4.3</w:t>
            </w:r>
          </w:p>
        </w:tc>
        <w:tc>
          <w:tcPr>
            <w:tcW w:w="6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Registration Rights Agreement dated as of September 29, 2017 by and between CytomX</w:t>
              </w:r>
            </w:hyperlink>
          </w:p>
        </w:tc>
        <w:tc>
          <w:tcPr>
            <w:tcW w:w="2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5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Therapeutics, Inc. and Amgen, Inc.</w:t>
              </w:r>
            </w:hyperlink>
          </w:p>
        </w:tc>
        <w:tc>
          <w:tcPr>
            <w:tcW w:w="20" w:type="dxa"/>
            <w:vAlign w:val="bottom"/>
            <w:tcBorders>
              <w:bottom w:val="single" w:sz="8" w:color="0000EE"/>
            </w:tcBorders>
          </w:tcPr>
          <w:p>
            <w:pPr>
              <w:spacing w:after="0"/>
              <w:rPr>
                <w:sz w:val="17"/>
                <w:szCs w:val="17"/>
                <w:color w:val="auto"/>
              </w:rPr>
            </w:pPr>
          </w:p>
        </w:tc>
        <w:tc>
          <w:tcPr>
            <w:tcW w:w="4160" w:type="dxa"/>
            <w:vAlign w:val="bottom"/>
            <w:gridSpan w:val="16"/>
          </w:tcPr>
          <w:p>
            <w:pPr>
              <w:spacing w:after="0"/>
              <w:rPr>
                <w:sz w:val="17"/>
                <w:szCs w:val="17"/>
                <w:color w:val="auto"/>
              </w:rPr>
            </w:pPr>
          </w:p>
        </w:tc>
      </w:tr>
      <w:tr>
        <w:trPr>
          <w:trHeight w:val="439"/>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4.4</w:t>
            </w:r>
          </w:p>
        </w:tc>
        <w:tc>
          <w:tcPr>
            <w:tcW w:w="6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Description of Registrant’s Securities Registered Pursuant to Section 12 of the Securities</w:t>
              </w:r>
            </w:hyperlink>
          </w:p>
        </w:tc>
        <w:tc>
          <w:tcPr>
            <w:tcW w:w="2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6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80">
              <w:r>
                <w:rPr>
                  <w:rFonts w:ascii="Times New Roman" w:cs="Times New Roman" w:eastAsia="Times New Roman" w:hAnsi="Times New Roman"/>
                  <w:sz w:val="18"/>
                  <w:szCs w:val="18"/>
                  <w:color w:val="0000FF"/>
                  <w:w w:val="98"/>
                </w:rPr>
                <w:t>Exchange Act of 1934.</w:t>
              </w:r>
            </w:hyperlink>
          </w:p>
        </w:tc>
        <w:tc>
          <w:tcPr>
            <w:tcW w:w="5060" w:type="dxa"/>
            <w:vAlign w:val="bottom"/>
            <w:gridSpan w:val="23"/>
          </w:tcPr>
          <w:p>
            <w:pPr>
              <w:spacing w:after="0"/>
              <w:rPr>
                <w:sz w:val="17"/>
                <w:szCs w:val="17"/>
                <w:color w:val="auto"/>
              </w:rPr>
            </w:pPr>
          </w:p>
        </w:tc>
      </w:tr>
      <w:tr>
        <w:trPr>
          <w:trHeight w:val="439"/>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4.5</w:t>
            </w:r>
          </w:p>
        </w:tc>
        <w:tc>
          <w:tcPr>
            <w:tcW w:w="21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281">
              <w:r>
                <w:rPr>
                  <w:rFonts w:ascii="Times New Roman" w:cs="Times New Roman" w:eastAsia="Times New Roman" w:hAnsi="Times New Roman"/>
                  <w:sz w:val="18"/>
                  <w:szCs w:val="18"/>
                  <w:color w:val="0000FF"/>
                  <w:w w:val="98"/>
                </w:rPr>
                <w:t>Form of Pre-Funded Warrant</w:t>
              </w:r>
            </w:hyperlink>
          </w:p>
        </w:tc>
        <w:tc>
          <w:tcPr>
            <w:tcW w:w="4620" w:type="dxa"/>
            <w:vAlign w:val="bottom"/>
            <w:gridSpan w:val="20"/>
          </w:tcPr>
          <w:p>
            <w:pPr>
              <w:spacing w:after="0"/>
              <w:rPr>
                <w:sz w:val="24"/>
                <w:szCs w:val="24"/>
                <w:color w:val="auto"/>
              </w:rPr>
            </w:pPr>
          </w:p>
        </w:tc>
      </w:tr>
      <w:tr>
        <w:trPr>
          <w:trHeight w:val="439"/>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4.6</w:t>
            </w:r>
          </w:p>
        </w:tc>
        <w:tc>
          <w:tcPr>
            <w:tcW w:w="1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282">
              <w:r>
                <w:rPr>
                  <w:rFonts w:ascii="Times New Roman" w:cs="Times New Roman" w:eastAsia="Times New Roman" w:hAnsi="Times New Roman"/>
                  <w:sz w:val="18"/>
                  <w:szCs w:val="18"/>
                  <w:color w:val="0000FF"/>
                  <w:w w:val="98"/>
                </w:rPr>
                <w:t>Form of Tranche Warrant</w:t>
              </w:r>
            </w:hyperlink>
          </w:p>
        </w:tc>
        <w:tc>
          <w:tcPr>
            <w:tcW w:w="20" w:type="dxa"/>
            <w:vAlign w:val="bottom"/>
            <w:tcBorders>
              <w:bottom w:val="single" w:sz="8" w:color="0000EE"/>
            </w:tcBorders>
          </w:tcPr>
          <w:p>
            <w:pPr>
              <w:spacing w:after="0"/>
              <w:rPr>
                <w:sz w:val="24"/>
                <w:szCs w:val="24"/>
                <w:color w:val="auto"/>
              </w:rPr>
            </w:pPr>
          </w:p>
        </w:tc>
        <w:tc>
          <w:tcPr>
            <w:tcW w:w="4860" w:type="dxa"/>
            <w:vAlign w:val="bottom"/>
            <w:gridSpan w:val="21"/>
          </w:tcPr>
          <w:p>
            <w:pPr>
              <w:spacing w:after="0"/>
              <w:rPr>
                <w:sz w:val="24"/>
                <w:szCs w:val="24"/>
                <w:color w:val="auto"/>
              </w:rPr>
            </w:pPr>
          </w:p>
        </w:tc>
      </w:tr>
      <w:tr>
        <w:trPr>
          <w:trHeight w:val="439"/>
        </w:trPr>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10.1(a)#</w:t>
            </w:r>
          </w:p>
        </w:tc>
        <w:tc>
          <w:tcPr>
            <w:tcW w:w="5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2010 Stock Incentive Plan adopted on September 21, 2010 (“2010 Plan”).</w:t>
              </w:r>
            </w:hyperlink>
          </w:p>
        </w:tc>
        <w:tc>
          <w:tcPr>
            <w:tcW w:w="1400" w:type="dxa"/>
            <w:vAlign w:val="bottom"/>
            <w:gridSpan w:val="6"/>
          </w:tcPr>
          <w:p>
            <w:pPr>
              <w:spacing w:after="0"/>
              <w:rPr>
                <w:sz w:val="24"/>
                <w:szCs w:val="24"/>
                <w:color w:val="auto"/>
              </w:rPr>
            </w:pPr>
          </w:p>
        </w:tc>
      </w:tr>
      <w:tr>
        <w:trPr>
          <w:trHeight w:val="439"/>
        </w:trPr>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10.1(b)#</w:t>
            </w:r>
          </w:p>
        </w:tc>
        <w:tc>
          <w:tcPr>
            <w:tcW w:w="6720" w:type="dxa"/>
            <w:vAlign w:val="bottom"/>
            <w:gridSpan w:val="27"/>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Form of Stock Option Agreement under the 2010 Plan.</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10.2(a)#</w:t>
            </w:r>
          </w:p>
        </w:tc>
        <w:tc>
          <w:tcPr>
            <w:tcW w:w="6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2011 Stock Incentive Plan, adopted on February 7, 2012, as amended (“2011 Plan”).</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r>
      <w:tr>
        <w:trPr>
          <w:trHeight w:val="439"/>
        </w:trPr>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10.2(b)#</w:t>
            </w:r>
          </w:p>
        </w:tc>
        <w:tc>
          <w:tcPr>
            <w:tcW w:w="67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Form of Restricted Stock Award Agreement and Option Exercise Agreement under the 2011</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20" w:type="dxa"/>
            <w:vAlign w:val="bottom"/>
            <w:gridSpan w:val="27"/>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Plan.</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r>
      <w:tr>
        <w:trPr>
          <w:trHeight w:val="439"/>
        </w:trPr>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10.3(a)#</w:t>
            </w:r>
          </w:p>
        </w:tc>
        <w:tc>
          <w:tcPr>
            <w:tcW w:w="3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87">
              <w:r>
                <w:rPr>
                  <w:rFonts w:ascii="Times New Roman" w:cs="Times New Roman" w:eastAsia="Times New Roman" w:hAnsi="Times New Roman"/>
                  <w:sz w:val="18"/>
                  <w:szCs w:val="18"/>
                  <w:color w:val="0000FF"/>
                  <w:w w:val="99"/>
                </w:rPr>
                <w:t>2015 Equity Incentive Plan (“2015 Plan”).</w:t>
              </w:r>
            </w:hyperlink>
          </w:p>
        </w:tc>
        <w:tc>
          <w:tcPr>
            <w:tcW w:w="20" w:type="dxa"/>
            <w:vAlign w:val="bottom"/>
            <w:tcBorders>
              <w:bottom w:val="single" w:sz="8" w:color="0000EE"/>
            </w:tcBorders>
          </w:tcPr>
          <w:p>
            <w:pPr>
              <w:spacing w:after="0"/>
              <w:rPr>
                <w:sz w:val="24"/>
                <w:szCs w:val="24"/>
                <w:color w:val="auto"/>
              </w:rPr>
            </w:pPr>
          </w:p>
        </w:tc>
        <w:tc>
          <w:tcPr>
            <w:tcW w:w="3640" w:type="dxa"/>
            <w:vAlign w:val="bottom"/>
            <w:gridSpan w:val="12"/>
          </w:tcPr>
          <w:p>
            <w:pPr>
              <w:spacing w:after="0"/>
              <w:rPr>
                <w:sz w:val="24"/>
                <w:szCs w:val="24"/>
                <w:color w:val="auto"/>
              </w:rPr>
            </w:pPr>
          </w:p>
        </w:tc>
      </w:tr>
      <w:tr>
        <w:trPr>
          <w:trHeight w:val="439"/>
        </w:trPr>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10.3(b)#</w:t>
            </w:r>
          </w:p>
        </w:tc>
        <w:tc>
          <w:tcPr>
            <w:tcW w:w="4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Form of 2015 Plan Option Agreement under the 2015 Plan.</w:t>
              </w:r>
            </w:hyperlink>
          </w:p>
        </w:tc>
        <w:tc>
          <w:tcPr>
            <w:tcW w:w="2440" w:type="dxa"/>
            <w:vAlign w:val="bottom"/>
            <w:gridSpan w:val="7"/>
          </w:tcPr>
          <w:p>
            <w:pPr>
              <w:spacing w:after="0"/>
              <w:rPr>
                <w:sz w:val="24"/>
                <w:szCs w:val="24"/>
                <w:color w:val="auto"/>
              </w:rPr>
            </w:pPr>
          </w:p>
        </w:tc>
      </w:tr>
      <w:tr>
        <w:trPr>
          <w:trHeight w:val="439"/>
        </w:trPr>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10.3(c)#</w:t>
            </w:r>
          </w:p>
        </w:tc>
        <w:tc>
          <w:tcPr>
            <w:tcW w:w="6720" w:type="dxa"/>
            <w:vAlign w:val="bottom"/>
            <w:gridSpan w:val="27"/>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of 2015 Plan Early Exercise Option Agreement</w:t>
              </w:r>
            </w:hyperlink>
          </w:p>
        </w:tc>
      </w:tr>
      <w:tr>
        <w:trPr>
          <w:trHeight w:val="425"/>
        </w:trPr>
        <w:tc>
          <w:tcPr>
            <w:tcW w:w="1040" w:type="dxa"/>
            <w:vAlign w:val="bottom"/>
          </w:tcPr>
          <w:p>
            <w:pPr>
              <w:spacing w:after="0"/>
              <w:rPr>
                <w:sz w:val="24"/>
                <w:szCs w:val="24"/>
                <w:color w:val="auto"/>
              </w:rPr>
            </w:pPr>
          </w:p>
        </w:tc>
        <w:tc>
          <w:tcPr>
            <w:tcW w:w="3840" w:type="dxa"/>
            <w:vAlign w:val="bottom"/>
            <w:tcBorders>
              <w:top w:val="single" w:sz="8" w:color="0000FF"/>
            </w:tcBorders>
            <w:gridSpan w:val="18"/>
          </w:tcPr>
          <w:p>
            <w:pPr>
              <w:spacing w:after="0"/>
              <w:rPr>
                <w:sz w:val="24"/>
                <w:szCs w:val="24"/>
                <w:color w:val="auto"/>
              </w:rPr>
            </w:pPr>
          </w:p>
        </w:tc>
        <w:tc>
          <w:tcPr>
            <w:tcW w:w="14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0"/>
        <w:spacing w:after="0"/>
        <w:tabs>
          <w:tab w:leader="none" w:pos="720" w:val="left"/>
          <w:tab w:leader="none" w:pos="19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2/27/2020</w:t>
      </w:r>
      <w:r>
        <w:rPr>
          <w:sz w:val="20"/>
          <w:szCs w:val="20"/>
          <w:color w:val="auto"/>
        </w:rPr>
        <w:tab/>
      </w:r>
      <w:r>
        <w:rPr>
          <w:rFonts w:ascii="Times New Roman" w:cs="Times New Roman" w:eastAsia="Times New Roman" w:hAnsi="Times New Roman"/>
          <w:sz w:val="17"/>
          <w:szCs w:val="17"/>
          <w:color w:val="auto"/>
        </w:rPr>
        <w:t>1.1</w:t>
      </w:r>
    </w:p>
    <w:p>
      <w:pPr>
        <w:spacing w:after="0" w:line="360" w:lineRule="exact"/>
        <w:rPr>
          <w:sz w:val="20"/>
          <w:szCs w:val="20"/>
          <w:color w:val="auto"/>
        </w:rPr>
      </w:pPr>
    </w:p>
    <w:p>
      <w:pPr>
        <w:ind w:left="80"/>
        <w:spacing w:after="0"/>
        <w:tabs>
          <w:tab w:leader="none" w:pos="680" w:val="left"/>
          <w:tab w:leader="none" w:pos="1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10/19/2015</w:t>
      </w:r>
      <w:r>
        <w:rPr>
          <w:sz w:val="20"/>
          <w:szCs w:val="20"/>
          <w:color w:val="auto"/>
        </w:rPr>
        <w:tab/>
      </w:r>
      <w:r>
        <w:rPr>
          <w:rFonts w:ascii="Times New Roman" w:cs="Times New Roman" w:eastAsia="Times New Roman" w:hAnsi="Times New Roman"/>
          <w:sz w:val="17"/>
          <w:szCs w:val="17"/>
          <w:color w:val="auto"/>
        </w:rPr>
        <w:t>3.1</w:t>
      </w:r>
    </w:p>
    <w:p>
      <w:pPr>
        <w:spacing w:after="0" w:line="360" w:lineRule="exact"/>
        <w:rPr>
          <w:sz w:val="20"/>
          <w:szCs w:val="20"/>
          <w:color w:val="auto"/>
        </w:rPr>
      </w:pPr>
    </w:p>
    <w:p>
      <w:pPr>
        <w:ind w:left="80"/>
        <w:spacing w:after="0"/>
        <w:tabs>
          <w:tab w:leader="none" w:pos="720" w:val="left"/>
          <w:tab w:leader="none" w:pos="1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6/23/2020</w:t>
      </w:r>
      <w:r>
        <w:rPr>
          <w:sz w:val="20"/>
          <w:szCs w:val="20"/>
          <w:color w:val="auto"/>
        </w:rPr>
        <w:tab/>
      </w:r>
      <w:r>
        <w:rPr>
          <w:rFonts w:ascii="Times New Roman" w:cs="Times New Roman" w:eastAsia="Times New Roman" w:hAnsi="Times New Roman"/>
          <w:sz w:val="17"/>
          <w:szCs w:val="17"/>
          <w:color w:val="auto"/>
        </w:rPr>
        <w:t>3.1</w:t>
      </w:r>
    </w:p>
    <w:p>
      <w:pPr>
        <w:spacing w:after="0" w:line="360" w:lineRule="exact"/>
        <w:rPr>
          <w:sz w:val="20"/>
          <w:szCs w:val="20"/>
          <w:color w:val="auto"/>
        </w:rPr>
      </w:pPr>
    </w:p>
    <w:p>
      <w:pPr>
        <w:ind w:left="80"/>
        <w:spacing w:after="0"/>
        <w:tabs>
          <w:tab w:leader="none" w:pos="680" w:val="left"/>
          <w:tab w:leader="none" w:pos="1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10/19/2015</w:t>
      </w:r>
      <w:r>
        <w:rPr>
          <w:sz w:val="20"/>
          <w:szCs w:val="20"/>
          <w:color w:val="auto"/>
        </w:rPr>
        <w:tab/>
      </w:r>
      <w:r>
        <w:rPr>
          <w:rFonts w:ascii="Times New Roman" w:cs="Times New Roman" w:eastAsia="Times New Roman" w:hAnsi="Times New Roman"/>
          <w:sz w:val="17"/>
          <w:szCs w:val="17"/>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720" w:val="left"/>
          <w:tab w:leader="none" w:pos="190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9/28/2015</w:t>
      </w:r>
      <w:r>
        <w:rPr>
          <w:sz w:val="20"/>
          <w:szCs w:val="20"/>
          <w:color w:val="auto"/>
        </w:rPr>
        <w:tab/>
      </w:r>
      <w:r>
        <w:rPr>
          <w:rFonts w:ascii="Times New Roman" w:cs="Times New Roman" w:eastAsia="Times New Roman" w:hAnsi="Times New Roman"/>
          <w:sz w:val="17"/>
          <w:szCs w:val="17"/>
          <w:color w:val="auto"/>
        </w:rPr>
        <w:t>4.1</w:t>
      </w:r>
    </w:p>
    <w:p>
      <w:pPr>
        <w:spacing w:after="0" w:line="360" w:lineRule="exact"/>
        <w:rPr>
          <w:sz w:val="20"/>
          <w:szCs w:val="20"/>
          <w:color w:val="auto"/>
        </w:rPr>
      </w:pPr>
    </w:p>
    <w:p>
      <w:pPr>
        <w:ind w:left="40"/>
        <w:spacing w:after="0"/>
        <w:tabs>
          <w:tab w:leader="none" w:pos="720" w:val="left"/>
          <w:tab w:leader="none" w:pos="19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11/7/2017</w:t>
      </w:r>
      <w:r>
        <w:rPr>
          <w:sz w:val="20"/>
          <w:szCs w:val="20"/>
          <w:color w:val="auto"/>
        </w:rPr>
        <w:tab/>
      </w:r>
      <w:r>
        <w:rPr>
          <w:rFonts w:ascii="Times New Roman" w:cs="Times New Roman" w:eastAsia="Times New Roman" w:hAnsi="Times New Roman"/>
          <w:sz w:val="17"/>
          <w:szCs w:val="17"/>
          <w:color w:val="auto"/>
        </w:rPr>
        <w:t>4.4</w:t>
      </w:r>
    </w:p>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8/6/2020</w:t>
      </w:r>
      <w:r>
        <w:rPr>
          <w:sz w:val="20"/>
          <w:szCs w:val="20"/>
          <w:color w:val="auto"/>
        </w:rPr>
        <w:tab/>
      </w:r>
      <w:r>
        <w:rPr>
          <w:rFonts w:ascii="Times New Roman" w:cs="Times New Roman" w:eastAsia="Times New Roman" w:hAnsi="Times New Roman"/>
          <w:sz w:val="17"/>
          <w:szCs w:val="17"/>
          <w:color w:val="auto"/>
        </w:rPr>
        <w:t>4.4</w:t>
      </w:r>
    </w:p>
    <w:p>
      <w:pPr>
        <w:spacing w:after="0" w:line="252" w:lineRule="exact"/>
        <w:rPr>
          <w:sz w:val="20"/>
          <w:szCs w:val="20"/>
          <w:color w:val="auto"/>
        </w:rPr>
      </w:pPr>
    </w:p>
    <w:p>
      <w:pPr>
        <w:ind w:left="80"/>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7/3/2023</w:t>
      </w:r>
      <w:r>
        <w:rPr>
          <w:sz w:val="20"/>
          <w:szCs w:val="20"/>
          <w:color w:val="auto"/>
        </w:rPr>
        <w:tab/>
      </w:r>
      <w:r>
        <w:rPr>
          <w:rFonts w:ascii="Times New Roman" w:cs="Times New Roman" w:eastAsia="Times New Roman" w:hAnsi="Times New Roman"/>
          <w:sz w:val="17"/>
          <w:szCs w:val="17"/>
          <w:color w:val="auto"/>
        </w:rPr>
        <w:t>4.1</w:t>
      </w:r>
    </w:p>
    <w:p>
      <w:pPr>
        <w:spacing w:after="0" w:line="252" w:lineRule="exact"/>
        <w:rPr>
          <w:sz w:val="20"/>
          <w:szCs w:val="20"/>
          <w:color w:val="auto"/>
        </w:rPr>
      </w:pPr>
    </w:p>
    <w:p>
      <w:pPr>
        <w:ind w:left="80"/>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7/3/2023</w:t>
      </w:r>
      <w:r>
        <w:rPr>
          <w:sz w:val="20"/>
          <w:szCs w:val="20"/>
          <w:color w:val="auto"/>
        </w:rPr>
        <w:tab/>
      </w:r>
      <w:r>
        <w:rPr>
          <w:rFonts w:ascii="Times New Roman" w:cs="Times New Roman" w:eastAsia="Times New Roman" w:hAnsi="Times New Roman"/>
          <w:sz w:val="17"/>
          <w:szCs w:val="17"/>
          <w:color w:val="auto"/>
        </w:rPr>
        <w:t>4.2</w:t>
      </w:r>
    </w:p>
    <w:p>
      <w:pPr>
        <w:spacing w:after="0" w:line="252" w:lineRule="exact"/>
        <w:rPr>
          <w:sz w:val="20"/>
          <w:szCs w:val="20"/>
          <w:color w:val="auto"/>
        </w:rPr>
      </w:pPr>
    </w:p>
    <w:p>
      <w:pPr>
        <w:ind w:left="10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7"/>
          <w:szCs w:val="17"/>
          <w:color w:val="auto"/>
        </w:rPr>
        <w:t>10.3</w:t>
      </w:r>
    </w:p>
    <w:p>
      <w:pPr>
        <w:spacing w:after="0" w:line="252" w:lineRule="exact"/>
        <w:rPr>
          <w:sz w:val="20"/>
          <w:szCs w:val="20"/>
          <w:color w:val="auto"/>
        </w:rPr>
      </w:pPr>
    </w:p>
    <w:p>
      <w:pPr>
        <w:ind w:left="10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7"/>
          <w:szCs w:val="17"/>
          <w:color w:val="auto"/>
        </w:rPr>
        <w:t>10.4</w:t>
      </w:r>
    </w:p>
    <w:p>
      <w:pPr>
        <w:spacing w:after="0" w:line="252" w:lineRule="exact"/>
        <w:rPr>
          <w:sz w:val="20"/>
          <w:szCs w:val="20"/>
          <w:color w:val="auto"/>
        </w:rPr>
      </w:pPr>
    </w:p>
    <w:p>
      <w:pPr>
        <w:ind w:left="10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7"/>
          <w:szCs w:val="17"/>
          <w:color w:val="auto"/>
        </w:rPr>
        <w:t>10.1</w:t>
      </w:r>
    </w:p>
    <w:p>
      <w:pPr>
        <w:spacing w:after="0" w:line="360" w:lineRule="exact"/>
        <w:rPr>
          <w:sz w:val="20"/>
          <w:szCs w:val="20"/>
          <w:color w:val="auto"/>
        </w:rPr>
      </w:pPr>
    </w:p>
    <w:p>
      <w:pPr>
        <w:ind w:left="10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8/28/2015</w:t>
      </w:r>
      <w:r>
        <w:rPr>
          <w:sz w:val="20"/>
          <w:szCs w:val="20"/>
          <w:color w:val="auto"/>
        </w:rPr>
        <w:tab/>
      </w:r>
      <w:r>
        <w:rPr>
          <w:rFonts w:ascii="Times New Roman" w:cs="Times New Roman" w:eastAsia="Times New Roman" w:hAnsi="Times New Roman"/>
          <w:sz w:val="17"/>
          <w:szCs w:val="17"/>
          <w:color w:val="auto"/>
        </w:rPr>
        <w:t>10.2</w:t>
      </w:r>
    </w:p>
    <w:p>
      <w:pPr>
        <w:spacing w:after="0" w:line="360" w:lineRule="exact"/>
        <w:rPr>
          <w:sz w:val="20"/>
          <w:szCs w:val="20"/>
          <w:color w:val="auto"/>
        </w:rPr>
      </w:pPr>
    </w:p>
    <w:p>
      <w:pPr>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10/6/2015</w:t>
      </w:r>
      <w:r>
        <w:rPr>
          <w:sz w:val="20"/>
          <w:szCs w:val="20"/>
          <w:color w:val="auto"/>
        </w:rPr>
        <w:tab/>
      </w:r>
      <w:r>
        <w:rPr>
          <w:rFonts w:ascii="Times New Roman" w:cs="Times New Roman" w:eastAsia="Times New Roman" w:hAnsi="Times New Roman"/>
          <w:sz w:val="17"/>
          <w:szCs w:val="17"/>
          <w:color w:val="auto"/>
        </w:rPr>
        <w:t>10.5</w:t>
      </w:r>
    </w:p>
    <w:p>
      <w:pPr>
        <w:spacing w:after="0" w:line="252" w:lineRule="exact"/>
        <w:rPr>
          <w:sz w:val="20"/>
          <w:szCs w:val="20"/>
          <w:color w:val="auto"/>
        </w:rPr>
      </w:pPr>
    </w:p>
    <w:p>
      <w:pPr>
        <w:ind w:left="40"/>
        <w:spacing w:after="0"/>
        <w:tabs>
          <w:tab w:leader="none" w:pos="680" w:val="left"/>
          <w:tab w:leader="none" w:pos="186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11/23/2015</w:t>
      </w:r>
      <w:r>
        <w:rPr>
          <w:sz w:val="20"/>
          <w:szCs w:val="20"/>
          <w:color w:val="auto"/>
        </w:rPr>
        <w:tab/>
      </w:r>
      <w:r>
        <w:rPr>
          <w:rFonts w:ascii="Times New Roman" w:cs="Times New Roman" w:eastAsia="Times New Roman" w:hAnsi="Times New Roman"/>
          <w:sz w:val="17"/>
          <w:szCs w:val="17"/>
          <w:color w:val="auto"/>
        </w:rPr>
        <w:t>10.4</w:t>
      </w:r>
    </w:p>
    <w:p>
      <w:pPr>
        <w:spacing w:after="0" w:line="252" w:lineRule="exact"/>
        <w:rPr>
          <w:sz w:val="20"/>
          <w:szCs w:val="20"/>
          <w:color w:val="auto"/>
        </w:rPr>
      </w:pPr>
    </w:p>
    <w:p>
      <w:pPr>
        <w:ind w:left="40"/>
        <w:spacing w:after="0"/>
        <w:tabs>
          <w:tab w:leader="none" w:pos="680" w:val="left"/>
          <w:tab w:leader="none" w:pos="186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11/23/2015</w:t>
      </w:r>
      <w:r>
        <w:rPr>
          <w:sz w:val="20"/>
          <w:szCs w:val="20"/>
          <w:color w:val="auto"/>
        </w:rPr>
        <w:tab/>
      </w:r>
      <w:r>
        <w:rPr>
          <w:rFonts w:ascii="Times New Roman" w:cs="Times New Roman" w:eastAsia="Times New Roman" w:hAnsi="Times New Roman"/>
          <w:sz w:val="17"/>
          <w:szCs w:val="17"/>
          <w:color w:val="auto"/>
        </w:rPr>
        <w:t>10.5</w:t>
      </w:r>
    </w:p>
    <w:p>
      <w:pPr>
        <w:sectPr>
          <w:pgSz w:w="11900" w:h="16838" w:orient="portrait"/>
          <w:cols w:equalWidth="0" w:num="2">
            <w:col w:w="7780" w:space="220"/>
            <w:col w:w="3240"/>
          </w:cols>
          <w:pgMar w:left="320" w:top="981"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10.3(d)#</w:t>
            </w:r>
          </w:p>
        </w:tc>
        <w:tc>
          <w:tcPr>
            <w:tcW w:w="5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Form of 2015 Plan Restricted Share Unit Award Grant Notice and Agreement</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2"/>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3/21/2022</w:t>
            </w:r>
          </w:p>
        </w:tc>
        <w:tc>
          <w:tcPr>
            <w:tcW w:w="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10.3(d)</w:t>
            </w: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67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2019 Employment Inducement Incentive Plan adopted on September 18, 2019 (“2019 Plan”).</w:t>
              </w:r>
            </w:hyperlink>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11/7/2019</w:t>
            </w:r>
          </w:p>
        </w:tc>
        <w:tc>
          <w:tcPr>
            <w:tcW w:w="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6760" w:type="dxa"/>
            <w:vAlign w:val="bottom"/>
            <w:gridSpan w:val="24"/>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Form of Stock Option Agreement under the 2019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11/7/2019</w:t>
            </w:r>
          </w:p>
        </w:tc>
        <w:tc>
          <w:tcPr>
            <w:tcW w:w="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760" w:type="dxa"/>
            <w:vAlign w:val="bottom"/>
            <w:gridSpan w:val="24"/>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2015 CytomX Therapeutics, Inc. Employee Stock Purchase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9/28/2015</w:t>
            </w:r>
          </w:p>
        </w:tc>
        <w:tc>
          <w:tcPr>
            <w:tcW w:w="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7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Indemnification Agreement by and between CytomX Therapeutics, Inc. and each of</w:t>
              </w:r>
            </w:hyperlink>
          </w:p>
        </w:tc>
        <w:tc>
          <w:tcPr>
            <w:tcW w:w="40" w:type="dxa"/>
            <w:vAlign w:val="bottom"/>
            <w:gridSpan w:val="2"/>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676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its directors and each of its executive officers.</w:t>
              </w:r>
            </w:hyperlink>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40" w:type="dxa"/>
            <w:vAlign w:val="bottom"/>
          </w:tcPr>
          <w:p>
            <w:pPr>
              <w:spacing w:after="0"/>
              <w:rPr>
                <w:sz w:val="5"/>
                <w:szCs w:val="5"/>
                <w:color w:val="auto"/>
              </w:rPr>
            </w:pPr>
          </w:p>
        </w:tc>
        <w:tc>
          <w:tcPr>
            <w:tcW w:w="6760" w:type="dxa"/>
            <w:vAlign w:val="bottom"/>
            <w:gridSpan w:val="24"/>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Employment Offer Letter Agreement between CytomX Therapeutics, Inc. and Sean A.</w:t>
              </w:r>
            </w:hyperlink>
          </w:p>
        </w:tc>
        <w:tc>
          <w:tcPr>
            <w:tcW w:w="460" w:type="dxa"/>
            <w:vAlign w:val="bottom"/>
            <w:gridSpan w:val="8"/>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8/28/2015</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10.7</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700" w:type="dxa"/>
            <w:vAlign w:val="bottom"/>
            <w:gridSpan w:val="7"/>
            <w:vMerge w:val="restart"/>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McCarthy, D. Phil, dated as of December 15, 2010.</w:t>
              </w:r>
            </w:hyperlink>
          </w:p>
        </w:tc>
        <w:tc>
          <w:tcPr>
            <w:tcW w:w="20" w:type="dxa"/>
            <w:vAlign w:val="bottom"/>
            <w:vMerge w:val="restart"/>
          </w:tcPr>
          <w:p>
            <w:pPr>
              <w:spacing w:after="0"/>
              <w:rPr>
                <w:sz w:val="11"/>
                <w:szCs w:val="11"/>
                <w:color w:val="auto"/>
              </w:rPr>
            </w:pPr>
          </w:p>
        </w:tc>
        <w:tc>
          <w:tcPr>
            <w:tcW w:w="3040" w:type="dxa"/>
            <w:vAlign w:val="bottom"/>
            <w:gridSpan w:val="16"/>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3700" w:type="dxa"/>
            <w:vAlign w:val="bottom"/>
            <w:tcBorders>
              <w:bottom w:val="single" w:sz="8" w:color="0000FF"/>
            </w:tcBorders>
            <w:gridSpan w:val="7"/>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040" w:type="dxa"/>
            <w:vAlign w:val="bottom"/>
            <w:gridSpan w:val="16"/>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62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Employment Offer Letter Agreement between CytomX Therapeutics, Inc. and Jeffrey</w:t>
              </w:r>
            </w:hyperlink>
          </w:p>
        </w:tc>
        <w:tc>
          <w:tcPr>
            <w:tcW w:w="540" w:type="dxa"/>
            <w:vAlign w:val="bottom"/>
            <w:gridSpan w:val="9"/>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60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Landau dated as of March 31, 2021.</w:t>
              </w:r>
            </w:hyperlink>
          </w:p>
        </w:tc>
        <w:tc>
          <w:tcPr>
            <w:tcW w:w="20" w:type="dxa"/>
            <w:vAlign w:val="bottom"/>
            <w:vMerge w:val="restart"/>
          </w:tcPr>
          <w:p>
            <w:pPr>
              <w:spacing w:after="0"/>
              <w:rPr>
                <w:sz w:val="11"/>
                <w:szCs w:val="11"/>
                <w:color w:val="auto"/>
              </w:rPr>
            </w:pPr>
          </w:p>
        </w:tc>
        <w:tc>
          <w:tcPr>
            <w:tcW w:w="4140" w:type="dxa"/>
            <w:vAlign w:val="bottom"/>
            <w:gridSpan w:val="19"/>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260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140" w:type="dxa"/>
            <w:vAlign w:val="bottom"/>
            <w:gridSpan w:val="19"/>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4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Amended and Restated Severance and Change of Control Agreement dated February 27,</w:t>
              </w:r>
            </w:hyperlink>
          </w:p>
        </w:tc>
        <w:tc>
          <w:tcPr>
            <w:tcW w:w="320" w:type="dxa"/>
            <w:vAlign w:val="bottom"/>
            <w:gridSpan w:val="7"/>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5/9/2019</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570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2019, by and between CytomX Therapeutics, Inc. and Sean McCarthy. D. Phil.</w:t>
              </w:r>
            </w:hyperlink>
          </w:p>
        </w:tc>
        <w:tc>
          <w:tcPr>
            <w:tcW w:w="1060" w:type="dxa"/>
            <w:vAlign w:val="bottom"/>
            <w:gridSpan w:val="11"/>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5700" w:type="dxa"/>
            <w:vAlign w:val="bottom"/>
            <w:tcBorders>
              <w:bottom w:val="single" w:sz="8" w:color="0000FF"/>
            </w:tcBorders>
            <w:gridSpan w:val="13"/>
            <w:vMerge w:val="continue"/>
          </w:tcPr>
          <w:p>
            <w:pPr>
              <w:spacing w:after="0"/>
              <w:rPr>
                <w:sz w:val="5"/>
                <w:szCs w:val="5"/>
                <w:color w:val="auto"/>
              </w:rPr>
            </w:pPr>
          </w:p>
        </w:tc>
        <w:tc>
          <w:tcPr>
            <w:tcW w:w="1060" w:type="dxa"/>
            <w:vAlign w:val="bottom"/>
            <w:gridSpan w:val="11"/>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Amended and Restated Severance and Change of Control Agreement dated March 25, 2019,</w:t>
              </w:r>
            </w:hyperlink>
          </w:p>
        </w:tc>
        <w:tc>
          <w:tcPr>
            <w:tcW w:w="60" w:type="dxa"/>
            <w:vAlign w:val="bottom"/>
            <w:gridSpan w:val="3"/>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5/9/2019</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70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by and between CytomX Therapeutics, Inc. and Lloyd Rowland.</w:t>
              </w:r>
            </w:hyperlink>
          </w:p>
        </w:tc>
        <w:tc>
          <w:tcPr>
            <w:tcW w:w="2060" w:type="dxa"/>
            <w:vAlign w:val="bottom"/>
            <w:gridSpan w:val="14"/>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4700" w:type="dxa"/>
            <w:vAlign w:val="bottom"/>
            <w:tcBorders>
              <w:bottom w:val="single" w:sz="8" w:color="0000FF"/>
            </w:tcBorders>
            <w:gridSpan w:val="10"/>
            <w:vMerge w:val="continue"/>
          </w:tcPr>
          <w:p>
            <w:pPr>
              <w:spacing w:after="0"/>
              <w:rPr>
                <w:sz w:val="5"/>
                <w:szCs w:val="5"/>
                <w:color w:val="auto"/>
              </w:rPr>
            </w:pPr>
          </w:p>
        </w:tc>
        <w:tc>
          <w:tcPr>
            <w:tcW w:w="2060" w:type="dxa"/>
            <w:vAlign w:val="bottom"/>
            <w:gridSpan w:val="14"/>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2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Amended and Restated Severance and Change of Control Agreement by and</w:t>
              </w:r>
            </w:hyperlink>
          </w:p>
        </w:tc>
        <w:tc>
          <w:tcPr>
            <w:tcW w:w="56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between CytomX Therapeutics, Inc. and each of its executive officers other than Sean A.</w:t>
              </w:r>
            </w:hyperlink>
          </w:p>
        </w:tc>
        <w:tc>
          <w:tcPr>
            <w:tcW w:w="320" w:type="dxa"/>
            <w:vAlign w:val="bottom"/>
            <w:gridSpan w:val="7"/>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8/8/2023</w:t>
            </w:r>
          </w:p>
        </w:tc>
        <w:tc>
          <w:tcPr>
            <w:tcW w:w="66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McCarthy.</w:t>
              </w:r>
            </w:hyperlink>
          </w:p>
        </w:tc>
        <w:tc>
          <w:tcPr>
            <w:tcW w:w="5960" w:type="dxa"/>
            <w:vAlign w:val="bottom"/>
            <w:gridSpan w:val="23"/>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66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Lease dated as of December 10, 2015, by and between CytomX Therapeutics, Inc. and HCP</w:t>
              </w:r>
            </w:hyperlink>
          </w:p>
        </w:tc>
        <w:tc>
          <w:tcPr>
            <w:tcW w:w="80" w:type="dxa"/>
            <w:vAlign w:val="bottom"/>
            <w:gridSpan w:val="4"/>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12/16/2015</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676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Oyster Point III LLC.</w:t>
              </w:r>
            </w:hyperlink>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760" w:type="dxa"/>
            <w:vAlign w:val="bottom"/>
            <w:gridSpan w:val="24"/>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67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Sublease Agreement dated as of March 24, 2023, by and between CytomX Therapeutics, Inc</w:t>
              </w:r>
            </w:hyperlink>
          </w:p>
        </w:tc>
        <w:tc>
          <w:tcPr>
            <w:tcW w:w="40" w:type="dxa"/>
            <w:vAlign w:val="bottom"/>
            <w:gridSpan w:val="2"/>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5/9/2023</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676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and Atomic AI, Inc.</w:t>
              </w:r>
            </w:hyperlink>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40" w:type="dxa"/>
            <w:vAlign w:val="bottom"/>
          </w:tcPr>
          <w:p>
            <w:pPr>
              <w:spacing w:after="0"/>
              <w:rPr>
                <w:sz w:val="5"/>
                <w:szCs w:val="5"/>
                <w:color w:val="auto"/>
              </w:rPr>
            </w:pPr>
          </w:p>
        </w:tc>
        <w:tc>
          <w:tcPr>
            <w:tcW w:w="6760" w:type="dxa"/>
            <w:vAlign w:val="bottom"/>
            <w:gridSpan w:val="24"/>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51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6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Exclusive License Agreement dated as of August 19, 2010, by and between The Regents of</w:t>
              </w:r>
            </w:hyperlink>
          </w:p>
        </w:tc>
        <w:tc>
          <w:tcPr>
            <w:tcW w:w="1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7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the University of California and CytomX Therapeutics, Inc., as amended by Amendment No.</w:t>
              </w:r>
            </w:hyperlink>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9/18/2015</w:t>
            </w:r>
          </w:p>
        </w:tc>
        <w:tc>
          <w:tcPr>
            <w:tcW w:w="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6660" w:type="dxa"/>
            <w:vAlign w:val="bottom"/>
            <w:gridSpan w:val="19"/>
            <w:vMerge w:val="restart"/>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1 to Exclusive Agreement effective as of May 30, 2013 and Amendment No. 2 to Exclusive</w:t>
              </w:r>
            </w:hyperlink>
          </w:p>
        </w:tc>
        <w:tc>
          <w:tcPr>
            <w:tcW w:w="100" w:type="dxa"/>
            <w:vAlign w:val="bottom"/>
            <w:gridSpan w:val="5"/>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6660" w:type="dxa"/>
            <w:vAlign w:val="bottom"/>
            <w:tcBorders>
              <w:bottom w:val="single" w:sz="8" w:color="0000FF"/>
            </w:tcBorders>
            <w:gridSpan w:val="19"/>
            <w:vMerge w:val="continue"/>
          </w:tcPr>
          <w:p>
            <w:pPr>
              <w:spacing w:after="0"/>
              <w:rPr>
                <w:sz w:val="5"/>
                <w:szCs w:val="5"/>
                <w:color w:val="auto"/>
              </w:rPr>
            </w:pPr>
          </w:p>
        </w:tc>
        <w:tc>
          <w:tcPr>
            <w:tcW w:w="10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303">
        <w:r>
          <w:rPr>
            <w:rFonts w:ascii="Times New Roman" w:cs="Times New Roman" w:eastAsia="Times New Roman" w:hAnsi="Times New Roman"/>
            <w:sz w:val="18"/>
            <w:szCs w:val="18"/>
            <w:u w:val="single" w:color="auto"/>
            <w:color w:val="0000FF"/>
          </w:rPr>
          <w:t>Agreement effective as of November 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-7620</wp:posOffset>
            </wp:positionV>
            <wp:extent cx="2091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10280"/>
          </w:cols>
          <w:pgMar w:left="340" w:top="972" w:right="1279" w:bottom="1440" w:gutter="0" w:footer="0" w:header="0"/>
        </w:sectPr>
      </w:pPr>
    </w:p>
    <w:p>
      <w:pPr>
        <w:spacing w:after="0" w:line="252" w:lineRule="exact"/>
        <w:rPr>
          <w:sz w:val="20"/>
          <w:szCs w:val="20"/>
          <w:color w:val="auto"/>
        </w:rPr>
      </w:pPr>
    </w:p>
    <w:p>
      <w:pPr>
        <w:ind w:left="1040" w:right="340" w:hanging="1039"/>
        <w:spacing w:after="0" w:line="312"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10.13(b)††</w:t>
      </w:r>
      <w:r>
        <w:rPr>
          <w:sz w:val="20"/>
          <w:szCs w:val="20"/>
          <w:color w:val="auto"/>
        </w:rPr>
        <w:tab/>
      </w:r>
      <w:hyperlink r:id="rId305">
        <w:r>
          <w:rPr>
            <w:rFonts w:ascii="Times New Roman" w:cs="Times New Roman" w:eastAsia="Times New Roman" w:hAnsi="Times New Roman"/>
            <w:sz w:val="17"/>
            <w:szCs w:val="17"/>
            <w:u w:val="single" w:color="auto"/>
            <w:color w:val="0000FF"/>
          </w:rPr>
          <w:t>Amendment No.3 to Exclusive License Agreement effective as of April 2, 2019, by and</w:t>
        </w:r>
      </w:hyperlink>
      <w:r>
        <w:rPr>
          <w:rFonts w:ascii="Times New Roman" w:cs="Times New Roman" w:eastAsia="Times New Roman" w:hAnsi="Times New Roman"/>
          <w:sz w:val="17"/>
          <w:szCs w:val="17"/>
          <w:u w:val="single" w:color="auto"/>
          <w:color w:val="0000FF"/>
        </w:rPr>
        <w:t xml:space="preserve"> </w:t>
      </w:r>
      <w:hyperlink r:id="rId305">
        <w:r>
          <w:rPr>
            <w:rFonts w:ascii="Times New Roman" w:cs="Times New Roman" w:eastAsia="Times New Roman" w:hAnsi="Times New Roman"/>
            <w:sz w:val="17"/>
            <w:szCs w:val="17"/>
            <w:u w:val="single" w:color="auto"/>
            <w:color w:val="0000FF"/>
          </w:rPr>
          <w:t>between CytomX Therapeutics, Inc. and The Regents of the University of California.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-198755</wp:posOffset>
            </wp:positionV>
            <wp:extent cx="40430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4043045"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-61595</wp:posOffset>
            </wp:positionV>
            <wp:extent cx="38963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3896360" cy="8255"/>
                    </a:xfrm>
                    <a:prstGeom prst="rect">
                      <a:avLst/>
                    </a:prstGeom>
                    <a:noFill/>
                  </pic:spPr>
                </pic:pic>
              </a:graphicData>
            </a:graphic>
          </wp:anchor>
        </w:drawing>
      </w:r>
    </w:p>
    <w:p>
      <w:pPr>
        <w:spacing w:after="0" w:line="147" w:lineRule="exact"/>
        <w:rPr>
          <w:sz w:val="20"/>
          <w:szCs w:val="20"/>
          <w:color w:val="auto"/>
        </w:rPr>
      </w:pPr>
    </w:p>
    <w:p>
      <w:pPr>
        <w:ind w:left="1040" w:right="160" w:hanging="1039"/>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10.14(a)†</w:t>
      </w:r>
      <w:r>
        <w:rPr>
          <w:sz w:val="20"/>
          <w:szCs w:val="20"/>
          <w:color w:val="auto"/>
        </w:rPr>
        <w:tab/>
      </w:r>
      <w:hyperlink r:id="rId308">
        <w:r>
          <w:rPr>
            <w:rFonts w:ascii="Times New Roman" w:cs="Times New Roman" w:eastAsia="Times New Roman" w:hAnsi="Times New Roman"/>
            <w:sz w:val="18"/>
            <w:szCs w:val="18"/>
            <w:u w:val="single" w:color="auto"/>
            <w:color w:val="0000FF"/>
          </w:rPr>
          <w:t>Collaboration and License Agreement dated as of May 23, 2014, by and between CytomX</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Therapeutics, Inc. and Bristol Myers Squibb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-185420</wp:posOffset>
            </wp:positionV>
            <wp:extent cx="415671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415671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-48260</wp:posOffset>
            </wp:positionV>
            <wp:extent cx="25215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169" w:lineRule="exact"/>
        <w:rPr>
          <w:sz w:val="20"/>
          <w:szCs w:val="20"/>
          <w:color w:val="auto"/>
        </w:rPr>
      </w:pPr>
    </w:p>
    <w:p>
      <w:pPr>
        <w:ind w:left="1040" w:hanging="1039"/>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10.14(b)†</w:t>
      </w:r>
      <w:r>
        <w:rPr>
          <w:sz w:val="20"/>
          <w:szCs w:val="20"/>
          <w:color w:val="auto"/>
        </w:rPr>
        <w:tab/>
      </w:r>
      <w:hyperlink r:id="rId311">
        <w:r>
          <w:rPr>
            <w:rFonts w:ascii="Times New Roman" w:cs="Times New Roman" w:eastAsia="Times New Roman" w:hAnsi="Times New Roman"/>
            <w:sz w:val="18"/>
            <w:szCs w:val="18"/>
            <w:u w:val="single" w:color="auto"/>
            <w:color w:val="0000FF"/>
          </w:rPr>
          <w:t>Amendment to Extend Collaboration and License Agreement, dated March 17, 2017, by and</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between the Company and Bristol Myers Squibb.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-185420</wp:posOffset>
            </wp:positionV>
            <wp:extent cx="42576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4257675"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-48260</wp:posOffset>
            </wp:positionV>
            <wp:extent cx="22561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72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5/9/2019</w:t>
      </w:r>
      <w:r>
        <w:rPr>
          <w:sz w:val="20"/>
          <w:szCs w:val="20"/>
          <w:color w:val="auto"/>
        </w:rPr>
        <w:tab/>
      </w: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11/5/2020</w:t>
      </w:r>
      <w:r>
        <w:rPr>
          <w:sz w:val="20"/>
          <w:szCs w:val="20"/>
          <w:color w:val="auto"/>
        </w:rPr>
        <w:tab/>
      </w: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5/5/2017</w:t>
      </w:r>
      <w:r>
        <w:rPr>
          <w:sz w:val="20"/>
          <w:szCs w:val="20"/>
          <w:color w:val="auto"/>
        </w:rPr>
        <w:tab/>
      </w:r>
      <w:r>
        <w:rPr>
          <w:rFonts w:ascii="Times New Roman" w:cs="Times New Roman" w:eastAsia="Times New Roman" w:hAnsi="Times New Roman"/>
          <w:sz w:val="17"/>
          <w:szCs w:val="17"/>
          <w:color w:val="auto"/>
        </w:rPr>
        <w:t>10.1</w:t>
      </w:r>
    </w:p>
    <w:p>
      <w:pPr>
        <w:spacing w:after="0" w:line="371" w:lineRule="exact"/>
        <w:rPr>
          <w:sz w:val="20"/>
          <w:szCs w:val="20"/>
          <w:color w:val="auto"/>
        </w:rPr>
      </w:pPr>
    </w:p>
    <w:p>
      <w:pPr>
        <w:sectPr>
          <w:pgSz w:w="11900" w:h="16838" w:orient="portrait"/>
          <w:cols w:equalWidth="0" w:num="2">
            <w:col w:w="7700" w:space="320"/>
            <w:col w:w="2260"/>
          </w:cols>
          <w:pgMar w:left="340" w:top="972" w:right="1279" w:bottom="1440" w:gutter="0" w:footer="0" w:header="0"/>
          <w:type w:val="continuous"/>
        </w:sectPr>
      </w:pPr>
    </w:p>
    <w:p>
      <w:pPr>
        <w:spacing w:after="0" w:line="16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40" w:top="972" w:right="127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10.14(c)†</w:t>
            </w:r>
          </w:p>
        </w:tc>
        <w:tc>
          <w:tcPr>
            <w:tcW w:w="65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2 to Collaboration and License Agreement, as amended, dated March 17,</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2017, by and between the Company and Bristol Myers Squibb, effective as of February 22,</w:t>
              </w:r>
            </w:hyperlink>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15">
              <w:r>
                <w:rPr>
                  <w:rFonts w:ascii="Times New Roman" w:cs="Times New Roman" w:eastAsia="Times New Roman" w:hAnsi="Times New Roman"/>
                  <w:sz w:val="18"/>
                  <w:szCs w:val="18"/>
                  <w:color w:val="0000FF"/>
                  <w:w w:val="93"/>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10.14(d)†</w:t>
            </w:r>
          </w:p>
        </w:tc>
        <w:tc>
          <w:tcPr>
            <w:tcW w:w="6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Amendment No 3 to Collaboration and License Agreement, dated May 23, 2014, by and</w:t>
              </w:r>
            </w:hyperlink>
          </w:p>
        </w:tc>
        <w:tc>
          <w:tcPr>
            <w:tcW w:w="34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between the Company and Bristol Myers Squibb Company, effective as of October 11, 2022.</w:t>
              </w:r>
            </w:hyperlink>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10.15(a)†</w:t>
            </w:r>
          </w:p>
        </w:tc>
        <w:tc>
          <w:tcPr>
            <w:tcW w:w="650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Co-Development and License Agreement, dated April 21, 2016, by and between CytomX</w:t>
              </w:r>
            </w:hyperlink>
          </w:p>
        </w:tc>
        <w:tc>
          <w:tcPr>
            <w:tcW w:w="180" w:type="dxa"/>
            <w:vAlign w:val="bottom"/>
            <w:tcBorders>
              <w:top w:val="single" w:sz="8" w:color="0000FF"/>
            </w:tcBorders>
            <w:gridSpan w:val="7"/>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Therapeutics, Inc. and AbbVie Ireland Unlimited Company.</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23"/>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10.15(b)†</w:t>
            </w:r>
          </w:p>
        </w:tc>
        <w:tc>
          <w:tcPr>
            <w:tcW w:w="64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First Amendment to the CD71 Co-Development and License Agreement by and between</w:t>
              </w:r>
            </w:hyperlink>
          </w:p>
        </w:tc>
        <w:tc>
          <w:tcPr>
            <w:tcW w:w="32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CytomX Therapeutics, Inc. and AbbVie Ireland Unlimited Company, dated as of October 5,</w:t>
              </w:r>
            </w:hyperlink>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18">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10.15(c)†</w:t>
            </w:r>
          </w:p>
        </w:tc>
        <w:tc>
          <w:tcPr>
            <w:tcW w:w="66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Second Amendment to the CD71 Co-Development and License Agreement by and between</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CytomX Therapeutics, Inc. and AbbVie Ireland Unlimited Company, effective as of March</w:t>
              </w:r>
            </w:hyperlink>
          </w:p>
        </w:tc>
      </w:tr>
      <w:tr>
        <w:trPr>
          <w:trHeight w:val="196"/>
        </w:trPr>
        <w:tc>
          <w:tcPr>
            <w:tcW w:w="1040" w:type="dxa"/>
            <w:vAlign w:val="bottom"/>
          </w:tcPr>
          <w:p>
            <w:pPr>
              <w:spacing w:after="0"/>
              <w:rPr>
                <w:sz w:val="17"/>
                <w:szCs w:val="17"/>
                <w:color w:val="auto"/>
              </w:rPr>
            </w:pPr>
          </w:p>
        </w:tc>
        <w:tc>
          <w:tcPr>
            <w:tcW w:w="6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7"/>
              </w:rPr>
            </w:pPr>
            <w:hyperlink r:id="rId319">
              <w:r>
                <w:rPr>
                  <w:rFonts w:ascii="Times New Roman" w:cs="Times New Roman" w:eastAsia="Times New Roman" w:hAnsi="Times New Roman"/>
                  <w:sz w:val="18"/>
                  <w:szCs w:val="18"/>
                  <w:color w:val="0000FF"/>
                  <w:w w:val="97"/>
                </w:rPr>
                <w:t>31, 2017.</w:t>
              </w:r>
            </w:hyperlink>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10.15(d)†</w:t>
            </w:r>
          </w:p>
        </w:tc>
        <w:tc>
          <w:tcPr>
            <w:tcW w:w="65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Third Amendment to the CD71 Co-Development and License Agreement by and between</w:t>
              </w:r>
            </w:hyperlink>
          </w:p>
        </w:tc>
        <w:tc>
          <w:tcPr>
            <w:tcW w:w="24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CytomX Therapeutics, Inc. and AbbVie Ireland Unlimited Company, effective as of January</w:t>
              </w:r>
            </w:hyperlink>
          </w:p>
        </w:tc>
      </w:tr>
      <w:tr>
        <w:trPr>
          <w:trHeight w:val="196"/>
        </w:trPr>
        <w:tc>
          <w:tcPr>
            <w:tcW w:w="1040" w:type="dxa"/>
            <w:vAlign w:val="bottom"/>
          </w:tcPr>
          <w:p>
            <w:pPr>
              <w:spacing w:after="0"/>
              <w:rPr>
                <w:sz w:val="17"/>
                <w:szCs w:val="17"/>
                <w:color w:val="auto"/>
              </w:rPr>
            </w:pPr>
          </w:p>
        </w:tc>
        <w:tc>
          <w:tcPr>
            <w:tcW w:w="5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5"/>
              </w:rPr>
            </w:pPr>
            <w:hyperlink r:id="rId320">
              <w:r>
                <w:rPr>
                  <w:rFonts w:ascii="Times New Roman" w:cs="Times New Roman" w:eastAsia="Times New Roman" w:hAnsi="Times New Roman"/>
                  <w:sz w:val="18"/>
                  <w:szCs w:val="18"/>
                  <w:color w:val="0000FF"/>
                  <w:w w:val="95"/>
                </w:rPr>
                <w:t>3, 2018.</w:t>
              </w:r>
            </w:hyperlink>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10.15(e)†</w:t>
            </w:r>
          </w:p>
        </w:tc>
        <w:tc>
          <w:tcPr>
            <w:tcW w:w="65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Amended and Restated Discovery Collaboration and License Agreement, dated as of June</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1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28, 2019, by and between CytomX Therapeutics, Inc., and AbbVie Ireland Unlimited</w:t>
              </w:r>
            </w:hyperlink>
          </w:p>
        </w:tc>
        <w:tc>
          <w:tcPr>
            <w:tcW w:w="58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6"/>
              </w:rPr>
            </w:pPr>
            <w:hyperlink r:id="rId321">
              <w:r>
                <w:rPr>
                  <w:rFonts w:ascii="Times New Roman" w:cs="Times New Roman" w:eastAsia="Times New Roman" w:hAnsi="Times New Roman"/>
                  <w:sz w:val="18"/>
                  <w:szCs w:val="18"/>
                  <w:color w:val="0000FF"/>
                  <w:w w:val="96"/>
                </w:rPr>
                <w:t>Company.</w:t>
              </w:r>
            </w:hyperlink>
          </w:p>
        </w:tc>
        <w:tc>
          <w:tcPr>
            <w:tcW w:w="20" w:type="dxa"/>
            <w:vAlign w:val="bottom"/>
            <w:tcBorders>
              <w:bottom w:val="single" w:sz="8" w:color="0000EE"/>
            </w:tcBorders>
          </w:tcPr>
          <w:p>
            <w:pPr>
              <w:spacing w:after="0"/>
              <w:rPr>
                <w:sz w:val="17"/>
                <w:szCs w:val="17"/>
                <w:color w:val="auto"/>
              </w:rPr>
            </w:pPr>
          </w:p>
        </w:tc>
        <w:tc>
          <w:tcPr>
            <w:tcW w:w="6000" w:type="dxa"/>
            <w:vAlign w:val="bottom"/>
            <w:gridSpan w:val="29"/>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10.15(f)††</w:t>
            </w:r>
          </w:p>
        </w:tc>
        <w:tc>
          <w:tcPr>
            <w:tcW w:w="67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Transition Agreement effective as of August 22, 2023 by and between CytomX Therapeutics,</w:t>
              </w:r>
            </w:hyperlink>
          </w:p>
        </w:tc>
      </w:tr>
      <w:tr>
        <w:trPr>
          <w:trHeight w:val="196"/>
        </w:trPr>
        <w:tc>
          <w:tcPr>
            <w:tcW w:w="104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Inc., and AbbVie Global Enterprises Ltd.</w:t>
              </w:r>
            </w:hyperlink>
          </w:p>
        </w:tc>
        <w:tc>
          <w:tcPr>
            <w:tcW w:w="3760" w:type="dxa"/>
            <w:vAlign w:val="bottom"/>
            <w:gridSpan w:val="28"/>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10.16(a)††</w:t>
            </w:r>
          </w:p>
        </w:tc>
        <w:tc>
          <w:tcPr>
            <w:tcW w:w="62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Collaboration and License Agreement by and between CytomX Therapeutics, Inc. and</w:t>
              </w:r>
            </w:hyperlink>
          </w:p>
        </w:tc>
        <w:tc>
          <w:tcPr>
            <w:tcW w:w="48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2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Amgen, Inc. dated as of September 29, 2017.</w:t>
              </w:r>
            </w:hyperlink>
          </w:p>
        </w:tc>
        <w:tc>
          <w:tcPr>
            <w:tcW w:w="3500" w:type="dxa"/>
            <w:vAlign w:val="bottom"/>
            <w:gridSpan w:val="25"/>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10.16(b)†</w:t>
            </w:r>
          </w:p>
        </w:tc>
        <w:tc>
          <w:tcPr>
            <w:tcW w:w="6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Amendment No. 1 to the Collaboration and License Agreement, dated as of September 29,</w:t>
              </w:r>
            </w:hyperlink>
          </w:p>
        </w:tc>
        <w:tc>
          <w:tcPr>
            <w:tcW w:w="1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2020, by and between CytomX Therapeutics, Inc. and Amgen, Inc.</w:t>
              </w:r>
            </w:hyperlink>
          </w:p>
        </w:tc>
      </w:tr>
      <w:tr>
        <w:trPr>
          <w:trHeight w:val="20"/>
        </w:trPr>
        <w:tc>
          <w:tcPr>
            <w:tcW w:w="1040" w:type="dxa"/>
            <w:vAlign w:val="bottom"/>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10.16(c)††</w:t>
            </w:r>
          </w:p>
        </w:tc>
        <w:tc>
          <w:tcPr>
            <w:tcW w:w="6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Amendment No. 2 to the Collaboration and License Agreement, dated as of October 27,</w:t>
              </w:r>
            </w:hyperlink>
          </w:p>
        </w:tc>
        <w:tc>
          <w:tcPr>
            <w:tcW w:w="3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2021, by and between CytomX Therapeutics, Inc. and Amgen, Inc.</w:t>
              </w:r>
            </w:hyperlink>
          </w:p>
        </w:tc>
      </w:tr>
      <w:tr>
        <w:trPr>
          <w:trHeight w:val="20"/>
        </w:trPr>
        <w:tc>
          <w:tcPr>
            <w:tcW w:w="1040" w:type="dxa"/>
            <w:vAlign w:val="bottom"/>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10.16(d)††</w:t>
            </w:r>
          </w:p>
        </w:tc>
        <w:tc>
          <w:tcPr>
            <w:tcW w:w="6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Amendment No. 3 to the Collaboration and License Agreement, dated as of May 18, 2023,</w:t>
              </w:r>
            </w:hyperlink>
          </w:p>
        </w:tc>
        <w:tc>
          <w:tcPr>
            <w:tcW w:w="1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by and between CytomX Therapeutics, Inc. and Amgen, Inc.</w:t>
              </w:r>
            </w:hyperlink>
          </w:p>
        </w:tc>
        <w:tc>
          <w:tcPr>
            <w:tcW w:w="2340" w:type="dxa"/>
            <w:vAlign w:val="bottom"/>
            <w:gridSpan w:val="22"/>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6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Collaboration and License Agreement dated as of March 23, 2020, by and between CytomX</w:t>
              </w:r>
            </w:hyperlink>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1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Therapeutics, Inc. and Astellas Pharma Inc.</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6"/>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10.18(a)†</w:t>
            </w:r>
          </w:p>
        </w:tc>
        <w:tc>
          <w:tcPr>
            <w:tcW w:w="58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Research Collaboration Agreement dated as of January 8, 2014, by and between</w:t>
              </w:r>
            </w:hyperlink>
          </w:p>
        </w:tc>
        <w:tc>
          <w:tcPr>
            <w:tcW w:w="9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ImmunoGen, Inc. and CytomX Therapeutics, Inc., as amended by the First Amendment to</w:t>
              </w:r>
            </w:hyperlink>
          </w:p>
        </w:tc>
        <w:tc>
          <w:tcPr>
            <w:tcW w:w="2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6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Research Collaboration Agreement effective as of April 3, 2015.</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20"/>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6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Second Amendment to the Research Collaboration Agreement by and between CytomX</w:t>
              </w:r>
            </w:hyperlink>
          </w:p>
        </w:tc>
        <w:tc>
          <w:tcPr>
            <w:tcW w:w="3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Therapeutics, Inc. and ImmunoGen Inc., dated as of February 12, 2016</w:t>
              </w:r>
            </w:hyperlink>
          </w:p>
        </w:tc>
        <w:tc>
          <w:tcPr>
            <w:tcW w:w="20" w:type="dxa"/>
            <w:vAlign w:val="bottom"/>
            <w:tcBorders>
              <w:bottom w:val="single" w:sz="8" w:color="0000EE"/>
            </w:tcBorders>
          </w:tcPr>
          <w:p>
            <w:pPr>
              <w:spacing w:after="0"/>
              <w:rPr>
                <w:sz w:val="17"/>
                <w:szCs w:val="17"/>
                <w:color w:val="auto"/>
              </w:rPr>
            </w:pPr>
          </w:p>
        </w:tc>
        <w:tc>
          <w:tcPr>
            <w:tcW w:w="1620" w:type="dxa"/>
            <w:vAlign w:val="bottom"/>
            <w:gridSpan w:val="16"/>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10.18(c)†</w:t>
            </w:r>
          </w:p>
        </w:tc>
        <w:tc>
          <w:tcPr>
            <w:tcW w:w="62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Third Amendment to the Research Collaboration Agreement by and between CytomX</w:t>
              </w:r>
            </w:hyperlink>
          </w:p>
        </w:tc>
        <w:tc>
          <w:tcPr>
            <w:tcW w:w="5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60" w:type="dxa"/>
            <w:vAlign w:val="bottom"/>
            <w:gridSpan w:val="37"/>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Therapeutics, Inc. and ImmunoGen Inc., dated as of March 3, 2017.</w:t>
              </w:r>
            </w:hyperlink>
          </w:p>
        </w:tc>
      </w:tr>
      <w:tr>
        <w:trPr>
          <w:trHeight w:val="884"/>
        </w:trPr>
        <w:tc>
          <w:tcPr>
            <w:tcW w:w="1040" w:type="dxa"/>
            <w:vAlign w:val="bottom"/>
          </w:tcPr>
          <w:p>
            <w:pPr>
              <w:spacing w:after="0"/>
              <w:rPr>
                <w:sz w:val="24"/>
                <w:szCs w:val="24"/>
                <w:color w:val="auto"/>
              </w:rPr>
            </w:pPr>
          </w:p>
        </w:tc>
        <w:tc>
          <w:tcPr>
            <w:tcW w:w="4840" w:type="dxa"/>
            <w:vAlign w:val="bottom"/>
            <w:tcBorders>
              <w:top w:val="single" w:sz="8" w:color="0000FF"/>
            </w:tcBorders>
            <w:gridSpan w:val="18"/>
          </w:tcPr>
          <w:p>
            <w:pPr>
              <w:ind w:left="442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5/6/2021</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78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10.6</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8/3/2016</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78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891"/>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891"/>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891"/>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8/7/2019</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78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11/5/2020</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11/5/2020</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5/7/2020</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10.4</w:t>
            </w:r>
          </w:p>
        </w:tc>
      </w:tr>
      <w:tr>
        <w:trPr>
          <w:trHeight w:val="78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10/2/2015</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10.17</w:t>
            </w:r>
          </w:p>
        </w:tc>
      </w:tr>
      <w:tr>
        <w:trPr>
          <w:trHeight w:val="783"/>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10.5</w:t>
            </w:r>
          </w:p>
        </w:tc>
      </w:tr>
      <w:tr>
        <w:trPr>
          <w:trHeight w:val="675"/>
        </w:trPr>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10.6</w:t>
            </w:r>
          </w:p>
        </w:tc>
      </w:tr>
    </w:tbl>
    <w:p>
      <w:pPr>
        <w:sectPr>
          <w:pgSz w:w="11900" w:h="16838" w:orient="portrait"/>
          <w:cols w:equalWidth="0" w:num="2">
            <w:col w:w="7800" w:space="180"/>
            <w:col w:w="2240"/>
          </w:cols>
          <w:pgMar w:left="340" w:top="972" w:right="1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6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License Agreement by and between CytomX Therapeutics, Inc. and ImmunoGen Inc., dated</w:t>
              </w:r>
            </w:hyperlink>
          </w:p>
        </w:tc>
        <w:tc>
          <w:tcPr>
            <w:tcW w:w="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32">
              <w:r>
                <w:rPr>
                  <w:rFonts w:ascii="Times New Roman" w:cs="Times New Roman" w:eastAsia="Times New Roman" w:hAnsi="Times New Roman"/>
                  <w:sz w:val="18"/>
                  <w:szCs w:val="18"/>
                  <w:color w:val="0000FF"/>
                  <w:w w:val="98"/>
                </w:rPr>
                <w:t>as of February 12, 2016.</w:t>
              </w:r>
            </w:hyperlink>
          </w:p>
        </w:tc>
        <w:tc>
          <w:tcPr>
            <w:tcW w:w="20" w:type="dxa"/>
            <w:vAlign w:val="bottom"/>
            <w:tcBorders>
              <w:bottom w:val="single" w:sz="8" w:color="0000EE"/>
            </w:tcBorders>
          </w:tcPr>
          <w:p>
            <w:pPr>
              <w:spacing w:after="0"/>
              <w:rPr>
                <w:sz w:val="17"/>
                <w:szCs w:val="17"/>
                <w:color w:val="auto"/>
              </w:rPr>
            </w:pPr>
          </w:p>
        </w:tc>
        <w:tc>
          <w:tcPr>
            <w:tcW w:w="4960" w:type="dxa"/>
            <w:vAlign w:val="bottom"/>
            <w:gridSpan w:val="25"/>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2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Collaboration and License Agreement dated as of November 16, 2022 by and between</w:t>
              </w:r>
            </w:hyperlink>
          </w:p>
        </w:tc>
        <w:tc>
          <w:tcPr>
            <w:tcW w:w="4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6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CytomX Therapeutics, Inc. and Regeneron Pharmaceuticals, Inc.</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2"/>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6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Collaboration and License Agreement dated as of December 30, 2022 by and between</w:t>
              </w:r>
            </w:hyperlink>
          </w:p>
        </w:tc>
        <w:tc>
          <w:tcPr>
            <w:tcW w:w="5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CytomX Therapeutics, Inc. and ModernaTX, Inc.</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6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Consulting Agreement effective as of December 14, 2020, by and between CytomX</w:t>
              </w:r>
            </w:hyperlink>
          </w:p>
        </w:tc>
        <w:tc>
          <w:tcPr>
            <w:tcW w:w="64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Therapeutics, Inc and Dr. W. Michael Kavanaugh.</w:t>
              </w:r>
            </w:hyperlink>
          </w:p>
        </w:tc>
        <w:tc>
          <w:tcPr>
            <w:tcW w:w="3120" w:type="dxa"/>
            <w:vAlign w:val="bottom"/>
            <w:gridSpan w:val="16"/>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Retirement Agreement by and between CytomX Therapeutics, Inc and Dr. W. Michael</w:t>
              </w:r>
            </w:hyperlink>
          </w:p>
        </w:tc>
        <w:tc>
          <w:tcPr>
            <w:tcW w:w="4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Kavanaugh, dated as of December 1, 2020.</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6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Consulting Agreement, effective as of April 1, 2021, by and between CytomX Therapeutics,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Inc. and Dr. Charles Fuchs.</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Consulting Agreement effective as of October 1, 2022, by and between CytomX</w:t>
              </w:r>
            </w:hyperlink>
          </w:p>
        </w:tc>
        <w:tc>
          <w:tcPr>
            <w:tcW w:w="9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Therapeutics, Inc. and Carlos Campoy.</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6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Consulting Agreement effective as of September 13, 2022, by and between CytomX</w:t>
              </w:r>
            </w:hyperlink>
          </w:p>
        </w:tc>
        <w:tc>
          <w:tcPr>
            <w:tcW w:w="62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Therapeutics, Inc. and Amy C. Peterson, M.D.</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6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Unit Purchase Agreement by and among the CytomX Therapeutics, Inc. and certain</w:t>
              </w:r>
            </w:hyperlink>
          </w:p>
        </w:tc>
        <w:tc>
          <w:tcPr>
            <w:tcW w:w="6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accredited investors named therein, dated June 29, 2023.</w:t>
              </w:r>
            </w:hyperlink>
          </w:p>
        </w:tc>
        <w:tc>
          <w:tcPr>
            <w:tcW w:w="2620" w:type="dxa"/>
            <w:vAlign w:val="bottom"/>
            <w:gridSpan w:val="15"/>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Corporate Securities Trading Policy</w:t>
            </w: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w:t>
            </w:r>
          </w:p>
        </w:tc>
        <w:tc>
          <w:tcPr>
            <w:tcW w:w="20" w:type="dxa"/>
            <w:vAlign w:val="bottom"/>
            <w:tcBorders>
              <w:top w:val="single" w:sz="8" w:color="0000FF"/>
              <w:bottom w:val="single" w:sz="8" w:color="0000EE"/>
            </w:tcBorders>
          </w:tcPr>
          <w:p>
            <w:pPr>
              <w:spacing w:after="0"/>
              <w:rPr>
                <w:sz w:val="24"/>
                <w:szCs w:val="24"/>
                <w:color w:val="auto"/>
              </w:rPr>
            </w:pPr>
          </w:p>
        </w:tc>
        <w:tc>
          <w:tcPr>
            <w:tcW w:w="900" w:type="dxa"/>
            <w:vAlign w:val="bottom"/>
            <w:tcBorders>
              <w:top w:val="single" w:sz="8" w:color="0000FF"/>
            </w:tcBorders>
            <w:gridSpan w:val="4"/>
          </w:tcPr>
          <w:p>
            <w:pPr>
              <w:spacing w:after="0"/>
              <w:rPr>
                <w:sz w:val="24"/>
                <w:szCs w:val="24"/>
                <w:color w:val="auto"/>
              </w:rPr>
            </w:pPr>
          </w:p>
        </w:tc>
        <w:tc>
          <w:tcPr>
            <w:tcW w:w="2380" w:type="dxa"/>
            <w:vAlign w:val="bottom"/>
            <w:gridSpan w:val="14"/>
          </w:tcPr>
          <w:p>
            <w:pPr>
              <w:spacing w:after="0"/>
              <w:rPr>
                <w:sz w:val="24"/>
                <w:szCs w:val="24"/>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7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w:t>
            </w: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 Pursuant to Section 302 of the Sarbanes-</w:t>
            </w:r>
          </w:p>
        </w:tc>
        <w:tc>
          <w:tcPr>
            <w:tcW w:w="2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5320" w:type="dxa"/>
            <w:vAlign w:val="bottom"/>
            <w:gridSpan w:val="27"/>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w:t>
            </w:r>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 Pursuant to Section 302 of the Sarbanes-</w:t>
            </w:r>
          </w:p>
        </w:tc>
        <w:tc>
          <w:tcPr>
            <w:tcW w:w="2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5320" w:type="dxa"/>
            <w:vAlign w:val="bottom"/>
            <w:gridSpan w:val="27"/>
          </w:tcPr>
          <w:p>
            <w:pPr>
              <w:spacing w:after="0"/>
              <w:rPr>
                <w:sz w:val="17"/>
                <w:szCs w:val="17"/>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5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w:t>
            </w:r>
          </w:p>
        </w:tc>
        <w:tc>
          <w:tcPr>
            <w:tcW w:w="2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4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Executive Compensation Clawback Policy</w:t>
            </w:r>
          </w:p>
        </w:tc>
        <w:tc>
          <w:tcPr>
            <w:tcW w:w="3620" w:type="dxa"/>
            <w:vAlign w:val="bottom"/>
            <w:gridSpan w:val="21"/>
          </w:tcPr>
          <w:p>
            <w:pPr>
              <w:spacing w:after="0"/>
              <w:rPr>
                <w:sz w:val="24"/>
                <w:szCs w:val="24"/>
                <w:color w:val="auto"/>
              </w:rPr>
            </w:pPr>
          </w:p>
        </w:tc>
      </w:tr>
      <w:tr>
        <w:trPr>
          <w:trHeight w:val="4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r>
      <w:tr>
        <w:trPr>
          <w:trHeight w:val="234"/>
        </w:trPr>
        <w:tc>
          <w:tcPr>
            <w:tcW w:w="1040" w:type="dxa"/>
            <w:vAlign w:val="bottom"/>
          </w:tcPr>
          <w:p>
            <w:pPr>
              <w:spacing w:after="0"/>
              <w:rPr>
                <w:sz w:val="20"/>
                <w:szCs w:val="20"/>
                <w:color w:val="auto"/>
              </w:rPr>
            </w:pP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05"/>
        </w:trPr>
        <w:tc>
          <w:tcPr>
            <w:tcW w:w="1040" w:type="dxa"/>
            <w:vAlign w:val="bottom"/>
          </w:tcPr>
          <w:p>
            <w:pPr>
              <w:spacing w:after="0"/>
              <w:rPr>
                <w:sz w:val="24"/>
                <w:szCs w:val="24"/>
                <w:color w:val="auto"/>
              </w:rPr>
            </w:pPr>
          </w:p>
        </w:tc>
        <w:tc>
          <w:tcPr>
            <w:tcW w:w="5840" w:type="dxa"/>
            <w:vAlign w:val="bottom"/>
            <w:gridSpan w:val="18"/>
          </w:tcPr>
          <w:p>
            <w:pPr>
              <w:ind w:left="44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68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11/6/2018</w:t>
      </w:r>
      <w:r>
        <w:rPr>
          <w:sz w:val="20"/>
          <w:szCs w:val="20"/>
          <w:color w:val="auto"/>
        </w:rPr>
        <w:tab/>
      </w: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 w:leader="none" w:pos="1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3/27/2023</w:t>
      </w:r>
      <w:r>
        <w:rPr>
          <w:sz w:val="20"/>
          <w:szCs w:val="20"/>
          <w:color w:val="auto"/>
        </w:rPr>
        <w:tab/>
      </w: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3/27/2023</w:t>
      </w:r>
      <w:r>
        <w:rPr>
          <w:sz w:val="20"/>
          <w:szCs w:val="20"/>
          <w:color w:val="auto"/>
        </w:rPr>
        <w:tab/>
      </w: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2/24/2021</w:t>
      </w:r>
      <w:r>
        <w:rPr>
          <w:sz w:val="20"/>
          <w:szCs w:val="20"/>
          <w:color w:val="auto"/>
        </w:rPr>
        <w:tab/>
      </w: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2/24/2021</w:t>
      </w:r>
      <w:r>
        <w:rPr>
          <w:sz w:val="20"/>
          <w:szCs w:val="20"/>
          <w:color w:val="auto"/>
        </w:rPr>
        <w:tab/>
      </w: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5/6/2021</w:t>
      </w:r>
      <w:r>
        <w:rPr>
          <w:sz w:val="20"/>
          <w:szCs w:val="20"/>
          <w:color w:val="auto"/>
        </w:rPr>
        <w:tab/>
      </w: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11/8/2022</w:t>
      </w:r>
      <w:r>
        <w:rPr>
          <w:sz w:val="20"/>
          <w:szCs w:val="20"/>
          <w:color w:val="auto"/>
        </w:rPr>
        <w:tab/>
      </w: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68" w:lineRule="exact"/>
        <w:rPr>
          <w:sz w:val="20"/>
          <w:szCs w:val="20"/>
          <w:color w:val="auto"/>
        </w:rPr>
      </w:pPr>
    </w:p>
    <w:p>
      <w:pPr>
        <w:spacing w:after="0"/>
        <w:tabs>
          <w:tab w:leader="none" w:pos="680" w:val="left"/>
          <w:tab w:leader="none" w:pos="1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11/8/2022</w:t>
      </w:r>
      <w:r>
        <w:rPr>
          <w:sz w:val="20"/>
          <w:szCs w:val="20"/>
          <w:color w:val="auto"/>
        </w:rPr>
        <w:tab/>
      </w: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20" w:val="left"/>
          <w:tab w:leader="none" w:pos="18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7/3/2023</w:t>
      </w:r>
      <w:r>
        <w:rPr>
          <w:sz w:val="20"/>
          <w:szCs w:val="20"/>
          <w:color w:val="auto"/>
        </w:rPr>
        <w:tab/>
      </w:r>
      <w:r>
        <w:rPr>
          <w:rFonts w:ascii="Times New Roman" w:cs="Times New Roman" w:eastAsia="Times New Roman" w:hAnsi="Times New Roman"/>
          <w:sz w:val="17"/>
          <w:szCs w:val="17"/>
          <w:color w:val="auto"/>
        </w:rPr>
        <w:t>10.1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780" w:space="240"/>
            <w:col w:w="2880"/>
          </w:cols>
          <w:pgMar w:left="340" w:top="972" w:right="659" w:bottom="1440" w:gutter="0" w:footer="0" w:header="0"/>
        </w:sectPr>
      </w:pPr>
    </w:p>
    <w:bookmarkStart w:id="125" w:name="page126"/>
    <w:bookmarkEnd w:id="125"/>
    <w:p>
      <w:pPr>
        <w:ind w:left="20"/>
        <w:spacing w:after="0"/>
        <w:tabs>
          <w:tab w:leader="none" w:pos="1040" w:val="left"/>
          <w:tab w:leader="none" w:pos="10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r>
        <w:rPr>
          <w:sz w:val="20"/>
          <w:szCs w:val="20"/>
          <w:color w:val="auto"/>
        </w:rPr>
        <w:tab/>
      </w:r>
      <w:r>
        <w:rPr>
          <w:rFonts w:ascii="Times New Roman" w:cs="Times New Roman" w:eastAsia="Times New Roman" w:hAnsi="Times New Roman"/>
          <w:sz w:val="16"/>
          <w:szCs w:val="16"/>
          <w:color w:val="auto"/>
        </w:rPr>
        <w:t>X</w:t>
      </w:r>
    </w:p>
    <w:p>
      <w:pPr>
        <w:spacing w:after="0" w:line="270" w:lineRule="exact"/>
        <w:rPr>
          <w:sz w:val="20"/>
          <w:szCs w:val="20"/>
          <w:color w:val="auto"/>
        </w:rPr>
      </w:pPr>
    </w:p>
    <w:p>
      <w:pPr>
        <w:ind w:right="160" w:firstLine="8"/>
        <w:spacing w:after="0" w:line="298" w:lineRule="auto"/>
        <w:tabs>
          <w:tab w:leader="none" w:pos="12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for certain information contained in this exhibit. Such information has been omitted and filed separately with the Securities and Exchange Commission.</w:t>
      </w:r>
    </w:p>
    <w:p>
      <w:pPr>
        <w:spacing w:after="0" w:line="205" w:lineRule="exact"/>
        <w:rPr>
          <w:sz w:val="20"/>
          <w:szCs w:val="20"/>
          <w:color w:val="auto"/>
        </w:rPr>
      </w:pPr>
    </w:p>
    <w:p>
      <w:pPr>
        <w:ind w:left="240" w:hanging="232"/>
        <w:spacing w:after="0"/>
        <w:tabs>
          <w:tab w:leader="none" w:pos="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have been omitted from this exhibit.</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Indicates management contract or compensatory plan.</w:t>
      </w:r>
    </w:p>
    <w:p>
      <w:pPr>
        <w:spacing w:after="0" w:line="262" w:lineRule="exact"/>
        <w:rPr>
          <w:sz w:val="20"/>
          <w:szCs w:val="20"/>
          <w:color w:val="auto"/>
        </w:rPr>
      </w:pPr>
    </w:p>
    <w:p>
      <w:pPr>
        <w:ind w:firstLine="8"/>
        <w:spacing w:after="0" w:line="281" w:lineRule="auto"/>
        <w:tabs>
          <w:tab w:leader="none" w:pos="20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4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r>
      <w:tr>
        <w:trPr>
          <w:trHeight w:val="49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r>
      <w:tr>
        <w:trPr>
          <w:trHeight w:val="234"/>
        </w:trPr>
        <w:tc>
          <w:tcPr>
            <w:tcW w:w="4180" w:type="dxa"/>
            <w:vAlign w:val="bottom"/>
          </w:tcPr>
          <w:p>
            <w:pPr>
              <w:spacing w:after="0"/>
              <w:rPr>
                <w:sz w:val="20"/>
                <w:szCs w:val="20"/>
                <w:color w:val="auto"/>
              </w:rPr>
            </w:pP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Sean A. McCarthy, D.Phil.</w:t>
            </w:r>
          </w:p>
        </w:tc>
      </w:tr>
      <w:tr>
        <w:trPr>
          <w:trHeight w:val="218"/>
        </w:trPr>
        <w:tc>
          <w:tcPr>
            <w:tcW w:w="4180" w:type="dxa"/>
            <w:vAlign w:val="bottom"/>
          </w:tcPr>
          <w:p>
            <w:pPr>
              <w:spacing w:after="0"/>
              <w:rPr>
                <w:sz w:val="18"/>
                <w:szCs w:val="18"/>
                <w:color w:val="auto"/>
              </w:rPr>
            </w:pP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36"/>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3"/>
        </w:trPr>
        <w:tc>
          <w:tcPr>
            <w:tcW w:w="4180" w:type="dxa"/>
            <w:vAlign w:val="bottom"/>
          </w:tcPr>
          <w:p>
            <w:pPr>
              <w:spacing w:after="0"/>
              <w:rPr>
                <w:sz w:val="24"/>
                <w:szCs w:val="24"/>
                <w:color w:val="auto"/>
              </w:rPr>
            </w:pP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W. Ogden</w:t>
            </w:r>
          </w:p>
        </w:tc>
      </w:tr>
      <w:tr>
        <w:trPr>
          <w:trHeight w:val="234"/>
        </w:trPr>
        <w:tc>
          <w:tcPr>
            <w:tcW w:w="4180" w:type="dxa"/>
            <w:vAlign w:val="bottom"/>
          </w:tcPr>
          <w:p>
            <w:pPr>
              <w:spacing w:after="0"/>
              <w:rPr>
                <w:sz w:val="20"/>
                <w:szCs w:val="20"/>
                <w:color w:val="auto"/>
              </w:rPr>
            </w:pP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Christopher W. Ogden</w:t>
            </w:r>
          </w:p>
        </w:tc>
      </w:tr>
      <w:tr>
        <w:trPr>
          <w:trHeight w:val="218"/>
        </w:trPr>
        <w:tc>
          <w:tcPr>
            <w:tcW w:w="4180" w:type="dxa"/>
            <w:vAlign w:val="bottom"/>
          </w:tcPr>
          <w:p>
            <w:pPr>
              <w:spacing w:after="0"/>
              <w:rPr>
                <w:sz w:val="18"/>
                <w:szCs w:val="18"/>
                <w:color w:val="auto"/>
              </w:rPr>
            </w:pPr>
          </w:p>
        </w:tc>
        <w:tc>
          <w:tcPr>
            <w:tcW w:w="3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Finance and Accounting</w:t>
            </w:r>
          </w:p>
        </w:tc>
      </w:tr>
      <w:tr>
        <w:trPr>
          <w:trHeight w:val="216"/>
        </w:trPr>
        <w:tc>
          <w:tcPr>
            <w:tcW w:w="4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r>
      <w:tr>
        <w:trPr>
          <w:trHeight w:val="236"/>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Sean A. McCarthy, D. Phil.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981" w:right="3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c>
          <w:tcPr>
            <w:tcW w:w="39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A. McCarthy, D.Phil.</w:t>
            </w:r>
          </w:p>
        </w:tc>
        <w:tc>
          <w:tcPr>
            <w:tcW w:w="398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Matthew P. Young</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Matthew P. Young</w:t>
            </w:r>
          </w:p>
        </w:tc>
        <w:tc>
          <w:tcPr>
            <w:tcW w:w="3980" w:type="dxa"/>
            <w:vAlign w:val="bottom"/>
          </w:tcPr>
          <w:p>
            <w:pPr>
              <w:spacing w:after="0"/>
              <w:rPr>
                <w:sz w:val="20"/>
                <w:szCs w:val="20"/>
                <w:color w:val="auto"/>
              </w:rPr>
            </w:pP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Ashworth</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Ashworth, Ph.D. FRS</w:t>
            </w:r>
          </w:p>
        </w:tc>
        <w:tc>
          <w:tcPr>
            <w:tcW w:w="3980" w:type="dxa"/>
            <w:vAlign w:val="bottom"/>
          </w:tcPr>
          <w:p>
            <w:pPr>
              <w:spacing w:after="0"/>
              <w:rPr>
                <w:sz w:val="20"/>
                <w:szCs w:val="20"/>
                <w:color w:val="auto"/>
              </w:rPr>
            </w:pP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Elaine V. Jones</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Elaine V. Jones, Ph.D.</w:t>
            </w:r>
          </w:p>
        </w:tc>
        <w:tc>
          <w:tcPr>
            <w:tcW w:w="3980" w:type="dxa"/>
            <w:vAlign w:val="bottom"/>
          </w:tcPr>
          <w:p>
            <w:pPr>
              <w:spacing w:after="0"/>
              <w:rPr>
                <w:sz w:val="20"/>
                <w:szCs w:val="20"/>
                <w:color w:val="auto"/>
              </w:rPr>
            </w:pP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 Meyers</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 Meyers</w:t>
            </w:r>
          </w:p>
        </w:tc>
        <w:tc>
          <w:tcPr>
            <w:tcW w:w="3980" w:type="dxa"/>
            <w:vAlign w:val="bottom"/>
          </w:tcPr>
          <w:p>
            <w:pPr>
              <w:spacing w:after="0"/>
              <w:rPr>
                <w:sz w:val="20"/>
                <w:szCs w:val="20"/>
                <w:color w:val="auto"/>
              </w:rPr>
            </w:pP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Mani Mohindru</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Mani Mohindru, Ph.D.</w:t>
            </w:r>
          </w:p>
        </w:tc>
        <w:tc>
          <w:tcPr>
            <w:tcW w:w="3980" w:type="dxa"/>
            <w:vAlign w:val="bottom"/>
          </w:tcPr>
          <w:p>
            <w:pPr>
              <w:spacing w:after="0"/>
              <w:rPr>
                <w:sz w:val="20"/>
                <w:szCs w:val="20"/>
                <w:color w:val="auto"/>
              </w:rPr>
            </w:pPr>
          </w:p>
        </w:tc>
      </w:tr>
      <w:tr>
        <w:trPr>
          <w:trHeight w:val="48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Halley E. Gilbert</w:t>
            </w:r>
          </w:p>
        </w:tc>
        <w:tc>
          <w:tcPr>
            <w:tcW w:w="39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Halley E. Gilbert</w:t>
            </w:r>
          </w:p>
        </w:tc>
        <w:tc>
          <w:tcPr>
            <w:tcW w:w="3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486" w:lineRule="exact"/>
        <w:rPr>
          <w:sz w:val="20"/>
          <w:szCs w:val="20"/>
          <w:color w:val="auto"/>
        </w:rPr>
      </w:pPr>
    </w:p>
    <w:p>
      <w:pPr>
        <w:sectPr>
          <w:pgSz w:w="11900" w:h="16838" w:orient="portrait"/>
          <w:cols w:equalWidth="0" w:num="2">
            <w:col w:w="8800" w:space="720"/>
            <w:col w:w="1720"/>
          </w:cols>
          <w:pgMar w:left="320" w:top="981"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8" w:name="page129"/>
    <w:bookmarkEnd w:id="128"/>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19.1</w:t>
      </w:r>
    </w:p>
    <w:p>
      <w:pPr>
        <w:spacing w:after="0" w:line="92" w:lineRule="exact"/>
        <w:rPr>
          <w:sz w:val="20"/>
          <w:szCs w:val="20"/>
          <w:color w:val="auto"/>
        </w:rPr>
      </w:pPr>
    </w:p>
    <w:p>
      <w:pPr>
        <w:jc w:val="both"/>
        <w:ind w:left="280"/>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CytomX Therapeutics, Inc. (“CytomX” or “Company”) is committed to establishing rules and guidelines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directors, consultants and contractors that require compliance with all applicable laws with respect to their trading of securities of CytomX and other companies with whom we do business.</w:t>
      </w:r>
    </w:p>
    <w:p>
      <w:pPr>
        <w:spacing w:after="0" w:line="275" w:lineRule="exact"/>
        <w:rPr>
          <w:sz w:val="20"/>
          <w:szCs w:val="20"/>
          <w:color w:val="auto"/>
        </w:rPr>
      </w:pPr>
    </w:p>
    <w:p>
      <w:pPr>
        <w:jc w:val="both"/>
        <w:ind w:left="280" w:hanging="8"/>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Scope: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applies to the all employees, directors, consultants and contractors (such employees, directors,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contractors are collectively referred to as "employees") of CytomX.</w:t>
      </w:r>
    </w:p>
    <w:p>
      <w:pPr>
        <w:spacing w:after="0" w:line="2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10" w:lineRule="exact"/>
        <w:rPr>
          <w:sz w:val="20"/>
          <w:szCs w:val="20"/>
          <w:color w:val="auto"/>
        </w:rPr>
      </w:pPr>
    </w:p>
    <w:p>
      <w:pPr>
        <w:jc w:val="both"/>
        <w:ind w:left="280"/>
        <w:spacing w:after="0" w:line="255" w:lineRule="auto"/>
        <w:rPr>
          <w:sz w:val="20"/>
          <w:szCs w:val="20"/>
          <w:color w:val="auto"/>
        </w:rPr>
      </w:pPr>
      <w:r>
        <w:rPr>
          <w:rFonts w:ascii="Times New Roman" w:cs="Times New Roman" w:eastAsia="Times New Roman" w:hAnsi="Times New Roman"/>
          <w:sz w:val="21"/>
          <w:szCs w:val="21"/>
          <w:color w:val="auto"/>
        </w:rPr>
        <w:t xml:space="preserve">Because the Company’s stock is publicly traded, employees must comply with the provisions of federal and state securities laws, including the rules and regulations of the Securities Exchange Commission (the “SEC”), and this policy. From time to time some or all employees may be in possession of material nonpublic information. </w:t>
      </w:r>
      <w:r>
        <w:rPr>
          <w:rFonts w:ascii="Times New Roman" w:cs="Times New Roman" w:eastAsia="Times New Roman" w:hAnsi="Times New Roman"/>
          <w:sz w:val="21"/>
          <w:szCs w:val="21"/>
          <w:b w:val="1"/>
          <w:bCs w:val="1"/>
          <w:color w:val="auto"/>
        </w:rPr>
        <w:t>No employee may buy or sell stock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other securities of CytomX while in the possession of information about CytomX that is both material and non-public.</w:t>
      </w:r>
    </w:p>
    <w:p>
      <w:pPr>
        <w:spacing w:after="0" w:line="162" w:lineRule="exact"/>
        <w:rPr>
          <w:sz w:val="20"/>
          <w:szCs w:val="20"/>
          <w:color w:val="auto"/>
        </w:rPr>
      </w:pPr>
    </w:p>
    <w:p>
      <w:pPr>
        <w:jc w:val="both"/>
        <w:ind w:left="280"/>
        <w:spacing w:after="0" w:line="236"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their immediate family members (e.g., spouses, children, stepchildren, parents, grandparents, stepparents, siblings, mothers-in-law, fathers-in-law, sons-in-law, daughters-in-law, brothers-in-law or sisters-in-law) and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208" w:lineRule="exact"/>
        <w:rPr>
          <w:sz w:val="20"/>
          <w:szCs w:val="20"/>
          <w:color w:val="auto"/>
        </w:rPr>
      </w:pPr>
    </w:p>
    <w:p>
      <w:pPr>
        <w:jc w:val="both"/>
        <w:ind w:left="280"/>
        <w:spacing w:after="0" w:line="239" w:lineRule="auto"/>
        <w:rPr>
          <w:sz w:val="20"/>
          <w:szCs w:val="20"/>
          <w:color w:val="auto"/>
        </w:rPr>
      </w:pPr>
      <w:r>
        <w:rPr>
          <w:rFonts w:ascii="Times New Roman" w:cs="Times New Roman" w:eastAsia="Times New Roman" w:hAnsi="Times New Roman"/>
          <w:sz w:val="22"/>
          <w:szCs w:val="22"/>
          <w:color w:val="auto"/>
        </w:rPr>
        <w:t>Furthermore, it is illegal and a violation of this policy for you to buy or sell the stock or other securities of companies working with the Company, on the basis of material, non-public information about those companies. It is also illegal and against Company policy for you to pass such material non-public information on to others (also known as tipping) who use it to decide whether to buy or sell our stock or the stock of companies whose material non-public information you pass on.</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This policy also prohibits or limits not only illegal activities, but also other stock trading activities that may not be illegal.</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These additional restrictions are designed to protect both you and the Company from even the appearance of improper activity.</w:t>
      </w:r>
    </w:p>
    <w:p>
      <w:pPr>
        <w:spacing w:after="0" w:line="190" w:lineRule="exact"/>
        <w:rPr>
          <w:sz w:val="20"/>
          <w:szCs w:val="20"/>
          <w:color w:val="auto"/>
        </w:rPr>
      </w:pPr>
    </w:p>
    <w:p>
      <w:pPr>
        <w:ind w:left="660" w:hanging="383"/>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Non-Public Information</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information is information that a reasonable person would consider important in</w:t>
      </w:r>
    </w:p>
    <w:p>
      <w:pPr>
        <w:spacing w:after="0" w:line="200" w:lineRule="exact"/>
        <w:rPr>
          <w:sz w:val="20"/>
          <w:szCs w:val="20"/>
          <w:color w:val="auto"/>
        </w:rPr>
      </w:pPr>
    </w:p>
    <w:p>
      <w:pPr>
        <w:spacing w:after="0" w:line="230"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29" w:name="page130"/>
    <w:bookmarkEnd w:id="129"/>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19.1</w:t>
      </w:r>
    </w:p>
    <w:p>
      <w:pPr>
        <w:spacing w:after="0" w:line="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deciding whether to buy or sell our stock or other securities. </w:t>
      </w:r>
      <w:r>
        <w:rPr>
          <w:rFonts w:ascii="Times New Roman" w:cs="Times New Roman" w:eastAsia="Times New Roman" w:hAnsi="Times New Roman"/>
          <w:sz w:val="21"/>
          <w:szCs w:val="21"/>
          <w:color w:val="auto"/>
        </w:rPr>
        <w:t>For example, material information may include (but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limited to) news concerning product sales, partnerships, clinical trial or research data or information, manufacturing information, positive or negative news concerning a relationship with one of our corporate partners, strategic plans, financial results, merger or acquisition news, patent developments, litigation results or key personnel hires or departures.</w:t>
      </w:r>
    </w:p>
    <w:p>
      <w:pPr>
        <w:spacing w:after="0" w:line="165"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It can sometimes be difficult to know whether information would be considered “material.” The determination of whether information is material or not is almost always made after the fact, when the effect of that information on the market can be quantified. Although you may be aware of information that you do not consider to be material, federal regulators and others may conclude that such information was material. Therefore, trading in a company’s securities based on such information can be risky. When doubt exists, the information should be presumed to be material until you are informed otherwise.</w:t>
      </w:r>
    </w:p>
    <w:p>
      <w:pPr>
        <w:spacing w:after="0" w:line="177"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Non-public information is information that has not been announced publicly, such as by press release, conference call, public filing or similar means of public dissemination. </w:t>
      </w:r>
      <w:r>
        <w:rPr>
          <w:rFonts w:ascii="Times New Roman" w:cs="Times New Roman" w:eastAsia="Times New Roman" w:hAnsi="Times New Roman"/>
          <w:sz w:val="22"/>
          <w:szCs w:val="22"/>
          <w:color w:val="auto"/>
        </w:rPr>
        <w:t>Only specifically authorized individuals are permitted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non-public information to the public. If you are unsure whether information of which you are aware is material or non-public, you should consult with our Chief Financial Officer or General Counsel.</w:t>
      </w:r>
    </w:p>
    <w:p>
      <w:pPr>
        <w:spacing w:after="0" w:line="176"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Notwithstanding any pre-clearance or trading in an open window the determination of whether a person has nonpublic material information is the sole responsibility of the person trading in the stock of the Company.</w:t>
      </w:r>
    </w:p>
    <w:p>
      <w:pPr>
        <w:spacing w:after="0" w:line="154" w:lineRule="exact"/>
        <w:rPr>
          <w:sz w:val="20"/>
          <w:szCs w:val="20"/>
          <w:color w:val="auto"/>
        </w:rPr>
      </w:pPr>
    </w:p>
    <w:p>
      <w:pPr>
        <w:ind w:left="660" w:hanging="383"/>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After Release of Material Information.</w:t>
      </w:r>
    </w:p>
    <w:p>
      <w:pPr>
        <w:spacing w:after="0" w:line="206" w:lineRule="exact"/>
        <w:rPr>
          <w:rFonts w:ascii="Times New Roman" w:cs="Times New Roman" w:eastAsia="Times New Roman" w:hAnsi="Times New Roman"/>
          <w:sz w:val="22"/>
          <w:szCs w:val="22"/>
          <w:b w:val="1"/>
          <w:bCs w:val="1"/>
          <w:color w:val="auto"/>
        </w:rPr>
      </w:pPr>
    </w:p>
    <w:p>
      <w:pPr>
        <w:jc w:val="both"/>
        <w:ind w:left="66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 must wait until the opening of trading on Nasdaq of the </w:t>
      </w:r>
      <w:r>
        <w:rPr>
          <w:rFonts w:ascii="Times New Roman" w:cs="Times New Roman" w:eastAsia="Times New Roman" w:hAnsi="Times New Roman"/>
          <w:sz w:val="22"/>
          <w:szCs w:val="22"/>
          <w:b w:val="1"/>
          <w:bCs w:val="1"/>
          <w:u w:val="single" w:color="auto"/>
          <w:color w:val="auto"/>
        </w:rPr>
        <w:t>second</w:t>
      </w:r>
      <w:r>
        <w:rPr>
          <w:rFonts w:ascii="Times New Roman" w:cs="Times New Roman" w:eastAsia="Times New Roman" w:hAnsi="Times New Roman"/>
          <w:sz w:val="22"/>
          <w:szCs w:val="22"/>
          <w:b w:val="1"/>
          <w:bCs w:val="1"/>
          <w:color w:val="auto"/>
        </w:rPr>
        <w:t xml:space="preserve"> trading day after the material information is publicly announced </w:t>
      </w:r>
      <w:r>
        <w:rPr>
          <w:rFonts w:ascii="Times New Roman" w:cs="Times New Roman" w:eastAsia="Times New Roman" w:hAnsi="Times New Roman"/>
          <w:sz w:val="22"/>
          <w:szCs w:val="22"/>
          <w:color w:val="auto"/>
        </w:rPr>
        <w:t>(if you were previously restricted by the Company or otherwise aware of the information)</w:t>
      </w:r>
      <w:r>
        <w:rPr>
          <w:rFonts w:ascii="Times New Roman" w:cs="Times New Roman" w:eastAsia="Times New Roman" w:hAnsi="Times New Roman"/>
          <w:sz w:val="22"/>
          <w:szCs w:val="22"/>
          <w:b w:val="1"/>
          <w:bCs w:val="1"/>
          <w:color w:val="auto"/>
        </w:rPr>
        <w:t xml:space="preserve"> before you can trade. </w:t>
      </w:r>
      <w:r>
        <w:rPr>
          <w:rFonts w:ascii="Times New Roman" w:cs="Times New Roman" w:eastAsia="Times New Roman" w:hAnsi="Times New Roman"/>
          <w:sz w:val="22"/>
          <w:szCs w:val="22"/>
          <w:color w:val="auto"/>
        </w:rPr>
        <w:t>For example, if the information is publicly announced late on a Tuesday, you cannot trade until Thursday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(assuming no intervening holidays during that week when the market is closed).</w:t>
      </w:r>
    </w:p>
    <w:p>
      <w:pPr>
        <w:spacing w:after="0" w:line="171" w:lineRule="exact"/>
        <w:rPr>
          <w:rFonts w:ascii="Times New Roman" w:cs="Times New Roman" w:eastAsia="Times New Roman" w:hAnsi="Times New Roman"/>
          <w:sz w:val="22"/>
          <w:szCs w:val="22"/>
          <w:b w:val="1"/>
          <w:bCs w:val="1"/>
          <w:color w:val="auto"/>
        </w:rPr>
      </w:pPr>
    </w:p>
    <w:p>
      <w:pPr>
        <w:ind w:left="660" w:hanging="383"/>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Persons and Other Employee Restrictions</w:t>
      </w:r>
    </w:p>
    <w:p>
      <w:pPr>
        <w:spacing w:after="0" w:line="250" w:lineRule="exact"/>
        <w:rPr>
          <w:rFonts w:ascii="Times New Roman" w:cs="Times New Roman" w:eastAsia="Times New Roman" w:hAnsi="Times New Roman"/>
          <w:sz w:val="22"/>
          <w:szCs w:val="22"/>
          <w:b w:val="1"/>
          <w:bCs w:val="1"/>
          <w:color w:val="auto"/>
        </w:rPr>
      </w:pPr>
    </w:p>
    <w:p>
      <w:pPr>
        <w:ind w:left="66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time to time the Company will determine that certain individuals (“Restricted Persons”) may buy or sell our stock only at certain times when the “trading window” period is open. You are a “Restricted Person” if you are:</w:t>
      </w:r>
    </w:p>
    <w:p>
      <w:pPr>
        <w:spacing w:after="0" w:line="2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Members of the Board of Directors of CytomX (the “Board”).</w:t>
      </w:r>
    </w:p>
    <w:p>
      <w:pPr>
        <w:spacing w:after="0" w:line="210"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0" w:name="page131"/>
    <w:bookmarkEnd w:id="130"/>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3.2 An employee of CytomX with a title of vice president or above.</w:t>
      </w:r>
    </w:p>
    <w:p>
      <w:pPr>
        <w:spacing w:after="0" w:line="14" w:lineRule="exact"/>
        <w:rPr>
          <w:sz w:val="20"/>
          <w:szCs w:val="20"/>
          <w:color w:val="auto"/>
        </w:rPr>
      </w:pPr>
    </w:p>
    <w:p>
      <w:pPr>
        <w:jc w:val="both"/>
        <w:ind w:left="1040" w:right="20" w:hanging="373"/>
        <w:spacing w:after="0" w:line="236" w:lineRule="auto"/>
        <w:rPr>
          <w:sz w:val="20"/>
          <w:szCs w:val="20"/>
          <w:color w:val="auto"/>
        </w:rPr>
      </w:pPr>
      <w:r>
        <w:rPr>
          <w:rFonts w:ascii="Times New Roman" w:cs="Times New Roman" w:eastAsia="Times New Roman" w:hAnsi="Times New Roman"/>
          <w:sz w:val="22"/>
          <w:szCs w:val="22"/>
          <w:color w:val="auto"/>
        </w:rPr>
        <w:t>3.3 An employee who works in the legal, finance or investor relations department of CytomX, unless specifically told otherwise in writing by the General Counsel or Chief Financial Officer.</w:t>
      </w:r>
    </w:p>
    <w:p>
      <w:pPr>
        <w:spacing w:after="0" w:line="2" w:lineRule="exact"/>
        <w:rPr>
          <w:sz w:val="20"/>
          <w:szCs w:val="20"/>
          <w:color w:val="auto"/>
        </w:rPr>
      </w:pPr>
    </w:p>
    <w:p>
      <w:pPr>
        <w:jc w:val="both"/>
        <w:ind w:left="1040" w:hanging="373"/>
        <w:spacing w:after="0" w:line="237" w:lineRule="auto"/>
        <w:rPr>
          <w:sz w:val="20"/>
          <w:szCs w:val="20"/>
          <w:color w:val="auto"/>
        </w:rPr>
      </w:pPr>
      <w:r>
        <w:rPr>
          <w:rFonts w:ascii="Times New Roman" w:cs="Times New Roman" w:eastAsia="Times New Roman" w:hAnsi="Times New Roman"/>
          <w:sz w:val="22"/>
          <w:szCs w:val="22"/>
          <w:color w:val="auto"/>
        </w:rPr>
        <w:t>3.4 Any individual designated as a Restricted Person by the Chief Financial Officer or the General Counsel, in their sole discretion.</w:t>
      </w:r>
    </w:p>
    <w:p>
      <w:pPr>
        <w:spacing w:after="0" w:line="174"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From time to time, the Company may determine that in addition to Restricted Persons, all employees or certain specific employees are restricted from trading and that the trading window is closed. </w:t>
      </w:r>
      <w:r>
        <w:rPr>
          <w:rFonts w:ascii="Times New Roman" w:cs="Times New Roman" w:eastAsia="Times New Roman" w:hAnsi="Times New Roman"/>
          <w:sz w:val="22"/>
          <w:szCs w:val="22"/>
          <w:color w:val="auto"/>
        </w:rPr>
        <w:t>During those times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or those specific employees are prohibited from trading in CytomX stock until notified that the window is open. A restriction on trading in effect for any person subject to the restriction will remain applicable even if the person leaves the employment of the Company until the restriction is removed. If you have any question about whether a restriction is in place, contact the Legal Department.</w:t>
      </w:r>
    </w:p>
    <w:p>
      <w:pPr>
        <w:spacing w:after="0" w:line="175" w:lineRule="exact"/>
        <w:rPr>
          <w:sz w:val="20"/>
          <w:szCs w:val="20"/>
          <w:color w:val="auto"/>
        </w:rPr>
      </w:pPr>
    </w:p>
    <w:p>
      <w:pPr>
        <w:ind w:left="660" w:hanging="367"/>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Windows/ Blackout Periods</w:t>
      </w:r>
    </w:p>
    <w:p>
      <w:pPr>
        <w:spacing w:after="0" w:line="250" w:lineRule="exact"/>
        <w:rPr>
          <w:rFonts w:ascii="Times New Roman" w:cs="Times New Roman" w:eastAsia="Times New Roman" w:hAnsi="Times New Roman"/>
          <w:sz w:val="22"/>
          <w:szCs w:val="22"/>
          <w:b w:val="1"/>
          <w:bCs w:val="1"/>
          <w:color w:val="auto"/>
        </w:rPr>
      </w:pPr>
    </w:p>
    <w:p>
      <w:pPr>
        <w:jc w:val="both"/>
        <w:ind w:left="66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Trading window periods are those periods of time during which Restricted Persons and other employees are permitted to trade our stock or other securities. At these times, the “window” is said to be “open.” Occasionally the Company may inform all employees or a sub-set of designated personnel, including Restricted Persons, that in the abundance of caution, it has closed the trading window to prevent even the appearance of trading with material non-public information. A period of time when the trading window is “closed” is referred to as a “Blackout Period.” </w:t>
      </w:r>
      <w:r>
        <w:rPr>
          <w:rFonts w:ascii="Times New Roman" w:cs="Times New Roman" w:eastAsia="Times New Roman" w:hAnsi="Times New Roman"/>
          <w:sz w:val="21"/>
          <w:szCs w:val="21"/>
          <w:b w:val="1"/>
          <w:bCs w:val="1"/>
          <w:color w:val="auto"/>
        </w:rPr>
        <w:t>There will also be routine quarterly</w:t>
      </w:r>
    </w:p>
    <w:p>
      <w:pPr>
        <w:spacing w:after="0" w:line="1" w:lineRule="exact"/>
        <w:rPr>
          <w:rFonts w:ascii="Times New Roman" w:cs="Times New Roman" w:eastAsia="Times New Roman" w:hAnsi="Times New Roman"/>
          <w:sz w:val="22"/>
          <w:szCs w:val="22"/>
          <w:b w:val="1"/>
          <w:bCs w:val="1"/>
          <w:color w:val="auto"/>
        </w:rPr>
      </w:pPr>
    </w:p>
    <w:p>
      <w:pPr>
        <w:jc w:val="both"/>
        <w:ind w:left="660"/>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 for Restricted Persons which will run from the end of the last day of the month in which each fiscal quarter ends until the opening of the second trading day following the public release of the Company’s earnings relating to such period (“Quarterly Blackout Period”)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Restricted Persons, or any immediate family member or any member of the household of any such person, may not trade during the Quarterly Blackout Period even if they don’t possess any material, non-public information.</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restriction on trading securities during a Blackout Period does not apply to:</w:t>
      </w:r>
    </w:p>
    <w:p>
      <w:pPr>
        <w:spacing w:after="0" w:line="202" w:lineRule="exact"/>
        <w:rPr>
          <w:sz w:val="20"/>
          <w:szCs w:val="20"/>
          <w:color w:val="auto"/>
        </w:rPr>
      </w:pPr>
    </w:p>
    <w:p>
      <w:pPr>
        <w:jc w:val="both"/>
        <w:ind w:left="940" w:hanging="373"/>
        <w:spacing w:after="0" w:line="262" w:lineRule="auto"/>
        <w:rPr>
          <w:sz w:val="20"/>
          <w:szCs w:val="20"/>
          <w:color w:val="auto"/>
        </w:rPr>
      </w:pPr>
      <w:r>
        <w:rPr>
          <w:rFonts w:ascii="Times New Roman" w:cs="Times New Roman" w:eastAsia="Times New Roman" w:hAnsi="Times New Roman"/>
          <w:sz w:val="22"/>
          <w:szCs w:val="22"/>
          <w:color w:val="auto"/>
        </w:rPr>
        <w:t xml:space="preserve">4.1 Company </w:t>
      </w:r>
      <w:r>
        <w:rPr>
          <w:rFonts w:ascii="Times New Roman" w:cs="Times New Roman" w:eastAsia="Times New Roman" w:hAnsi="Times New Roman"/>
          <w:sz w:val="22"/>
          <w:szCs w:val="22"/>
          <w:i w:val="1"/>
          <w:iCs w:val="1"/>
          <w:color w:val="auto"/>
        </w:rPr>
        <w:t>Purchases &amp; Sales</w:t>
      </w:r>
      <w:r>
        <w:rPr>
          <w:rFonts w:ascii="Times New Roman" w:cs="Times New Roman" w:eastAsia="Times New Roman" w:hAnsi="Times New Roman"/>
          <w:sz w:val="22"/>
          <w:szCs w:val="22"/>
          <w:color w:val="auto"/>
        </w:rPr>
        <w:t>: Purchases of the Company’s securities from the Company or sales of the Company’s securities to the Company or by the Company are not prohibited during a Blackout Period.</w:t>
      </w:r>
    </w:p>
    <w:p>
      <w:pPr>
        <w:spacing w:after="0" w:line="150" w:lineRule="exact"/>
        <w:rPr>
          <w:sz w:val="20"/>
          <w:szCs w:val="20"/>
          <w:color w:val="auto"/>
        </w:rPr>
      </w:pPr>
    </w:p>
    <w:p>
      <w:pPr>
        <w:jc w:val="both"/>
        <w:ind w:left="940" w:hanging="373"/>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Stock Option Exercises</w:t>
      </w:r>
      <w:r>
        <w:rPr>
          <w:rFonts w:ascii="Times New Roman" w:cs="Times New Roman" w:eastAsia="Times New Roman" w:hAnsi="Times New Roman"/>
          <w:sz w:val="22"/>
          <w:szCs w:val="22"/>
          <w:color w:val="auto"/>
        </w:rPr>
        <w:t xml:space="preserve">: The exercise of employee stock options of the Company is not prohibited during a Blackout Period </w:t>
      </w:r>
      <w:r>
        <w:rPr>
          <w:rFonts w:ascii="Times New Roman" w:cs="Times New Roman" w:eastAsia="Times New Roman" w:hAnsi="Times New Roman"/>
          <w:sz w:val="22"/>
          <w:szCs w:val="22"/>
          <w:u w:val="single" w:color="auto"/>
          <w:color w:val="auto"/>
        </w:rPr>
        <w:t>as long as the exercise does not involve a sale of securities of the Company</w:t>
      </w:r>
      <w:r>
        <w:rPr>
          <w:rFonts w:ascii="Times New Roman" w:cs="Times New Roman" w:eastAsia="Times New Roman" w:hAnsi="Times New Roman"/>
          <w:sz w:val="22"/>
          <w:szCs w:val="22"/>
          <w:color w:val="auto"/>
        </w:rPr>
        <w:t xml:space="preserve"> (e.g. the cashless exercise of a stock option of the Company does involve a sale</w:t>
      </w:r>
    </w:p>
    <w:p>
      <w:pPr>
        <w:spacing w:after="0" w:line="391"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1" w:name="page132"/>
    <w:bookmarkEnd w:id="131"/>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19.1</w:t>
      </w:r>
    </w:p>
    <w:p>
      <w:pPr>
        <w:spacing w:after="0" w:line="217" w:lineRule="exact"/>
        <w:rPr>
          <w:sz w:val="20"/>
          <w:szCs w:val="20"/>
          <w:color w:val="auto"/>
        </w:rPr>
      </w:pPr>
    </w:p>
    <w:p>
      <w:pPr>
        <w:jc w:val="both"/>
        <w:ind w:left="940"/>
        <w:spacing w:after="0" w:line="238" w:lineRule="auto"/>
        <w:rPr>
          <w:sz w:val="20"/>
          <w:szCs w:val="20"/>
          <w:color w:val="auto"/>
        </w:rPr>
      </w:pPr>
      <w:r>
        <w:rPr>
          <w:rFonts w:ascii="Times New Roman" w:cs="Times New Roman" w:eastAsia="Times New Roman" w:hAnsi="Times New Roman"/>
          <w:sz w:val="22"/>
          <w:szCs w:val="22"/>
          <w:color w:val="auto"/>
        </w:rPr>
        <w:t>of securities of the Company and therefore would not qualify under that exception). In other words, Restricted Persons and other employees who are restricted from trading are always permitted to exercise and hold employee stock options of the Company, even during Blackout Periods. Employees subject to a Blackout Period may not sell any stock acquired through the exercise of an option during the Blackout Period, including the Quarterly Blackout Period, where they are restricted.</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Gifts</w:t>
      </w:r>
      <w:r>
        <w:rPr>
          <w:rFonts w:ascii="Times New Roman" w:cs="Times New Roman" w:eastAsia="Times New Roman" w:hAnsi="Times New Roman"/>
          <w:sz w:val="22"/>
          <w:szCs w:val="22"/>
          <w:color w:val="auto"/>
        </w:rPr>
        <w:t>: Bona fide gifts of the Company’s securities are not prohibited during a Blackout Period.</w:t>
      </w:r>
    </w:p>
    <w:p>
      <w:pPr>
        <w:spacing w:after="0" w:line="206" w:lineRule="exact"/>
        <w:rPr>
          <w:sz w:val="20"/>
          <w:szCs w:val="20"/>
          <w:color w:val="auto"/>
        </w:rPr>
      </w:pPr>
    </w:p>
    <w:p>
      <w:pPr>
        <w:ind w:left="1040" w:hanging="466"/>
        <w:spacing w:after="0" w:line="262" w:lineRule="auto"/>
        <w:tabs>
          <w:tab w:leader="none" w:pos="10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i w:val="1"/>
          <w:iCs w:val="1"/>
          <w:color w:val="auto"/>
        </w:rPr>
        <w:t>10b5-1 Plans</w:t>
      </w:r>
      <w:r>
        <w:rPr>
          <w:rFonts w:ascii="Times New Roman" w:cs="Times New Roman" w:eastAsia="Times New Roman" w:hAnsi="Times New Roman"/>
          <w:sz w:val="22"/>
          <w:szCs w:val="22"/>
          <w:color w:val="auto"/>
        </w:rPr>
        <w:t>: Purchases or sales of the Company’s securities made pursuant to any 10b5-1 Plans or other pre-existing binding contracts discussed in Section 12 hereof are not prohibited during a Blackout Period.</w:t>
      </w:r>
    </w:p>
    <w:p>
      <w:pPr>
        <w:spacing w:after="0" w:line="150" w:lineRule="exact"/>
        <w:rPr>
          <w:sz w:val="20"/>
          <w:szCs w:val="20"/>
          <w:color w:val="auto"/>
        </w:rPr>
      </w:pPr>
    </w:p>
    <w:p>
      <w:pPr>
        <w:ind w:left="660" w:hanging="383"/>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Mandatory Pre-Clearance by Officers &amp; Directors</w:t>
      </w:r>
    </w:p>
    <w:p>
      <w:pPr>
        <w:spacing w:after="0" w:line="237" w:lineRule="exact"/>
        <w:rPr>
          <w:rFonts w:ascii="Times New Roman" w:cs="Times New Roman" w:eastAsia="Times New Roman" w:hAnsi="Times New Roman"/>
          <w:sz w:val="22"/>
          <w:szCs w:val="22"/>
          <w:b w:val="1"/>
          <w:bCs w:val="1"/>
          <w:color w:val="auto"/>
        </w:rPr>
      </w:pPr>
    </w:p>
    <w:p>
      <w:pPr>
        <w:ind w:left="660" w:right="140"/>
        <w:spacing w:after="0" w:line="25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All officers (vice presidents and up) and members of the Board must receive pre-clearance from the Chief Financial Officer, General Counsel or his/her designee prior to commencing any transactions in the Company’s stock or other securities (including without limitation, acquisitions and dispositions of Company stock, the “net” or “cashless” exercise of stock options and the sale of Company stock issued upon exercise of stock options) not covered by a 10b5-1 plan.</w:t>
      </w:r>
    </w:p>
    <w:p>
      <w:pPr>
        <w:spacing w:after="0" w:line="157" w:lineRule="exact"/>
        <w:rPr>
          <w:rFonts w:ascii="Times New Roman" w:cs="Times New Roman" w:eastAsia="Times New Roman" w:hAnsi="Times New Roman"/>
          <w:sz w:val="22"/>
          <w:szCs w:val="22"/>
          <w:b w:val="1"/>
          <w:bCs w:val="1"/>
          <w:color w:val="auto"/>
        </w:rPr>
      </w:pPr>
    </w:p>
    <w:p>
      <w:pPr>
        <w:ind w:left="660" w:hanging="383"/>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Tipping</w:t>
      </w:r>
    </w:p>
    <w:p>
      <w:pPr>
        <w:spacing w:after="0" w:line="250" w:lineRule="exact"/>
        <w:rPr>
          <w:rFonts w:ascii="Times New Roman" w:cs="Times New Roman" w:eastAsia="Times New Roman" w:hAnsi="Times New Roman"/>
          <w:sz w:val="22"/>
          <w:szCs w:val="22"/>
          <w:b w:val="1"/>
          <w:bCs w:val="1"/>
          <w:color w:val="auto"/>
        </w:rPr>
      </w:pPr>
    </w:p>
    <w:p>
      <w:pPr>
        <w:jc w:val="both"/>
        <w:ind w:left="66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Employees may not disclose (“tip”) material, non-public information to any other person (including family members) where such information may be used by such person to trade in the Company’s securities (or the securities of any other entity). The concept of unlawful tipping includes passing on such information to friends, family members, or acquaintances under circumstances that suggest you were trying to help them make a profit or avoid a loss. Tipping also includes making recommendations, “signaling,” or expressing opinions about trading, while aware of inside information. You may, of course, provide such information to other employees of the Company on a “need to know” basis in the course of performing your job at the Company. It should be noted that trading by members of an officer’s, director’s or employee’s household can be the responsibility of such officer, director or employee under certain circumstances and could give rise to legal and Company-imposed sanctions.</w:t>
      </w:r>
    </w:p>
    <w:p>
      <w:pPr>
        <w:spacing w:after="0" w:line="179" w:lineRule="exact"/>
        <w:rPr>
          <w:rFonts w:ascii="Times New Roman" w:cs="Times New Roman" w:eastAsia="Times New Roman" w:hAnsi="Times New Roman"/>
          <w:sz w:val="22"/>
          <w:szCs w:val="22"/>
          <w:b w:val="1"/>
          <w:bCs w:val="1"/>
          <w:color w:val="auto"/>
        </w:rPr>
      </w:pPr>
    </w:p>
    <w:p>
      <w:pPr>
        <w:ind w:left="660" w:hanging="383"/>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in Derivative Securities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may not trade derivative securities of CytomX at any time. Derivative securities are securities</w:t>
      </w:r>
    </w:p>
    <w:p>
      <w:pPr>
        <w:spacing w:after="0" w:line="210"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2" w:name="page133"/>
    <w:bookmarkEnd w:id="132"/>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19.1</w:t>
      </w:r>
    </w:p>
    <w:p>
      <w:pPr>
        <w:spacing w:after="0" w:line="15"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common stock that are speculative in nature because they permit a person to leverage his or her investment using a relatively small amount of money. Examples of derivative securities include put and call options, zero cost collars and forward sale contracts. These are different from employee stock options, which are not derivative securities.</w:t>
      </w:r>
    </w:p>
    <w:p>
      <w:pPr>
        <w:spacing w:after="0" w:line="169"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Short Selling</w:t>
      </w:r>
    </w:p>
    <w:p>
      <w:pPr>
        <w:spacing w:after="0" w:line="250" w:lineRule="exact"/>
        <w:rPr>
          <w:rFonts w:ascii="Times New Roman" w:cs="Times New Roman" w:eastAsia="Times New Roman" w:hAnsi="Times New Roman"/>
          <w:sz w:val="22"/>
          <w:szCs w:val="22"/>
          <w:b w:val="1"/>
          <w:bCs w:val="1"/>
          <w:color w:val="auto"/>
        </w:rPr>
      </w:pPr>
    </w:p>
    <w:p>
      <w:pPr>
        <w:jc w:val="both"/>
        <w:ind w:left="380"/>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not engage in short selling of our securities. Selling short includes transactions in which you borrow stock from a broker, sell it, and eventually buy it back on the market to return the borrowed shares to the broker. Profit is anticipated through the expectation that the stock price will decrease during the period of borrowing.</w:t>
      </w:r>
    </w:p>
    <w:p>
      <w:pPr>
        <w:spacing w:after="0" w:line="16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Purchasing on Margin</w:t>
      </w:r>
    </w:p>
    <w:p>
      <w:pPr>
        <w:spacing w:after="0" w:line="237" w:lineRule="exact"/>
        <w:rPr>
          <w:rFonts w:ascii="Times New Roman" w:cs="Times New Roman" w:eastAsia="Times New Roman" w:hAnsi="Times New Roman"/>
          <w:sz w:val="22"/>
          <w:szCs w:val="22"/>
          <w:b w:val="1"/>
          <w:bCs w:val="1"/>
          <w:color w:val="auto"/>
        </w:rPr>
      </w:pPr>
    </w:p>
    <w:p>
      <w:pPr>
        <w:jc w:val="both"/>
        <w:ind w:left="380"/>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not purchase CytomX stock on margin at any time. Purchasing securities on margin is the use of borrowed money from a brokerage to purchase securities. You may, however, hold CytomX stock in a margin account, i.e., an account that allows you to borrow money against your stock, including CytomX stock so long as you have, at all times, sufficient cash or securities other than CytomX stock to meet a margin call. You may not allow a "margin call" to be covered by the sale of CytomX securities while in possession of material, non-public information or if the trading window has been closed to you by CytomX pursuant to a Blackout Period.</w:t>
      </w:r>
    </w:p>
    <w:p>
      <w:pPr>
        <w:spacing w:after="0" w:line="17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Trading in the Securities of Other Companies</w:t>
      </w:r>
    </w:p>
    <w:p>
      <w:pPr>
        <w:spacing w:after="0" w:line="200" w:lineRule="exact"/>
        <w:rPr>
          <w:rFonts w:ascii="Times New Roman" w:cs="Times New Roman" w:eastAsia="Times New Roman" w:hAnsi="Times New Roman"/>
          <w:sz w:val="22"/>
          <w:szCs w:val="22"/>
          <w:b w:val="1"/>
          <w:bCs w:val="1"/>
          <w:color w:val="auto"/>
        </w:rPr>
      </w:pPr>
    </w:p>
    <w:p>
      <w:pPr>
        <w:spacing w:after="0" w:line="293" w:lineRule="exact"/>
        <w:rPr>
          <w:rFonts w:ascii="Times New Roman" w:cs="Times New Roman" w:eastAsia="Times New Roman" w:hAnsi="Times New Roman"/>
          <w:sz w:val="22"/>
          <w:szCs w:val="22"/>
          <w:b w:val="1"/>
          <w:bCs w:val="1"/>
          <w:color w:val="auto"/>
        </w:rPr>
      </w:pPr>
    </w:p>
    <w:p>
      <w:pPr>
        <w:jc w:val="both"/>
        <w:ind w:left="3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prohibition on insider trading in this policy is not limited to trading in CytomX’s securities. You are also prohibited from trading in the securities of other companies (such as our suppliers, and those with which we may be negotiating major transactions, such as an acquisition, investment or sale) while in possession of material, non-public information about these companies obtained as a result of your employment by or delivery of services to CytomX. Information that is not material to CytomX may nevertheless be material to one of those other companies. Before trading in the securities of other companies with whom we do business, you should consult with the Legal Department, to determine whether there are any restrictions on doing so.</w:t>
      </w:r>
    </w:p>
    <w:p>
      <w:pPr>
        <w:spacing w:after="0" w:line="17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Insider Trading</w:t>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 xml:space="preserve">Trading while aware of inside information is a crime. </w:t>
      </w:r>
      <w:r>
        <w:rPr>
          <w:rFonts w:ascii="Times New Roman" w:cs="Times New Roman" w:eastAsia="Times New Roman" w:hAnsi="Times New Roman"/>
          <w:sz w:val="22"/>
          <w:szCs w:val="22"/>
          <w:color w:val="auto"/>
        </w:rPr>
        <w:t>Penalties to individuals for insider trading</w:t>
      </w:r>
    </w:p>
    <w:p>
      <w:pPr>
        <w:spacing w:after="0" w:line="214"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5</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3" w:name="page134"/>
    <w:bookmarkEnd w:id="133"/>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19.1</w:t>
      </w:r>
    </w:p>
    <w:p>
      <w:pPr>
        <w:spacing w:after="0" w:line="15"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include fines of up to $1,000,000, 10 years in jail, civil penalties of up to three times the profits made or losses avoided from trading and, potentially; civil liability in private lawsuits. In addition, violation of this policy may result in severe personnel action, up to and including termination of your employment or other relationship with us. Any violation of this policy should be reported to the Legal Department.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10b5-1 Plans</w:t>
      </w:r>
    </w:p>
    <w:p>
      <w:pPr>
        <w:spacing w:after="0" w:line="264" w:lineRule="exact"/>
        <w:rPr>
          <w:sz w:val="20"/>
          <w:szCs w:val="20"/>
          <w:color w:val="auto"/>
        </w:rPr>
      </w:pPr>
    </w:p>
    <w:p>
      <w:pPr>
        <w:jc w:val="both"/>
        <w:ind w:left="480"/>
        <w:spacing w:after="0" w:line="234" w:lineRule="auto"/>
        <w:rPr>
          <w:sz w:val="20"/>
          <w:szCs w:val="20"/>
          <w:color w:val="auto"/>
        </w:rPr>
      </w:pPr>
      <w:r>
        <w:rPr>
          <w:rFonts w:ascii="Times New Roman" w:cs="Times New Roman" w:eastAsia="Times New Roman" w:hAnsi="Times New Roman"/>
          <w:sz w:val="22"/>
          <w:szCs w:val="22"/>
          <w:color w:val="auto"/>
        </w:rPr>
        <w:t>The Securities and Exchange Commission permits trades to be executed even if the trader is aware of material, non-public information if the trade is executed pursuant to a plan that meets the requirements of Rule 10b5-1 under the Securities Exchange Act of 1934. Generally, such plans must be established at a time that the person was not aware of material, non-public information and must provide specific (as detailed by the rule) instructions as to amount, price, and timing. A trade may be executed pursuant to a Rule 10b5-1 plan without further clearance and without regard to any Blackout Period if you submitted the plan to the General Counsel for review at the time you establish the plan and he/she has not advised you that the plan is defective. Although you are required to submit your plan for review, it is your responsibility to assure that the plan meets the requirements of Rule 10b5-1. You should consult with your own counsel and investment advisor in setting up the plan to make sure that it complies with the requirements of the rule. Subject to applicable law, Exhibit A sets forth requirements for Rule 10b5-1 plans.</w:t>
      </w:r>
    </w:p>
    <w:p>
      <w:pPr>
        <w:spacing w:after="0" w:line="216"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Ultimate Responsibility for Insider Trading</w:t>
      </w:r>
    </w:p>
    <w:p>
      <w:pPr>
        <w:spacing w:after="0" w:line="246" w:lineRule="exact"/>
        <w:rPr>
          <w:rFonts w:ascii="Times New Roman" w:cs="Times New Roman" w:eastAsia="Times New Roman" w:hAnsi="Times New Roman"/>
          <w:sz w:val="22"/>
          <w:szCs w:val="22"/>
          <w:b w:val="1"/>
          <w:bCs w:val="1"/>
          <w:color w:val="auto"/>
        </w:rPr>
      </w:pPr>
    </w:p>
    <w:p>
      <w:pPr>
        <w:jc w:val="both"/>
        <w:ind w:left="38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Notwithstanding any pre-clearance or trading in an open window, the determination of whether a person trades with material non-public information is solely the responsibility of the person trading. </w:t>
      </w:r>
      <w:r>
        <w:rPr>
          <w:rFonts w:ascii="Times New Roman" w:cs="Times New Roman" w:eastAsia="Times New Roman" w:hAnsi="Times New Roman"/>
          <w:sz w:val="22"/>
          <w:szCs w:val="22"/>
          <w:color w:val="auto"/>
        </w:rPr>
        <w:t>The Company cannot always know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what is in the mind of the person trading, whether it is material or might be deemed material in hindsight.</w:t>
      </w:r>
    </w:p>
    <w:p>
      <w:pPr>
        <w:spacing w:after="0" w:line="221"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Amendments</w:t>
      </w:r>
    </w:p>
    <w:p>
      <w:pPr>
        <w:spacing w:after="0" w:line="250" w:lineRule="exact"/>
        <w:rPr>
          <w:rFonts w:ascii="Times New Roman" w:cs="Times New Roman" w:eastAsia="Times New Roman" w:hAnsi="Times New Roman"/>
          <w:sz w:val="22"/>
          <w:szCs w:val="22"/>
          <w:b w:val="1"/>
          <w:bCs w:val="1"/>
          <w:color w:val="auto"/>
        </w:rPr>
      </w:pPr>
    </w:p>
    <w:p>
      <w:pPr>
        <w:jc w:val="both"/>
        <w:ind w:left="380"/>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No amendments to this policy, other than amendments to comply with applicable law or amendments that are procedural or non-substantive (collectively, “Permitted Amendments”), may be made without the approval of the Board or a committee of the Board. Permitted Amendments may be authorized by the General Counsel and the Chief Financial Officer.</w:t>
      </w:r>
    </w:p>
    <w:p>
      <w:pPr>
        <w:spacing w:after="0" w:line="377"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4" w:name="page135"/>
    <w:bookmarkEnd w:id="134"/>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raining</w:t>
      </w:r>
    </w:p>
    <w:p>
      <w:pPr>
        <w:spacing w:after="0" w:line="264"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22"/>
          <w:szCs w:val="22"/>
          <w:color w:val="auto"/>
        </w:rPr>
        <w:t>From time to time the Company may require training of employees who shall certify to such training pursuant to the Certification attached as Appendix B or such other certification as the Company shall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5" w:name="page136"/>
    <w:bookmarkEnd w:id="135"/>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Trading Programs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Program:</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Securities and Exchange Commission permits trades to be executed even if the trader is aware of material, non-public information if the trade is executed pursuant to a plan that meets the requirements of Rule 10b5-1 under the Securities Exchange Act of 1934 (a “</w:t>
      </w:r>
      <w:r>
        <w:rPr>
          <w:rFonts w:ascii="Times New Roman" w:cs="Times New Roman" w:eastAsia="Times New Roman" w:hAnsi="Times New Roman"/>
          <w:sz w:val="22"/>
          <w:szCs w:val="22"/>
          <w:b w:val="1"/>
          <w:bCs w:val="1"/>
          <w:u w:val="single" w:color="auto"/>
          <w:color w:val="auto"/>
        </w:rPr>
        <w:t>Trading Plan</w:t>
      </w:r>
      <w:r>
        <w:rPr>
          <w:rFonts w:ascii="Times New Roman" w:cs="Times New Roman" w:eastAsia="Times New Roman" w:hAnsi="Times New Roman"/>
          <w:sz w:val="22"/>
          <w:szCs w:val="22"/>
          <w:color w:val="auto"/>
        </w:rPr>
        <w:t>”). Generally, a Trading Plan must be established at a time that the person was not aware of material, non-public information and must provide specific (as detailed by the rule) instructions as to amount, price, and timing. All Trading Plans, including but not limited to, blind trusts, discretionary accounts with banks or brokers, or limit orders, must be authorized by the Legal Department. An authorized Trading Plan that complies with Rule 10b5-1 may initiate transactions without further clearance and without regard to the Blackout Period.</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Although you are required to submit your plan to the General Counsel and such officer or such officer’s designee may review the plan, it is your responsibility to assure that the plan meets the requirements of Rule 10b5-1. You should consult with your own counsel in setting up the plan to make sure that it complies with the requirements of the rule.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Program Restrictions</w:t>
      </w:r>
      <w:r>
        <w:rPr>
          <w:rFonts w:ascii="Times New Roman" w:cs="Times New Roman" w:eastAsia="Times New Roman" w:hAnsi="Times New Roman"/>
          <w:sz w:val="22"/>
          <w:szCs w:val="22"/>
          <w:color w:val="auto"/>
        </w:rPr>
        <w:t>. All programs shall be subject to the following restrictions:</w:t>
      </w:r>
    </w:p>
    <w:p>
      <w:pPr>
        <w:spacing w:after="0" w:line="386" w:lineRule="exact"/>
        <w:rPr>
          <w:sz w:val="20"/>
          <w:szCs w:val="20"/>
          <w:color w:val="auto"/>
        </w:rPr>
      </w:pPr>
    </w:p>
    <w:p>
      <w:pPr>
        <w:ind w:left="560" w:right="420" w:hanging="358"/>
        <w:spacing w:after="0" w:line="258" w:lineRule="auto"/>
        <w:tabs>
          <w:tab w:leader="none" w:pos="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program may be established at a time when the person establishing the program is aware of material nonpublic information.</w:t>
      </w:r>
    </w:p>
    <w:p>
      <w:pPr>
        <w:spacing w:after="0" w:line="185" w:lineRule="exact"/>
        <w:rPr>
          <w:rFonts w:ascii="Times New Roman" w:cs="Times New Roman" w:eastAsia="Times New Roman" w:hAnsi="Times New Roman"/>
          <w:sz w:val="22"/>
          <w:szCs w:val="22"/>
          <w:color w:val="auto"/>
        </w:rPr>
      </w:pPr>
    </w:p>
    <w:p>
      <w:pPr>
        <w:jc w:val="both"/>
        <w:ind w:left="560" w:right="760" w:hanging="358"/>
        <w:spacing w:after="0" w:line="244" w:lineRule="auto"/>
        <w:tabs>
          <w:tab w:leader="none" w:pos="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prohibited under the Company’s Insider Trading Policy, including among others short sales, sales of derivative securities and hedging transactions, may not be carried out through a Trading Plan or other arrangement or trading instruction involving potential sales or purchases of the Company’s securities.</w:t>
      </w:r>
    </w:p>
    <w:p>
      <w:pPr>
        <w:spacing w:after="0" w:line="200" w:lineRule="exact"/>
        <w:rPr>
          <w:rFonts w:ascii="Times New Roman" w:cs="Times New Roman" w:eastAsia="Times New Roman" w:hAnsi="Times New Roman"/>
          <w:sz w:val="22"/>
          <w:szCs w:val="22"/>
          <w:color w:val="auto"/>
        </w:rPr>
      </w:pPr>
    </w:p>
    <w:p>
      <w:pPr>
        <w:jc w:val="both"/>
        <w:ind w:left="580" w:hanging="378"/>
        <w:spacing w:after="0" w:line="238" w:lineRule="auto"/>
        <w:tabs>
          <w:tab w:leader="none" w:pos="5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 Trading Plan, if the Chief Financial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w:t>
      </w:r>
    </w:p>
    <w:p>
      <w:pPr>
        <w:spacing w:after="0" w:line="329"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6" w:name="page137"/>
    <w:bookmarkEnd w:id="136"/>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391" w:lineRule="exact"/>
        <w:rPr>
          <w:sz w:val="20"/>
          <w:szCs w:val="20"/>
          <w:color w:val="auto"/>
        </w:rPr>
      </w:pPr>
    </w:p>
    <w:p>
      <w:pPr>
        <w:jc w:val="both"/>
        <w:ind w:left="580" w:hanging="378"/>
        <w:spacing w:after="0" w:line="239" w:lineRule="auto"/>
        <w:tabs>
          <w:tab w:leader="none" w:pos="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modification or amendment of a Trading Plan will be subject to the prior review and approval of General Counsel. Revocation is effective upon written notice to the broker. Once a Trading Plan has been revoked, the participant should wait at least 30 days before trading outside of a Trading Plan or before establishing a new Trading Plan.</w:t>
      </w:r>
    </w:p>
    <w:p>
      <w:pPr>
        <w:spacing w:after="0" w:line="200" w:lineRule="exact"/>
        <w:rPr>
          <w:rFonts w:ascii="Times New Roman" w:cs="Times New Roman" w:eastAsia="Times New Roman" w:hAnsi="Times New Roman"/>
          <w:sz w:val="22"/>
          <w:szCs w:val="22"/>
          <w:color w:val="auto"/>
        </w:rPr>
      </w:pPr>
    </w:p>
    <w:p>
      <w:pPr>
        <w:spacing w:after="0" w:line="317" w:lineRule="exact"/>
        <w:rPr>
          <w:rFonts w:ascii="Times New Roman" w:cs="Times New Roman" w:eastAsia="Times New Roman" w:hAnsi="Times New Roman"/>
          <w:sz w:val="22"/>
          <w:szCs w:val="22"/>
          <w:color w:val="auto"/>
        </w:rPr>
      </w:pPr>
    </w:p>
    <w:p>
      <w:pPr>
        <w:jc w:val="both"/>
        <w:ind w:left="560" w:right="320" w:hanging="358"/>
        <w:spacing w:after="0" w:line="244" w:lineRule="auto"/>
        <w:tabs>
          <w:tab w:leader="none" w:pos="5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Programs may be terminated at any time, but if terminated, the person who had utilized the program may not establish a new program until the earlier of six months following the termination of the prior program or the end of the Company's fiscal year.</w:t>
      </w:r>
    </w:p>
    <w:p>
      <w:pPr>
        <w:spacing w:after="0" w:line="375" w:lineRule="exact"/>
        <w:rPr>
          <w:rFonts w:ascii="Times New Roman" w:cs="Times New Roman" w:eastAsia="Times New Roman" w:hAnsi="Times New Roman"/>
          <w:sz w:val="22"/>
          <w:szCs w:val="22"/>
          <w:color w:val="auto"/>
        </w:rPr>
      </w:pPr>
    </w:p>
    <w:p>
      <w:pPr>
        <w:jc w:val="both"/>
        <w:ind w:left="540" w:right="920" w:hanging="338"/>
        <w:spacing w:after="0" w:line="239" w:lineRule="auto"/>
        <w:tabs>
          <w:tab w:leader="none" w:pos="5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programs must be entered into in good faith and not as part of a plan or scheme to evade the prohibitions of the securities laws (including, without limitation, Rule l0b5-1). The Company may require immediate termination of any program that it determines was put in place either (i) not in good faith or (ii) as part of a plan or scheme to evade the prohibitions of the securities laws.</w:t>
      </w:r>
    </w:p>
    <w:p>
      <w:pPr>
        <w:spacing w:after="0" w:line="207" w:lineRule="exact"/>
        <w:rPr>
          <w:rFonts w:ascii="Times New Roman" w:cs="Times New Roman" w:eastAsia="Times New Roman" w:hAnsi="Times New Roman"/>
          <w:sz w:val="22"/>
          <w:szCs w:val="22"/>
          <w:color w:val="auto"/>
        </w:rPr>
      </w:pPr>
    </w:p>
    <w:p>
      <w:pPr>
        <w:jc w:val="both"/>
        <w:ind w:left="580" w:hanging="378"/>
        <w:spacing w:after="0" w:line="239" w:lineRule="auto"/>
        <w:tabs>
          <w:tab w:leader="none" w:pos="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transactions effected under a Trading Plan will not require further pre-clearance at the time of the trade, any transaction (including the quantity and price) made pursuant to a Trading Plan of a Section 16 reporting person must be reported to the Company promptly to permit the Company’s filing coordinator to assist in the preparation and filing of a required Form 4.</w:t>
      </w:r>
    </w:p>
    <w:p>
      <w:pPr>
        <w:spacing w:after="0" w:line="355" w:lineRule="exact"/>
        <w:rPr>
          <w:rFonts w:ascii="Times New Roman" w:cs="Times New Roman" w:eastAsia="Times New Roman" w:hAnsi="Times New Roman"/>
          <w:sz w:val="22"/>
          <w:szCs w:val="22"/>
          <w:color w:val="auto"/>
        </w:rPr>
      </w:pPr>
    </w:p>
    <w:p>
      <w:pPr>
        <w:jc w:val="both"/>
        <w:ind w:left="580" w:right="120" w:hanging="378"/>
        <w:spacing w:after="0" w:line="238" w:lineRule="auto"/>
        <w:tabs>
          <w:tab w:leader="none" w:pos="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key terms of the Company policy set forth in this Exhibit A and programs established pursuant to it (and trades made pursuant thereto) may be disclosed to the public through a press release, by placement on the Company's website or through other means to be determined by the Company in its discretion. The Company shall not have any liability to any person as a result of the establishment of a program, any Company disclosure with respect thereto, or any cancellation of transactions and/or suspension of a program as discussed above.</w:t>
      </w:r>
    </w:p>
    <w:p>
      <w:pPr>
        <w:spacing w:after="0" w:line="203" w:lineRule="exact"/>
        <w:rPr>
          <w:rFonts w:ascii="Times New Roman" w:cs="Times New Roman" w:eastAsia="Times New Roman" w:hAnsi="Times New Roman"/>
          <w:sz w:val="22"/>
          <w:szCs w:val="22"/>
          <w:color w:val="auto"/>
        </w:rPr>
      </w:pPr>
    </w:p>
    <w:p>
      <w:pPr>
        <w:jc w:val="both"/>
        <w:ind w:left="580" w:right="120" w:hanging="378"/>
        <w:spacing w:after="0" w:line="239" w:lineRule="auto"/>
        <w:tabs>
          <w:tab w:leader="none" w:pos="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and employee’s broker shall be responsible for filing in SEC Form 144 required in connection with trading under a Trading Plan. For executive officers required to file a Form 4 upon any trade, the officer is responsible for notifying the Company of the trade immediately after the trade to enable filing of a Form 4 before the end of the second business day after the trade.</w:t>
      </w:r>
    </w:p>
    <w:p>
      <w:pPr>
        <w:spacing w:after="0" w:line="184" w:lineRule="exact"/>
        <w:rPr>
          <w:sz w:val="20"/>
          <w:szCs w:val="20"/>
          <w:color w:val="auto"/>
        </w:rPr>
      </w:pPr>
    </w:p>
    <w:p>
      <w:pPr>
        <w:ind w:right="39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9</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7" w:name="page138"/>
    <w:bookmarkEnd w:id="137"/>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200" w:lineRule="exact"/>
        <w:rPr>
          <w:sz w:val="20"/>
          <w:szCs w:val="20"/>
          <w:color w:val="auto"/>
        </w:rPr>
      </w:pPr>
    </w:p>
    <w:p>
      <w:pPr>
        <w:spacing w:after="0" w:line="286" w:lineRule="exact"/>
        <w:rPr>
          <w:sz w:val="20"/>
          <w:szCs w:val="20"/>
          <w:color w:val="auto"/>
        </w:rPr>
      </w:pPr>
    </w:p>
    <w:p>
      <w:pPr>
        <w:jc w:val="both"/>
        <w:ind w:left="640" w:right="120" w:hanging="14"/>
        <w:spacing w:after="0" w:line="244" w:lineRule="auto"/>
        <w:rPr>
          <w:sz w:val="20"/>
          <w:szCs w:val="20"/>
          <w:color w:val="auto"/>
        </w:rPr>
      </w:pPr>
      <w:r>
        <w:rPr>
          <w:rFonts w:ascii="Times New Roman" w:cs="Times New Roman" w:eastAsia="Times New Roman" w:hAnsi="Times New Roman"/>
          <w:sz w:val="22"/>
          <w:szCs w:val="22"/>
          <w:color w:val="auto"/>
        </w:rPr>
        <w:t>The foregoing is a summary of the permitted programs and restrictions thereon based on current applicable securities laws. This summary may be updated from time to time by the General Counsel or Chief Financial Officer of the Company as appropriate.</w:t>
      </w:r>
    </w:p>
    <w:p>
      <w:pPr>
        <w:spacing w:after="0" w:line="200" w:lineRule="exact"/>
        <w:rPr>
          <w:sz w:val="20"/>
          <w:szCs w:val="20"/>
          <w:color w:val="auto"/>
        </w:rPr>
      </w:pPr>
    </w:p>
    <w:p>
      <w:pPr>
        <w:spacing w:after="0" w:line="2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END OF DOCUMENT</w:t>
      </w:r>
    </w:p>
    <w:p>
      <w:pPr>
        <w:spacing w:after="0" w:line="200" w:lineRule="exact"/>
        <w:rPr>
          <w:sz w:val="20"/>
          <w:szCs w:val="20"/>
          <w:color w:val="auto"/>
        </w:rPr>
      </w:pPr>
    </w:p>
    <w:p>
      <w:pPr>
        <w:spacing w:after="0" w:line="226" w:lineRule="exact"/>
        <w:rPr>
          <w:sz w:val="20"/>
          <w:szCs w:val="20"/>
          <w:color w:val="auto"/>
        </w:rPr>
      </w:pPr>
    </w:p>
    <w:p>
      <w:pPr>
        <w:ind w:right="386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10</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8" w:name="page139"/>
    <w:bookmarkEnd w:id="138"/>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00" w:lineRule="exact"/>
        <w:rPr>
          <w:sz w:val="20"/>
          <w:szCs w:val="20"/>
          <w:color w:val="auto"/>
        </w:rPr>
      </w:pPr>
    </w:p>
    <w:p>
      <w:pPr>
        <w:spacing w:after="0" w:line="288"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color w:val="auto"/>
        </w:rPr>
        <w:t xml:space="preserve">You must sign, date and return this Certification stating that you received the Security Trading </w:t>
      </w:r>
      <w:r>
        <w:rPr>
          <w:rFonts w:ascii="Times New Roman" w:cs="Times New Roman" w:eastAsia="Times New Roman" w:hAnsi="Times New Roman"/>
          <w:sz w:val="22"/>
          <w:szCs w:val="22"/>
          <w:u w:val="single" w:color="auto"/>
          <w:color w:val="auto"/>
        </w:rPr>
        <w:t>Policy (the “</w:t>
      </w:r>
      <w:r>
        <w:rPr>
          <w:rFonts w:ascii="Times New Roman" w:cs="Times New Roman" w:eastAsia="Times New Roman" w:hAnsi="Times New Roman"/>
          <w:sz w:val="22"/>
          <w:szCs w:val="22"/>
          <w:b w:val="1"/>
          <w:bCs w:val="1"/>
          <w:i w:val="1"/>
          <w:iCs w:val="1"/>
          <w:u w:val="single" w:color="auto"/>
          <w:color w:val="auto"/>
        </w:rPr>
        <w:t>Policy</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related procedures of CytomX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you agree to comply with it. Please note that you are bound by the Policy whether or not you sign the Certification. You will be required to confirm your compliance with the Policy by signing and returning a copy of the Certification each year.</w:t>
      </w:r>
    </w:p>
    <w:p>
      <w:pPr>
        <w:spacing w:after="0" w:line="110"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You will receive training regarding the Policy on a periodic basis. At that time, it is expected that you will ask questions sufficient to allow you to understand the Policy. Also, if at any time during the year you desire additional training or have a question regarding the Policy, please contact the Finance Department to set up an appointment for training.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that I:</w:t>
      </w:r>
    </w:p>
    <w:p>
      <w:pPr>
        <w:spacing w:after="0" w:line="139" w:lineRule="exact"/>
        <w:rPr>
          <w:sz w:val="20"/>
          <w:szCs w:val="20"/>
          <w:color w:val="auto"/>
        </w:rPr>
      </w:pPr>
    </w:p>
    <w:p>
      <w:pPr>
        <w:ind w:left="1140" w:hanging="383"/>
        <w:spacing w:after="0" w:line="241" w:lineRule="auto"/>
        <w:tabs>
          <w:tab w:leader="none" w:pos="11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read and understand the Company’s Security </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a copy of which was distributed with this certificate;</w:t>
      </w:r>
    </w:p>
    <w:p>
      <w:pPr>
        <w:spacing w:after="0" w:line="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complied with the foregoing policy and procedures;</w:t>
      </w:r>
    </w:p>
    <w:p>
      <w:pPr>
        <w:spacing w:after="0" w:line="114" w:lineRule="exact"/>
        <w:rPr>
          <w:rFonts w:ascii="Times New Roman" w:cs="Times New Roman" w:eastAsia="Times New Roman" w:hAnsi="Times New Roman"/>
          <w:sz w:val="22"/>
          <w:szCs w:val="22"/>
          <w:color w:val="auto"/>
        </w:rPr>
      </w:pPr>
    </w:p>
    <w:p>
      <w:pPr>
        <w:ind w:left="1140" w:right="4020" w:hanging="383"/>
        <w:spacing w:after="0" w:line="258" w:lineRule="auto"/>
        <w:tabs>
          <w:tab w:leader="none" w:pos="11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continue to comply with the policy and procedures set forth in the Policy; and</w:t>
      </w:r>
    </w:p>
    <w:p>
      <w:pPr>
        <w:spacing w:after="0" w:line="7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will request prior approval of all proposed sales or acquisitions of securities of the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__________________________________________</w:t>
      </w:r>
    </w:p>
    <w:p>
      <w:pPr>
        <w:spacing w:after="0" w:line="200" w:lineRule="exact"/>
        <w:rPr>
          <w:sz w:val="20"/>
          <w:szCs w:val="20"/>
          <w:color w:val="auto"/>
        </w:rPr>
      </w:pPr>
    </w:p>
    <w:p>
      <w:pPr>
        <w:spacing w:after="0" w:line="3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__________________________________________</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(please print)</w:t>
      </w:r>
    </w:p>
    <w:p>
      <w:pPr>
        <w:spacing w:after="0" w:line="1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Calibri" w:cs="Calibri" w:eastAsia="Calibri" w:hAnsi="Calibri"/>
          <w:sz w:val="20"/>
          <w:szCs w:val="20"/>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88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11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39" w:name="page140"/>
    <w:bookmarkEnd w:id="139"/>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CORP-003</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30 December 2019</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Securities Trading</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19.1</w:t>
      </w: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Policy and Procedure Approval Sheet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Document Author: </w:t>
      </w:r>
      <w:r>
        <w:rPr>
          <w:rFonts w:ascii="Times New Roman" w:cs="Times New Roman" w:eastAsia="Times New Roman" w:hAnsi="Times New Roman"/>
          <w:sz w:val="20"/>
          <w:szCs w:val="20"/>
          <w:color w:val="auto"/>
        </w:rPr>
        <w:t>Lloyd Rowland, Senior Vice President, General Counsel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Originating Department: </w:t>
      </w:r>
      <w:r>
        <w:rPr>
          <w:rFonts w:ascii="Times New Roman" w:cs="Times New Roman" w:eastAsia="Times New Roman" w:hAnsi="Times New Roman"/>
          <w:sz w:val="20"/>
          <w:szCs w:val="20"/>
          <w:color w:val="auto"/>
        </w:rPr>
        <w:t>Corporate Compliance</w:t>
      </w:r>
    </w:p>
    <w:p>
      <w:pPr>
        <w:spacing w:after="0" w:line="152" w:lineRule="exact"/>
        <w:rPr>
          <w:sz w:val="20"/>
          <w:szCs w:val="20"/>
          <w:color w:val="auto"/>
        </w:rPr>
      </w:pPr>
    </w:p>
    <w:p>
      <w:pPr>
        <w:ind w:left="60" w:right="1400" w:hanging="48"/>
        <w:spacing w:after="0" w:line="385" w:lineRule="auto"/>
        <w:rPr>
          <w:sz w:val="20"/>
          <w:szCs w:val="20"/>
          <w:color w:val="auto"/>
        </w:rPr>
      </w:pPr>
      <w:r>
        <w:rPr>
          <w:rFonts w:ascii="Times New Roman" w:cs="Times New Roman" w:eastAsia="Times New Roman" w:hAnsi="Times New Roman"/>
          <w:sz w:val="20"/>
          <w:szCs w:val="20"/>
          <w:color w:val="auto"/>
        </w:rPr>
        <w:t>For new policies or revisions, check one of the following and complete the communication and/or training plan information. FORMCHECKBOX New</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Revision.</w:t>
      </w:r>
      <w:r>
        <w:rPr>
          <w:rFonts w:ascii="Times New Roman" w:cs="Times New Roman" w:eastAsia="Times New Roman" w:hAnsi="Times New Roman"/>
          <w:sz w:val="20"/>
          <w:szCs w:val="20"/>
          <w:color w:val="auto"/>
        </w:rPr>
        <w:t xml:space="preserve"> Identify existing policy being revised and briefly state reason for revision: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Administrative Change.</w:t>
      </w:r>
      <w:r>
        <w:rPr>
          <w:rFonts w:ascii="Times New Roman" w:cs="Times New Roman" w:eastAsia="Times New Roman" w:hAnsi="Times New Roman"/>
          <w:sz w:val="20"/>
          <w:szCs w:val="20"/>
          <w:color w:val="auto"/>
        </w:rPr>
        <w:t xml:space="preserve"> Check only if non-substantive, grammatical or typographical changes are needed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Inactivate</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Communications/Training Plan for New/Revised Policy:</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(Not needed for Administrative Change)</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FORMCHECKBOX  Working at CytomX Guidebook</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FORMCHECKBOX  Employee Curriculum with Quiz</w:t>
      </w:r>
    </w:p>
    <w:p>
      <w:pPr>
        <w:ind w:left="460"/>
        <w:spacing w:after="0"/>
        <w:rPr>
          <w:sz w:val="20"/>
          <w:szCs w:val="20"/>
          <w:color w:val="auto"/>
        </w:rPr>
      </w:pPr>
      <w:r>
        <w:rPr>
          <w:rFonts w:ascii="Times New Roman" w:cs="Times New Roman" w:eastAsia="Times New Roman" w:hAnsi="Times New Roman"/>
          <w:sz w:val="20"/>
          <w:szCs w:val="20"/>
          <w:color w:val="auto"/>
        </w:rPr>
        <w:t>FORMCHECKBOX  E-Learning</w:t>
      </w:r>
    </w:p>
    <w:p>
      <w:pPr>
        <w:ind w:left="460"/>
        <w:spacing w:after="0"/>
        <w:rPr>
          <w:sz w:val="20"/>
          <w:szCs w:val="20"/>
          <w:color w:val="auto"/>
        </w:rPr>
      </w:pPr>
      <w:r>
        <w:rPr>
          <w:rFonts w:ascii="Times New Roman" w:cs="Times New Roman" w:eastAsia="Times New Roman" w:hAnsi="Times New Roman"/>
          <w:sz w:val="20"/>
          <w:szCs w:val="20"/>
          <w:color w:val="auto"/>
        </w:rPr>
        <w:t>FORMCHECKBOX  Classroom Training</w:t>
      </w:r>
    </w:p>
    <w:p>
      <w:pPr>
        <w:ind w:left="460"/>
        <w:spacing w:after="0"/>
        <w:rPr>
          <w:sz w:val="20"/>
          <w:szCs w:val="20"/>
          <w:color w:val="auto"/>
        </w:rPr>
      </w:pPr>
      <w:r>
        <w:rPr>
          <w:rFonts w:ascii="Times New Roman" w:cs="Times New Roman" w:eastAsia="Times New Roman" w:hAnsi="Times New Roman"/>
          <w:sz w:val="20"/>
          <w:szCs w:val="20"/>
          <w:color w:val="auto"/>
        </w:rPr>
        <w:t>FORMCHECKBOX  Other (provide description)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20"/>
          <w:szCs w:val="20"/>
          <w:u w:val="single" w:color="auto"/>
          <w:color w:val="auto"/>
        </w:rPr>
        <w:t>TBD</w:t>
      </w:r>
      <w:r>
        <w:rPr>
          <w:rFonts w:ascii="Times New Roman" w:cs="Times New Roman" w:eastAsia="Times New Roman" w:hAnsi="Times New Roman"/>
          <w:sz w:val="20"/>
          <w:szCs w:val="20"/>
          <w:color w:val="auto"/>
        </w:rPr>
        <w:t>_________________________________________________________________________</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Approvals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Lloyd Rowland_________________</w:t>
            </w:r>
          </w:p>
        </w:tc>
        <w:tc>
          <w:tcPr>
            <w:tcW w:w="100" w:type="dxa"/>
            <w:vAlign w:val="bottom"/>
          </w:tcPr>
          <w:p>
            <w:pPr>
              <w:spacing w:after="0"/>
              <w:rPr>
                <w:sz w:val="19"/>
                <w:szCs w:val="19"/>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w w:val="98"/>
              </w:rPr>
              <w:t>April 2, 2020________________</w:t>
            </w:r>
          </w:p>
        </w:tc>
      </w:tr>
      <w:tr>
        <w:trPr>
          <w:trHeight w:val="20"/>
        </w:trPr>
        <w:tc>
          <w:tcPr>
            <w:tcW w:w="1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405"/>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Lloyd Rowland, Sr. Vice President, General Counsel</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696"/>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Sean McCarthy___________________</w:t>
            </w:r>
          </w:p>
        </w:tc>
        <w:tc>
          <w:tcPr>
            <w:tcW w:w="31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April 2, 2020________________</w:t>
            </w:r>
          </w:p>
        </w:tc>
      </w:tr>
      <w:tr>
        <w:trPr>
          <w:trHeight w:val="405"/>
        </w:trPr>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Sean McCarthy, Chief Executive Officer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c>
          <w:tcPr>
            <w:tcW w:w="400" w:type="dxa"/>
            <w:vAlign w:val="bottom"/>
          </w:tcPr>
          <w:p>
            <w:pPr>
              <w:spacing w:after="0"/>
              <w:rPr>
                <w:sz w:val="24"/>
                <w:szCs w:val="24"/>
                <w:color w:val="auto"/>
              </w:rPr>
            </w:pPr>
          </w:p>
        </w:tc>
      </w:tr>
    </w:tbl>
    <w:p>
      <w:pPr>
        <w:spacing w:after="0" w:line="321" w:lineRule="exact"/>
        <w:rPr>
          <w:sz w:val="20"/>
          <w:szCs w:val="20"/>
          <w:color w:val="auto"/>
        </w:rPr>
      </w:pPr>
    </w:p>
    <w:p>
      <w:pPr>
        <w:ind w:right="3860"/>
        <w:spacing w:after="0" w:line="259" w:lineRule="auto"/>
        <w:rPr>
          <w:sz w:val="20"/>
          <w:szCs w:val="20"/>
          <w:color w:val="auto"/>
        </w:rPr>
      </w:pPr>
      <w:r>
        <w:rPr>
          <w:rFonts w:ascii="Arial" w:cs="Arial" w:eastAsia="Arial" w:hAnsi="Arial"/>
          <w:sz w:val="20"/>
          <w:szCs w:val="20"/>
          <w:color w:val="auto"/>
        </w:rPr>
        <w:t xml:space="preserve">CytomX Therapeutics Effective: 30 December 2019 Page </w:t>
      </w:r>
      <w:r>
        <w:rPr>
          <w:rFonts w:ascii="Arial" w:cs="Arial" w:eastAsia="Arial" w:hAnsi="Arial"/>
          <w:sz w:val="20"/>
          <w:szCs w:val="20"/>
          <w:b w:val="1"/>
          <w:bCs w:val="1"/>
          <w:color w:val="auto"/>
        </w:rPr>
        <w:t>12</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12</w:t>
      </w:r>
      <w:r>
        <w:rPr>
          <w:rFonts w:ascii="Arial" w:cs="Arial" w:eastAsia="Arial" w:hAnsi="Arial"/>
          <w:sz w:val="20"/>
          <w:szCs w:val="20"/>
          <w:color w:val="auto"/>
        </w:rPr>
        <w:t xml:space="preserve"> CORP-003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 333-274010 and 333-258510 and related prospectuses of CytomX Therapeutics, Inc.,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333-207694, 333-209992, 333-215795, 333-223491, 333-229916, 333-236711, 333-253452, 333-255832, 333-263321, and 333-270869) pertaining to the 2015 Equity Incentive Plan, the Employee Stock Purchase Plan and the 2019 Employment Inducement Incentive Plan, of CytomX Therapeutics, Inc.;</w:t>
      </w:r>
    </w:p>
    <w:p>
      <w:pPr>
        <w:spacing w:after="0" w:line="176"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8"/>
          <w:szCs w:val="18"/>
          <w:color w:val="auto"/>
        </w:rPr>
        <w:t>of our report dated March 11, 2024, with respect to the financial statements of CytomX Therapeutics, Inc., included in this Annual Report (Form 10-K) of CytomX Therapeutics Inc., for the year ended December 31, 2023</w:t>
      </w:r>
      <w:r>
        <w:rPr>
          <w:rFonts w:ascii="Arial" w:cs="Arial" w:eastAsia="Arial" w:hAnsi="Arial"/>
          <w:sz w:val="19"/>
          <w:szCs w:val="19"/>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2023;</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26035</wp:posOffset>
            </wp:positionV>
            <wp:extent cx="24174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Sean A. McCarthy, D.Phil.</w:t>
      </w:r>
    </w:p>
    <w:p>
      <w:pPr>
        <w:spacing w:after="0" w:line="36"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2" w:name="page143"/>
    <w:bookmarkEnd w:id="14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Senior Vice President, Finance and Accounting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2023;</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26035</wp:posOffset>
            </wp:positionV>
            <wp:extent cx="24174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36"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Senior Vice President, Finance and Accounting</w:t>
      </w:r>
    </w:p>
    <w:p>
      <w:pPr>
        <w:spacing w:after="0" w:line="38"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Sean A. McCarthy, D.Phil., Chief Executive Officer of CytomX Therapeutics, Inc. (the “Company”) and Christopher W. Ogden, Senior Vice President, Finance and Accounting of the Company, each hereby certify that, to the best of his knowledge:</w:t>
      </w:r>
    </w:p>
    <w:p>
      <w:pPr>
        <w:spacing w:after="0" w:line="72" w:lineRule="exact"/>
        <w:rPr>
          <w:sz w:val="20"/>
          <w:szCs w:val="20"/>
          <w:color w:val="auto"/>
        </w:rPr>
      </w:pPr>
    </w:p>
    <w:p>
      <w:pPr>
        <w:ind w:right="240" w:firstLine="486"/>
        <w:spacing w:after="0" w:line="282" w:lineRule="auto"/>
        <w:tabs>
          <w:tab w:leader="none" w:pos="6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2023 to which this Certification is attached as Exhibit 32.1 (the “Annual Report”), fully complies with the requirements of Section 13(a) or 15(d) of the Exchange Act; and</w:t>
      </w:r>
    </w:p>
    <w:p>
      <w:pPr>
        <w:spacing w:after="0" w:line="53" w:lineRule="exact"/>
        <w:rPr>
          <w:rFonts w:ascii="Times New Roman" w:cs="Times New Roman" w:eastAsia="Times New Roman" w:hAnsi="Times New Roman"/>
          <w:sz w:val="18"/>
          <w:szCs w:val="18"/>
          <w:color w:val="auto"/>
        </w:rPr>
      </w:pPr>
    </w:p>
    <w:p>
      <w:pPr>
        <w:ind w:right="340" w:firstLine="486"/>
        <w:spacing w:after="0" w:line="282" w:lineRule="auto"/>
        <w:tabs>
          <w:tab w:leader="none" w:pos="6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11,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A. McCarthy</w:t>
            </w:r>
          </w:p>
        </w:tc>
        <w:tc>
          <w:tcPr>
            <w:tcW w:w="360" w:type="dxa"/>
            <w:vAlign w:val="bottom"/>
          </w:tcPr>
          <w:p>
            <w:pPr>
              <w:spacing w:after="0"/>
              <w:rPr>
                <w:sz w:val="20"/>
                <w:szCs w:val="20"/>
                <w:color w:val="auto"/>
              </w:rPr>
            </w:pPr>
          </w:p>
        </w:tc>
        <w:tc>
          <w:tcPr>
            <w:tcW w:w="5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Sean A. McCarthy, D.Phil.</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Christopher W. Ogden</w:t>
            </w:r>
          </w:p>
        </w:tc>
      </w:tr>
      <w:tr>
        <w:trPr>
          <w:trHeight w:val="24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Senior Vice President, Finance and Accounting</w:t>
            </w: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914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40" w:firstLine="8"/>
        <w:spacing w:after="0" w:line="266" w:lineRule="auto"/>
        <w:tabs>
          <w:tab w:leader="none" w:pos="1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4" w:name="page145"/>
    <w:bookmarkEnd w:id="144"/>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4"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PURPOSE:</w:t>
      </w:r>
    </w:p>
    <w:p>
      <w:pPr>
        <w:spacing w:after="0" w:line="120"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CytomX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Executive Compensation Clawback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for recovery of Erroneously Awarded Compensation effective as of December 1,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Capitalized terms used in this Policy but not otherwise defined herein are defined in the Definitions Section at the end of this Policy.</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SCOPE: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POLICY:</w:t>
      </w:r>
    </w:p>
    <w:p>
      <w:pPr>
        <w:spacing w:after="0" w:line="12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5" w:name="page146"/>
    <w:bookmarkEnd w:id="145"/>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4"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PROCEDURES: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393"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6" w:name="page147"/>
    <w:bookmarkEnd w:id="146"/>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8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The Company may require each Officer to sign an acknowledgment of the Policy, evidencing such Officer’s agreement to be bound by the Policy; however, the failure to obtain such acknowledgment from an Officer shall not negate the application of this Policy to any such Officer.</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393"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3</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7" w:name="page148"/>
    <w:bookmarkEnd w:id="147"/>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3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Commission or any national securities exchange or association on which the Company’s securities are listed.</w:t>
      </w:r>
    </w:p>
    <w:p>
      <w:pPr>
        <w:spacing w:after="0" w:line="13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 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or (b) recovery would likely cause an otherwise tax-qualified retirement plan, under which benefits are broadly available to employees of the Company, to fail to meet the requirements of 26 U.S.C. 401(a)(13) or 26 U.S.C. 411(a) and the regulations thereunder.</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w:t>
      </w:r>
    </w:p>
    <w:p>
      <w:pPr>
        <w:spacing w:after="0" w:line="371"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4</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8" w:name="page149"/>
    <w:bookmarkEnd w:id="148"/>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200" w:lineRule="exact"/>
        <w:rPr>
          <w:sz w:val="20"/>
          <w:szCs w:val="20"/>
          <w:color w:val="auto"/>
        </w:rPr>
      </w:pPr>
    </w:p>
    <w:p>
      <w:pPr>
        <w:spacing w:after="0" w:line="207" w:lineRule="exact"/>
        <w:rPr>
          <w:sz w:val="20"/>
          <w:szCs w:val="20"/>
          <w:color w:val="auto"/>
        </w:rPr>
      </w:pPr>
    </w:p>
    <w:p>
      <w:pPr>
        <w:ind w:left="10180"/>
        <w:spacing w:after="0"/>
        <w:rPr>
          <w:sz w:val="20"/>
          <w:szCs w:val="20"/>
          <w:color w:val="auto"/>
        </w:rPr>
      </w:pPr>
      <w:r>
        <w:rPr>
          <w:rFonts w:ascii="Calibri" w:cs="Calibri" w:eastAsia="Calibri" w:hAnsi="Calibri"/>
          <w:sz w:val="21"/>
          <w:szCs w:val="21"/>
          <w:b w:val="1"/>
          <w:bCs w:val="1"/>
          <w:color w:val="auto"/>
        </w:rPr>
        <w:t>Exhibit 97.1</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38"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Three-Year Period</w:t>
      </w:r>
      <w:r>
        <w:rPr>
          <w:rFonts w:ascii="Times New Roman" w:cs="Times New Roman" w:eastAsia="Times New Roman" w:hAnsi="Times New Roman"/>
          <w:sz w:val="21"/>
          <w:szCs w:val="21"/>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ind w:right="620"/>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5</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9" w:name="page150"/>
    <w:bookmarkEnd w:id="149"/>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Policy and Procedure Approval Sheet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Document Author: </w:t>
      </w:r>
      <w:r>
        <w:rPr>
          <w:rFonts w:ascii="Times New Roman" w:cs="Times New Roman" w:eastAsia="Times New Roman" w:hAnsi="Times New Roman"/>
          <w:sz w:val="20"/>
          <w:szCs w:val="20"/>
          <w:color w:val="auto"/>
        </w:rPr>
        <w:t>Lloyd Rowland, Senior Vice President, General Counsel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Originating Department: </w:t>
      </w:r>
      <w:r>
        <w:rPr>
          <w:rFonts w:ascii="Times New Roman" w:cs="Times New Roman" w:eastAsia="Times New Roman" w:hAnsi="Times New Roman"/>
          <w:sz w:val="20"/>
          <w:szCs w:val="20"/>
          <w:color w:val="auto"/>
        </w:rPr>
        <w:t>Legal</w:t>
      </w:r>
    </w:p>
    <w:p>
      <w:pPr>
        <w:spacing w:after="0" w:line="139" w:lineRule="exact"/>
        <w:rPr>
          <w:sz w:val="20"/>
          <w:szCs w:val="20"/>
          <w:color w:val="auto"/>
        </w:rPr>
      </w:pPr>
    </w:p>
    <w:p>
      <w:pPr>
        <w:ind w:left="60" w:right="1400" w:hanging="48"/>
        <w:spacing w:after="0" w:line="392" w:lineRule="auto"/>
        <w:rPr>
          <w:sz w:val="20"/>
          <w:szCs w:val="20"/>
          <w:color w:val="auto"/>
        </w:rPr>
      </w:pPr>
      <w:r>
        <w:rPr>
          <w:rFonts w:ascii="Times New Roman" w:cs="Times New Roman" w:eastAsia="Times New Roman" w:hAnsi="Times New Roman"/>
          <w:sz w:val="20"/>
          <w:szCs w:val="20"/>
          <w:color w:val="auto"/>
        </w:rPr>
        <w:t xml:space="preserve">For new policies or revisions, check one of the following and complete the communication and/or training plan information. FORMCHECKBOX </w:t>
      </w:r>
      <w:r>
        <w:rPr>
          <w:rFonts w:ascii="Times New Roman" w:cs="Times New Roman" w:eastAsia="Times New Roman" w:hAnsi="Times New Roman"/>
          <w:sz w:val="20"/>
          <w:szCs w:val="20"/>
          <w:b w:val="1"/>
          <w:bCs w:val="1"/>
          <w:color w:val="auto"/>
        </w:rPr>
        <w:t>New</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Revision.</w:t>
      </w:r>
      <w:r>
        <w:rPr>
          <w:rFonts w:ascii="Times New Roman" w:cs="Times New Roman" w:eastAsia="Times New Roman" w:hAnsi="Times New Roman"/>
          <w:sz w:val="20"/>
          <w:szCs w:val="20"/>
          <w:color w:val="auto"/>
        </w:rPr>
        <w:t xml:space="preserve"> Identify existing policy being revised and briefly state reason for revision: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Administrative Change.</w:t>
      </w:r>
      <w:r>
        <w:rPr>
          <w:rFonts w:ascii="Times New Roman" w:cs="Times New Roman" w:eastAsia="Times New Roman" w:hAnsi="Times New Roman"/>
          <w:sz w:val="20"/>
          <w:szCs w:val="20"/>
          <w:color w:val="auto"/>
        </w:rPr>
        <w:t xml:space="preserve"> Check only if non-substantive, grammatical or typographical changes are needed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Inactivate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FORMCHECKBOX  </w:t>
      </w:r>
      <w:r>
        <w:rPr>
          <w:rFonts w:ascii="Times New Roman" w:cs="Times New Roman" w:eastAsia="Times New Roman" w:hAnsi="Times New Roman"/>
          <w:sz w:val="20"/>
          <w:szCs w:val="20"/>
          <w:b w:val="1"/>
          <w:bCs w:val="1"/>
          <w:color w:val="auto"/>
        </w:rPr>
        <w:t>Communications/Training Plan for New Policy:</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(Not needed for Administrative Change)</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FORMCHECKBOX  Working at CytomX Guidebook</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FORMCHECKBOX  Employee Curriculum with Quiz</w:t>
      </w:r>
    </w:p>
    <w:p>
      <w:pPr>
        <w:ind w:left="460"/>
        <w:spacing w:after="0"/>
        <w:rPr>
          <w:sz w:val="20"/>
          <w:szCs w:val="20"/>
          <w:color w:val="auto"/>
        </w:rPr>
      </w:pPr>
      <w:r>
        <w:rPr>
          <w:rFonts w:ascii="Times New Roman" w:cs="Times New Roman" w:eastAsia="Times New Roman" w:hAnsi="Times New Roman"/>
          <w:sz w:val="20"/>
          <w:szCs w:val="20"/>
          <w:color w:val="auto"/>
        </w:rPr>
        <w:t>FORMCHECKBOX  E-Learning</w:t>
      </w:r>
    </w:p>
    <w:p>
      <w:pPr>
        <w:ind w:left="460"/>
        <w:spacing w:after="0"/>
        <w:rPr>
          <w:sz w:val="20"/>
          <w:szCs w:val="20"/>
          <w:color w:val="auto"/>
        </w:rPr>
      </w:pPr>
      <w:r>
        <w:rPr>
          <w:rFonts w:ascii="Times New Roman" w:cs="Times New Roman" w:eastAsia="Times New Roman" w:hAnsi="Times New Roman"/>
          <w:sz w:val="20"/>
          <w:szCs w:val="20"/>
          <w:color w:val="auto"/>
        </w:rPr>
        <w:t>FORMCHECKBOX  Classroom Training</w:t>
      </w:r>
    </w:p>
    <w:p>
      <w:pPr>
        <w:ind w:left="460"/>
        <w:spacing w:after="0"/>
        <w:rPr>
          <w:sz w:val="20"/>
          <w:szCs w:val="20"/>
          <w:color w:val="auto"/>
        </w:rPr>
      </w:pPr>
      <w:r>
        <w:rPr>
          <w:rFonts w:ascii="Times New Roman" w:cs="Times New Roman" w:eastAsia="Times New Roman" w:hAnsi="Times New Roman"/>
          <w:sz w:val="20"/>
          <w:szCs w:val="20"/>
          <w:color w:val="auto"/>
        </w:rPr>
        <w:t>FORMCHECKBOX  Other (provide description)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__Notification of executives subject to the policy</w:t>
            </w:r>
          </w:p>
        </w:tc>
        <w:tc>
          <w:tcPr>
            <w:tcW w:w="4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________________________</w:t>
            </w:r>
          </w:p>
        </w:tc>
      </w:tr>
      <w:tr>
        <w:trPr>
          <w:trHeight w:val="20"/>
        </w:trPr>
        <w:tc>
          <w:tcPr>
            <w:tcW w:w="2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634"/>
        </w:trPr>
        <w:tc>
          <w:tcPr>
            <w:tcW w:w="41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Approvals</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1"/>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 Lloyd Rowland ________________</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2"/>
          </w:tcPr>
          <w:p>
            <w:pPr>
              <w:jc w:val="right"/>
              <w:ind w:right="1680"/>
              <w:spacing w:after="0"/>
              <w:rPr>
                <w:sz w:val="20"/>
                <w:szCs w:val="20"/>
                <w:color w:val="auto"/>
              </w:rPr>
            </w:pPr>
            <w:r>
              <w:rPr>
                <w:rFonts w:ascii="Times New Roman" w:cs="Times New Roman" w:eastAsia="Times New Roman" w:hAnsi="Times New Roman"/>
                <w:sz w:val="20"/>
                <w:szCs w:val="20"/>
                <w:color w:val="auto"/>
                <w:w w:val="97"/>
              </w:rPr>
              <w:t>10/2/2023________________</w:t>
            </w:r>
          </w:p>
        </w:tc>
      </w:tr>
      <w:tr>
        <w:trPr>
          <w:trHeight w:val="20"/>
        </w:trPr>
        <w:tc>
          <w:tcPr>
            <w:tcW w:w="2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54"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6</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50" w:name="page151"/>
    <w:bookmarkEnd w:id="150"/>
    <w:p>
      <w:pPr>
        <w:ind w:left="7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255270</wp:posOffset>
            </wp:positionH>
            <wp:positionV relativeFrom="page">
              <wp:posOffset>641985</wp:posOffset>
            </wp:positionV>
            <wp:extent cx="6729095" cy="1024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6729095" cy="1024255"/>
                    </a:xfrm>
                    <a:prstGeom prst="rect">
                      <a:avLst/>
                    </a:prstGeom>
                    <a:noFill/>
                  </pic:spPr>
                </pic:pic>
              </a:graphicData>
            </a:graphic>
          </wp:anchor>
        </w:drawing>
        <w:t>Revision: 1.0</w:t>
      </w:r>
    </w:p>
    <w:p>
      <w:pPr>
        <w:ind w:left="4300"/>
        <w:spacing w:after="0" w:line="192" w:lineRule="auto"/>
        <w:rPr>
          <w:sz w:val="20"/>
          <w:szCs w:val="20"/>
          <w:color w:val="auto"/>
        </w:rPr>
      </w:pPr>
      <w:r>
        <w:rPr>
          <w:rFonts w:ascii="Arial" w:cs="Arial" w:eastAsia="Arial" w:hAnsi="Arial"/>
          <w:sz w:val="22"/>
          <w:szCs w:val="22"/>
          <w:color w:val="auto"/>
        </w:rPr>
        <w:t>Corporate Policy</w:t>
      </w:r>
    </w:p>
    <w:p>
      <w:pPr>
        <w:ind w:left="7100"/>
        <w:spacing w:after="0" w:line="182" w:lineRule="auto"/>
        <w:rPr>
          <w:sz w:val="20"/>
          <w:szCs w:val="20"/>
          <w:color w:val="auto"/>
        </w:rPr>
      </w:pPr>
      <w:r>
        <w:rPr>
          <w:rFonts w:ascii="Arial" w:cs="Arial" w:eastAsia="Arial" w:hAnsi="Arial"/>
          <w:sz w:val="17"/>
          <w:szCs w:val="17"/>
          <w:color w:val="auto"/>
        </w:rPr>
        <w:t>Effective Date:</w:t>
      </w:r>
    </w:p>
    <w:p>
      <w:pPr>
        <w:ind w:left="3840"/>
        <w:spacing w:after="0" w:line="192" w:lineRule="auto"/>
        <w:rPr>
          <w:sz w:val="20"/>
          <w:szCs w:val="20"/>
          <w:color w:val="auto"/>
        </w:rPr>
      </w:pPr>
      <w:r>
        <w:rPr>
          <w:rFonts w:ascii="Arial" w:cs="Arial" w:eastAsia="Arial" w:hAnsi="Arial"/>
          <w:sz w:val="22"/>
          <w:szCs w:val="22"/>
          <w:color w:val="auto"/>
        </w:rPr>
        <w:t>Document No: CORP-018</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December 1, 2023</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Executive Compensation Clawback Policy</w:t>
      </w: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Lloyd Rowland, Sr. Vice President, General Counsel</w:t>
            </w:r>
          </w:p>
        </w:tc>
        <w:tc>
          <w:tcPr>
            <w:tcW w:w="100" w:type="dxa"/>
            <w:vAlign w:val="bottom"/>
          </w:tcPr>
          <w:p>
            <w:pPr>
              <w:spacing w:after="0"/>
              <w:rPr>
                <w:sz w:val="22"/>
                <w:szCs w:val="22"/>
                <w:color w:val="auto"/>
              </w:rPr>
            </w:pPr>
          </w:p>
        </w:tc>
        <w:tc>
          <w:tcPr>
            <w:tcW w:w="2380" w:type="dxa"/>
            <w:vAlign w:val="bottom"/>
          </w:tcPr>
          <w:p>
            <w:pPr>
              <w:jc w:val="right"/>
              <w:ind w:right="1501"/>
              <w:spacing w:after="0"/>
              <w:rPr>
                <w:sz w:val="20"/>
                <w:szCs w:val="20"/>
                <w:color w:val="auto"/>
              </w:rPr>
            </w:pPr>
            <w:r>
              <w:rPr>
                <w:rFonts w:ascii="Times New Roman" w:cs="Times New Roman" w:eastAsia="Times New Roman" w:hAnsi="Times New Roman"/>
                <w:sz w:val="20"/>
                <w:szCs w:val="20"/>
                <w:color w:val="auto"/>
              </w:rPr>
              <w:t>Date</w:t>
            </w:r>
          </w:p>
        </w:tc>
      </w:tr>
      <w:tr>
        <w:trPr>
          <w:trHeight w:val="69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 Sean McCarthy ________________</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10/2/2023________________</w:t>
            </w:r>
          </w:p>
        </w:tc>
      </w:tr>
      <w:tr>
        <w:trPr>
          <w:trHeight w:val="418"/>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Sean McCarthy, Chief Executive Officer</w:t>
            </w:r>
          </w:p>
        </w:tc>
        <w:tc>
          <w:tcPr>
            <w:tcW w:w="100" w:type="dxa"/>
            <w:vAlign w:val="bottom"/>
          </w:tcPr>
          <w:p>
            <w:pPr>
              <w:spacing w:after="0"/>
              <w:rPr>
                <w:sz w:val="24"/>
                <w:szCs w:val="24"/>
                <w:color w:val="auto"/>
              </w:rPr>
            </w:pPr>
          </w:p>
        </w:tc>
        <w:tc>
          <w:tcPr>
            <w:tcW w:w="238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CytomX Therapeutics</w:t>
        <w:tab/>
        <w:t xml:space="preserve">Effective: December 1, 2023 Page </w:t>
      </w:r>
      <w:r>
        <w:rPr>
          <w:rFonts w:ascii="Arial" w:cs="Arial" w:eastAsia="Arial" w:hAnsi="Arial"/>
          <w:sz w:val="20"/>
          <w:szCs w:val="20"/>
          <w:b w:val="1"/>
          <w:bCs w:val="1"/>
          <w:color w:val="auto"/>
        </w:rPr>
        <w:t>7</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CORP-018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8"/>
    </w:lvl>
    <w:lvl w:ilvl="1">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1)"/>
      <w:numFmt w:val="decimal"/>
      <w:start w:val="3"/>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2"/>
    </w:lvl>
  </w:abstractNum>
  <w:abstractNum w:abstractNumId="58">
    <w:nsid w:val="25A70BF7"/>
    <w:multiLevelType w:val="hybridMultilevel"/>
    <w:lvl w:ilvl="0">
      <w:lvlJc w:val="left"/>
      <w:lvlText w:val="%1."/>
      <w:numFmt w:val="decimal"/>
      <w:start w:val="4"/>
    </w:lvl>
  </w:abstractNum>
  <w:abstractNum w:abstractNumId="59">
    <w:nsid w:val="1DBABF00"/>
    <w:multiLevelType w:val="hybridMultilevel"/>
    <w:lvl w:ilvl="0">
      <w:lvlJc w:val="left"/>
      <w:lvlText w:val="%1."/>
      <w:numFmt w:val="decimal"/>
      <w:start w:val="5"/>
    </w:lvl>
  </w:abstractNum>
  <w:abstractNum w:abstractNumId="60">
    <w:nsid w:val="4AD084E9"/>
    <w:multiLevelType w:val="hybridMultilevel"/>
    <w:lvl w:ilvl="0">
      <w:lvlJc w:val="left"/>
      <w:lvlText w:val="%1."/>
      <w:numFmt w:val="decimal"/>
      <w:start w:val="8"/>
    </w:lvl>
  </w:abstractNum>
  <w:abstractNum w:abstractNumId="61">
    <w:nsid w:val="1F48EAA1"/>
    <w:multiLevelType w:val="hybridMultilevel"/>
    <w:lvl w:ilvl="0">
      <w:lvlJc w:val="left"/>
      <w:lvlText w:val="%1."/>
      <w:numFmt w:val="decimal"/>
      <w:start w:val="13"/>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4"/>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decimal"/>
      <w:start w:val="1"/>
    </w:lvl>
    <w:lvl w:ilvl="1">
      <w:lvlJc w:val="left"/>
      <w:lvlText w:val="%2)"/>
      <w:numFmt w:val="lowerLetter"/>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ldblquote"/>
      <w:numFmt w:val="bullet"/>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90" Type="http://schemas.openxmlformats.org/officeDocument/2006/relationships/image" Target="media/image267.png"/><Relationship Id="rId304"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31"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373"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274" Type="http://schemas.openxmlformats.org/officeDocument/2006/relationships/hyperlink" Target="https://www.sec.gov/Archives/edgar/data/1501989/000156459020007395/ctmx-ex11_1755.htm" TargetMode="External"/><Relationship Id="rId275" Type="http://schemas.openxmlformats.org/officeDocument/2006/relationships/hyperlink" Target="https://www.sec.gov/Archives/edgar/data/0001501989/000119312515347080/d78795dex31.htm" TargetMode="External"/><Relationship Id="rId276" Type="http://schemas.openxmlformats.org/officeDocument/2006/relationships/hyperlink" Target="https://www.sec.gov/Archives/edgar/data/1501989/000119312520176532/d920733dex31.htm" TargetMode="External"/><Relationship Id="rId277" Type="http://schemas.openxmlformats.org/officeDocument/2006/relationships/hyperlink" Target="https://www.sec.gov/Archives/edgar/data/0001501989/000119312515347080/d78795dex32.htm" TargetMode="External"/><Relationship Id="rId278" Type="http://schemas.openxmlformats.org/officeDocument/2006/relationships/hyperlink" Target="https://www.sec.gov/Archives/edgar/data/0001501989/000119312515329662/d948537dex41.htm" TargetMode="External"/><Relationship Id="rId279" Type="http://schemas.openxmlformats.org/officeDocument/2006/relationships/hyperlink" Target="https://www.sec.gov/Archives/edgar/data/0001501989/000156459017022252/ctmx-ex44_91.htm" TargetMode="External"/><Relationship Id="rId280" Type="http://schemas.openxmlformats.org/officeDocument/2006/relationships/hyperlink" Target="https://www.sec.gov/Archives/edgar/data/1501989/000156459020037722/ctmx-ex44_216.htm" TargetMode="External"/><Relationship Id="rId281" Type="http://schemas.openxmlformats.org/officeDocument/2006/relationships/hyperlink" Target="https://www.sec.gov/Archives/edgar/data/1501989/000119312523180722/d500160dex41.htm" TargetMode="External"/><Relationship Id="rId282" Type="http://schemas.openxmlformats.org/officeDocument/2006/relationships/hyperlink" Target="https://www.sec.gov/Archives/edgar/data/1501989/000119312523180722/d500160dex42.htm" TargetMode="External"/><Relationship Id="rId283" Type="http://schemas.openxmlformats.org/officeDocument/2006/relationships/hyperlink" Target="https://www.sec.gov/Archives/edgar/data/0001501989/000119312515307013/d948537dex103.htm" TargetMode="External"/><Relationship Id="rId284" Type="http://schemas.openxmlformats.org/officeDocument/2006/relationships/hyperlink" Target="https://www.sec.gov/Archives/edgar/data/0001501989/000119312515307013/d948537dex104.htm" TargetMode="External"/><Relationship Id="rId285" Type="http://schemas.openxmlformats.org/officeDocument/2006/relationships/hyperlink" Target="https://www.sec.gov/Archives/edgar/data/0001501989/000119312515307013/d948537dex101.htm" TargetMode="External"/><Relationship Id="rId286" Type="http://schemas.openxmlformats.org/officeDocument/2006/relationships/hyperlink" Target="https://www.sec.gov/Archives/edgar/data/0001501989/000119312515307013/d948537dex102.htm" TargetMode="External"/><Relationship Id="rId287" Type="http://schemas.openxmlformats.org/officeDocument/2006/relationships/hyperlink" Target="https://www.sec.gov/Archives/edgar/data/0001501989/000119312515338434/d948537dex105.htm" TargetMode="External"/><Relationship Id="rId288" Type="http://schemas.openxmlformats.org/officeDocument/2006/relationships/hyperlink" Target="https://www.sec.gov/Archives/edgar/data/0001501989/000156459015010977/ctmx-ex104_591.htm" TargetMode="External"/><Relationship Id="rId289" Type="http://schemas.openxmlformats.org/officeDocument/2006/relationships/hyperlink" Target="https://www.sec.gov/Archives/edgar/data/0001501989/000156459015010977/ctmx-ex105_592.htm" TargetMode="External"/><Relationship Id="rId291" Type="http://schemas.openxmlformats.org/officeDocument/2006/relationships/hyperlink" Target="https://www.sec.gov/Archives/edgar/data/1501989/000095017022002519/ctmx-ex10_3.htm" TargetMode="External"/><Relationship Id="rId292" Type="http://schemas.openxmlformats.org/officeDocument/2006/relationships/hyperlink" Target="https://www.sec.gov/Archives/edgar/data/1501989/000156459019041726/ctmx-ex101_559.htm" TargetMode="External"/><Relationship Id="rId293" Type="http://schemas.openxmlformats.org/officeDocument/2006/relationships/hyperlink" Target="https://www.sec.gov/Archives/edgar/data/1501989/000156459019041726/ctmx-ex102_564.htm" TargetMode="External"/><Relationship Id="rId294" Type="http://schemas.openxmlformats.org/officeDocument/2006/relationships/hyperlink" Target="https://www.sec.gov/Archives/edgar/data/0001501989/000119312515329662/d948537dex106.htm" TargetMode="External"/><Relationship Id="rId295" Type="http://schemas.openxmlformats.org/officeDocument/2006/relationships/hyperlink" Target="https://www.sec.gov/Archives/edgar/data/0001501989/000119312515307013/d948537dex1016.htm" TargetMode="External"/><Relationship Id="rId296" Type="http://schemas.openxmlformats.org/officeDocument/2006/relationships/hyperlink" Target="https://www.sec.gov/Archives/edgar/data/0001501989/000119312515307013/d948537dex107.htm" TargetMode="External"/><Relationship Id="rId297" Type="http://schemas.openxmlformats.org/officeDocument/2006/relationships/hyperlink" Target="https://www.sec.gov/Archives/edgar/data/1501989/000095017023039761/ctmx-ex10_3.htm" TargetMode="External"/><Relationship Id="rId298" Type="http://schemas.openxmlformats.org/officeDocument/2006/relationships/hyperlink" Target="https://www.sec.gov/Archives/edgar/data/1501989/000156459019017968/ctmx-ex101_193.htm" TargetMode="External"/><Relationship Id="rId299" Type="http://schemas.openxmlformats.org/officeDocument/2006/relationships/hyperlink" Target="https://www.sec.gov/Archives/edgar/data/1501989/000156459019017968/ctmx-ex102_194.htm" TargetMode="External"/><Relationship Id="rId300" Type="http://schemas.openxmlformats.org/officeDocument/2006/relationships/hyperlink" Target="https://www.sec.gov/Archives/edgar/data/1501989/000095017023039761/ctmx-ex10_2.htm" TargetMode="External"/><Relationship Id="rId301" Type="http://schemas.openxmlformats.org/officeDocument/2006/relationships/hyperlink" Target="https://www.sec.gov/Archives/edgar/data/0001501989/000156459015011520/ctmx-ex101_6.htm" TargetMode="External"/><Relationship Id="rId302" Type="http://schemas.openxmlformats.org/officeDocument/2006/relationships/hyperlink" Target="https://www.sec.gov/Archives/edgar/data/1501989/000095017023019654/ctmx-ex10_1.htm" TargetMode="External"/><Relationship Id="rId303" Type="http://schemas.openxmlformats.org/officeDocument/2006/relationships/hyperlink" Target="https://www.sec.gov/Archives/edgar/data/0001501989/000119312515322694/d948537dex1021.htm" TargetMode="External"/><Relationship Id="rId305" Type="http://schemas.openxmlformats.org/officeDocument/2006/relationships/hyperlink" Target="https://www.sec.gov/Archives/edgar/data/1501989/000156459019017968/ctmx-ex106_447.htm" TargetMode="External"/><Relationship Id="rId308" Type="http://schemas.openxmlformats.org/officeDocument/2006/relationships/hyperlink" Target="https://www.sec.gov/Archives/edgar/data/1501989/000156459020051302/ctmx-ex102_356.htm" TargetMode="External"/><Relationship Id="rId311" Type="http://schemas.openxmlformats.org/officeDocument/2006/relationships/hyperlink" Target="https://www.sec.gov/Archives/edgar/data/0001501989/000156459017008943/ctmx-ex101_883.htm" TargetMode="External"/><Relationship Id="rId315" Type="http://schemas.openxmlformats.org/officeDocument/2006/relationships/hyperlink" Target="https://www.sec.gov/Archives/edgar/data/0001501989/000156459021024969/ctmx-ex102_137.htm" TargetMode="External"/><Relationship Id="rId316" Type="http://schemas.openxmlformats.org/officeDocument/2006/relationships/hyperlink" Target="https://www.sec.gov/Archives/edgar/data/1501989/000095017022023190/ctmx-ex10_6.htm" TargetMode="External"/><Relationship Id="rId317" Type="http://schemas.openxmlformats.org/officeDocument/2006/relationships/hyperlink" Target="https://www.sec.gov/Archives/edgar/data/0001501989/000156459016022364/ctmx-ex101_550.htm" TargetMode="External"/><Relationship Id="rId318" Type="http://schemas.openxmlformats.org/officeDocument/2006/relationships/hyperlink" Target="https://www.sec.gov/Archives/edgar/data/1501989/000156459018027387/ctmx-ex101_175.htm" TargetMode="External"/><Relationship Id="rId319" Type="http://schemas.openxmlformats.org/officeDocument/2006/relationships/hyperlink" Target="https://www.sec.gov/Archives/edgar/data/1501989/000156459018027387/ctmx-ex102_176.htm" TargetMode="External"/><Relationship Id="rId320" Type="http://schemas.openxmlformats.org/officeDocument/2006/relationships/hyperlink" Target="https://www.sec.gov/Archives/edgar/data/1501989/000156459018027387/ctmx-ex103_177.htm" TargetMode="External"/><Relationship Id="rId321" Type="http://schemas.openxmlformats.org/officeDocument/2006/relationships/hyperlink" Target="https://www.sec.gov/Archives/edgar/data/1501989/000156459019030054/ctmx-ex101_505.htm" TargetMode="External"/><Relationship Id="rId322" Type="http://schemas.openxmlformats.org/officeDocument/2006/relationships/hyperlink" Target="https://www.sec.gov/Archives/edgar/data/1501989/000095017023060201/ctmx-ex10_1.htm" TargetMode="External"/><Relationship Id="rId323" Type="http://schemas.openxmlformats.org/officeDocument/2006/relationships/hyperlink" Target="https://www.sec.gov/Archives/edgar/data/0001501989/000156459017022252/ctmx-ex101_92.htm" TargetMode="External"/><Relationship Id="rId324" Type="http://schemas.openxmlformats.org/officeDocument/2006/relationships/hyperlink" Target="https://www.sec.gov/Archives/edgar/data/1501989/000156459020051302/ctmx-ex103_355.htm" TargetMode="External"/><Relationship Id="rId325" Type="http://schemas.openxmlformats.org/officeDocument/2006/relationships/hyperlink" Target="https://www.sec.gov/Archives/edgar/data/1501989/000095017022002519/ctmx-ex10_20.htm" TargetMode="External"/><Relationship Id="rId326" Type="http://schemas.openxmlformats.org/officeDocument/2006/relationships/hyperlink" Target="https://www.sec.gov/Archives/edgar/data/1501989/000095017023039761/ctmx-ex10_1.htm" TargetMode="External"/><Relationship Id="rId327" Type="http://schemas.openxmlformats.org/officeDocument/2006/relationships/hyperlink" Target="https://www.sec.gov/Archives/edgar/data/1501989/000156459020022844/ctmx-ex104_330.htm" TargetMode="External"/><Relationship Id="rId328" Type="http://schemas.openxmlformats.org/officeDocument/2006/relationships/hyperlink" Target="https://www.sec.gov/Archives/edgar/data/0001501989/000119312515336443/d948537dex1017.htm" TargetMode="External"/><Relationship Id="rId329" Type="http://schemas.openxmlformats.org/officeDocument/2006/relationships/hyperlink" Target="https://www.sec.gov/Archives/edgar/data/1501989/000156459018027387/ctmx-ex105_179.htm" TargetMode="External"/><Relationship Id="rId330" Type="http://schemas.openxmlformats.org/officeDocument/2006/relationships/hyperlink" Target="https://www.sec.gov/Archives/edgar/data/1501989/000156459018027387/ctmx-ex106_180.htm" TargetMode="External"/><Relationship Id="rId332" Type="http://schemas.openxmlformats.org/officeDocument/2006/relationships/hyperlink" Target="https://www.sec.gov/Archives/edgar/data/1501989/000156459018027387/ctmx-ex104_178.htm" TargetMode="External"/><Relationship Id="rId333" Type="http://schemas.openxmlformats.org/officeDocument/2006/relationships/hyperlink" Target="https://www.sec.gov/Archives/edgar/data/1501989/000095017023009991/ctmx-ex10_24.htm" TargetMode="External"/><Relationship Id="rId334" Type="http://schemas.openxmlformats.org/officeDocument/2006/relationships/hyperlink" Target="https://www.sec.gov/Archives/edgar/data/1501989/000095017023009991/ctmx-ex10_25.htm" TargetMode="External"/><Relationship Id="rId335" Type="http://schemas.openxmlformats.org/officeDocument/2006/relationships/hyperlink" Target="https://www.sec.gov/Archives/edgar/data/1501989/000156459021008081/ctmx-ex1024_991.htm" TargetMode="External"/><Relationship Id="rId336" Type="http://schemas.openxmlformats.org/officeDocument/2006/relationships/hyperlink" Target="https://www.sec.gov/Archives/edgar/data/1501989/000156459021008081/ctmx-ex1025_992.htm" TargetMode="External"/><Relationship Id="rId337" Type="http://schemas.openxmlformats.org/officeDocument/2006/relationships/hyperlink" Target="https://www.sec.gov/Archives/edgar/data/1501989/000156459021024969/ctmx-ex103_136.htm" TargetMode="External"/><Relationship Id="rId338" Type="http://schemas.openxmlformats.org/officeDocument/2006/relationships/hyperlink" Target="https://www.sec.gov/Archives/edgar/data/1501989/000095017022023190/ctmx-ex10_1.htm" TargetMode="External"/><Relationship Id="rId339" Type="http://schemas.openxmlformats.org/officeDocument/2006/relationships/hyperlink" Target="https://www.sec.gov/Archives/edgar/data/1501989/000095017022023190/ctmx-ex10_2.htm" TargetMode="External"/><Relationship Id="rId340" Type="http://schemas.openxmlformats.org/officeDocument/2006/relationships/hyperlink" Target="https://www.sec.gov/Archives/edgar/data/1501989/000119312523180722/d5001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2024-03-11T15:14:43Z</dcterms:created>
  <dcterms:modified xsi:type="dcterms:W3CDTF">2024-03-11T15:14:43Z</dcterms:modified>
</cp:coreProperties>
</file>